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D07E7">
      <w:pPr>
        <w:ind w:firstLine="420" w:firstLineChars="0"/>
        <w:rPr>
          <w:rFonts w:hint="eastAsia"/>
        </w:rPr>
      </w:pPr>
      <w:r>
        <w:rPr>
          <w:rFonts w:hint="eastAsia"/>
        </w:rPr>
        <w:t xml:space="preserve">Hello, I am </w:t>
      </w:r>
      <w:r>
        <w:rPr>
          <w:rFonts w:hint="eastAsia"/>
          <w:lang w:val="en-US" w:eastAsia="zh-CN"/>
        </w:rPr>
        <w:t>Shixinyi</w:t>
      </w:r>
      <w:r>
        <w:rPr>
          <w:rFonts w:hint="eastAsia"/>
        </w:rPr>
        <w:t xml:space="preserve"> from Capital Medical University. I am presenting our national cross-sectional study on medication literacy and home medication behaviors among older Chinese patients with chronic diseases.</w:t>
      </w:r>
    </w:p>
    <w:p w14:paraId="717AA104">
      <w:pPr>
        <w:ind w:firstLine="420" w:firstLineChars="0"/>
        <w:rPr>
          <w:rFonts w:hint="eastAsia"/>
        </w:rPr>
      </w:pPr>
      <w:r>
        <w:rPr>
          <w:rFonts w:hint="eastAsia"/>
        </w:rPr>
        <w:t>As polypharmacy becomes the norm for our aging population, home medication errors pose a critical public health risk. Previously, there was a lack of large-scale evidence in China mapping how daily physical behaviors affect overall medication safety. Bridging this gap is essential. It allows us to shift from generalized health education to precise, behavior-targeted pharmaceutical care.</w:t>
      </w:r>
    </w:p>
    <w:p w14:paraId="4900382B">
      <w:pPr>
        <w:ind w:firstLine="420" w:firstLineChars="0"/>
        <w:rPr>
          <w:rFonts w:hint="eastAsia"/>
        </w:rPr>
      </w:pPr>
      <w:r>
        <w:rPr>
          <w:rFonts w:hint="eastAsia"/>
        </w:rPr>
        <w:t>To address this, our team conducted face-to-face home visits with over 10,000 older patients across 31 provinces. We physically audited their home medicine cabinets and assessed their medication literacy using a validated questionnaire.</w:t>
      </w:r>
    </w:p>
    <w:p w14:paraId="47518BE4">
      <w:pPr>
        <w:ind w:firstLine="420" w:firstLineChars="0"/>
        <w:rPr>
          <w:rFonts w:hint="eastAsia"/>
        </w:rPr>
      </w:pPr>
      <w:r>
        <w:rPr>
          <w:rFonts w:hint="eastAsia"/>
        </w:rPr>
        <w:t>The results highlighted significant challenges. Only 48% of the participants demonstrated adequate medication literacy. We identified prevalent behavioral risks: 57% of patients failed to retain original medication packaging, and 74% could not fully understand package inserts. Alarmingly, over 93% reported experiencing physical discomfort, frequently misattributing potential adverse drug reactions to normal aging.</w:t>
      </w:r>
    </w:p>
    <w:p w14:paraId="447EC63B">
      <w:pPr>
        <w:ind w:firstLine="420" w:firstLineChars="0"/>
        <w:rPr>
          <w:rFonts w:hint="eastAsia"/>
        </w:rPr>
      </w:pPr>
      <w:r>
        <w:rPr>
          <w:rFonts w:hint="eastAsia"/>
        </w:rPr>
        <w:t>The true value of our study lies in identifying specific, modifiable behaviors that compromise patient safety. Our findings emphasize the urgent need to implement a comprehensive, home-based pharmaceutical care system. By prioritizing socioeconomically vulnerable groups, enforcing the retention of original packaging, and redesigning age-friendly medication instructions, we can effectively intercept medication errors at their source.</w:t>
      </w:r>
    </w:p>
    <w:p w14:paraId="2D72CD93">
      <w:pPr>
        <w:ind w:firstLine="420" w:firstLineChars="0"/>
      </w:pPr>
      <w:bookmarkStart w:id="0" w:name="_GoBack"/>
      <w:bookmarkEnd w:id="0"/>
      <w:r>
        <w:rPr>
          <w:rFonts w:hint="eastAsia"/>
        </w:rPr>
        <w:t>Thank you for your time, and we invite you to read the full paper for more details.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163D0C"/>
    <w:rsid w:val="4EA462C3"/>
    <w:rsid w:val="7816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1595</Characters>
  <Lines>0</Lines>
  <Paragraphs>0</Paragraphs>
  <TotalTime>0</TotalTime>
  <ScaleCrop>false</ScaleCrop>
  <LinksUpToDate>false</LinksUpToDate>
  <CharactersWithSpaces>1837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2026-04-03T11:47:00Z</dcterms:created>
  <dc:creator>Angus</dc:creator>
  <cp:lastModifiedBy>Angus</cp:lastModifiedBy>
  <dcterms:modified xsi:type="dcterms:W3CDTF">2026-04-04T07:07:16Z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131A2FA8F4234B25A486A66806FAA106_11</vt:lpwstr>
  </property>
  <property fmtid="{D5CDD505-2E9C-101B-9397-08002B2CF9AE}" pid="4" name="KSOTemplateDocerSaveRecord">
    <vt:lpwstr>eyJoZGlkIjoiZjJkMjYzZjg4OGJjZWJlYjcwZThhZmFhYWZhZGNmYzEiLCJ1c2VySWQiOiIzNzM1NTkzOTQifQ==</vt:lpwstr>
  </property>
</Properties>
</file>