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0E6B0F" w14:textId="77777777" w:rsidR="00B161A7" w:rsidRPr="00D532C9" w:rsidRDefault="00B161A7" w:rsidP="00B161A7">
      <w:pPr>
        <w:pStyle w:val="paragraph"/>
        <w:numPr>
          <w:ilvl w:val="0"/>
          <w:numId w:val="1"/>
        </w:numPr>
        <w:spacing w:before="0" w:beforeAutospacing="0" w:after="0" w:afterAutospacing="0" w:line="480" w:lineRule="auto"/>
        <w:textAlignment w:val="baseline"/>
        <w:rPr>
          <w:rFonts w:asciiTheme="minorHAnsi" w:hAnsiTheme="minorHAnsi" w:cstheme="minorHAnsi"/>
        </w:rPr>
      </w:pPr>
      <w:r w:rsidRPr="00D532C9">
        <w:rPr>
          <w:rStyle w:val="normaltextrun"/>
          <w:rFonts w:asciiTheme="minorHAnsi" w:hAnsiTheme="minorHAnsi" w:cstheme="minorHAnsi"/>
          <w:color w:val="000000"/>
          <w:lang w:val="en-US"/>
        </w:rPr>
        <w:t>As people age, differences in health status and vulnerability to illness can be understood using the concept of frailty. </w:t>
      </w:r>
      <w:r w:rsidRPr="00D532C9">
        <w:rPr>
          <w:rStyle w:val="eop"/>
          <w:rFonts w:asciiTheme="minorHAnsi" w:hAnsiTheme="minorHAnsi" w:cstheme="minorHAnsi"/>
          <w:color w:val="000000"/>
        </w:rPr>
        <w:t> </w:t>
      </w:r>
    </w:p>
    <w:p w14:paraId="522E1369" w14:textId="73ADD0DD" w:rsidR="00B161A7" w:rsidRPr="00D532C9" w:rsidRDefault="00B161A7" w:rsidP="00B161A7">
      <w:pPr>
        <w:pStyle w:val="paragraph"/>
        <w:numPr>
          <w:ilvl w:val="0"/>
          <w:numId w:val="1"/>
        </w:numPr>
        <w:spacing w:before="0" w:beforeAutospacing="0" w:after="0" w:afterAutospacing="0" w:line="480" w:lineRule="auto"/>
        <w:textAlignment w:val="baseline"/>
        <w:rPr>
          <w:rFonts w:asciiTheme="minorHAnsi" w:hAnsiTheme="minorHAnsi" w:cstheme="minorHAnsi"/>
        </w:rPr>
      </w:pPr>
      <w:r w:rsidRPr="00D532C9">
        <w:rPr>
          <w:rStyle w:val="normaltextrun"/>
          <w:rFonts w:asciiTheme="minorHAnsi" w:hAnsiTheme="minorHAnsi" w:cstheme="minorHAnsi"/>
          <w:color w:val="000000"/>
          <w:lang w:val="en-US"/>
        </w:rPr>
        <w:t xml:space="preserve">Often, frail older people are among those most in need of </w:t>
      </w:r>
      <w:proofErr w:type="gramStart"/>
      <w:r w:rsidRPr="00D532C9">
        <w:rPr>
          <w:rStyle w:val="normaltextrun"/>
          <w:rFonts w:asciiTheme="minorHAnsi" w:hAnsiTheme="minorHAnsi" w:cstheme="minorHAnsi"/>
          <w:color w:val="000000"/>
          <w:lang w:val="en-US"/>
        </w:rPr>
        <w:t>protection</w:t>
      </w:r>
      <w:proofErr w:type="gramEnd"/>
      <w:r w:rsidRPr="00D532C9">
        <w:rPr>
          <w:rStyle w:val="normaltextrun"/>
          <w:rFonts w:asciiTheme="minorHAnsi" w:hAnsiTheme="minorHAnsi" w:cstheme="minorHAnsi"/>
          <w:color w:val="000000"/>
          <w:lang w:val="en-US"/>
        </w:rPr>
        <w:t xml:space="preserve"> but </w:t>
      </w:r>
      <w:r w:rsidR="00B74780" w:rsidRPr="00D532C9">
        <w:rPr>
          <w:rStyle w:val="normaltextrun"/>
          <w:rFonts w:asciiTheme="minorHAnsi" w:hAnsiTheme="minorHAnsi" w:cstheme="minorHAnsi"/>
          <w:color w:val="000000"/>
          <w:lang w:val="en-US"/>
        </w:rPr>
        <w:t xml:space="preserve">they </w:t>
      </w:r>
      <w:r w:rsidRPr="00D532C9">
        <w:rPr>
          <w:rStyle w:val="normaltextrun"/>
          <w:rFonts w:asciiTheme="minorHAnsi" w:hAnsiTheme="minorHAnsi" w:cstheme="minorHAnsi"/>
          <w:color w:val="000000"/>
          <w:lang w:val="en-US"/>
        </w:rPr>
        <w:t>are not well represented in clinical trials. They also have different responses to treatments and vaccines, making it difficult to know whether the results of a clinical trial will apply to them.</w:t>
      </w:r>
      <w:r w:rsidRPr="00D532C9">
        <w:rPr>
          <w:rStyle w:val="eop"/>
          <w:rFonts w:asciiTheme="minorHAnsi" w:hAnsiTheme="minorHAnsi" w:cstheme="minorHAnsi"/>
          <w:color w:val="000000"/>
        </w:rPr>
        <w:t> </w:t>
      </w:r>
    </w:p>
    <w:p w14:paraId="4CAB91BD" w14:textId="77777777" w:rsidR="00B161A7" w:rsidRPr="00D532C9" w:rsidRDefault="00B161A7" w:rsidP="00B161A7">
      <w:pPr>
        <w:pStyle w:val="paragraph"/>
        <w:numPr>
          <w:ilvl w:val="0"/>
          <w:numId w:val="1"/>
        </w:numPr>
        <w:spacing w:before="0" w:beforeAutospacing="0" w:after="0" w:afterAutospacing="0" w:line="480" w:lineRule="auto"/>
        <w:textAlignment w:val="baseline"/>
        <w:rPr>
          <w:rStyle w:val="normaltextrun"/>
          <w:rFonts w:asciiTheme="minorHAnsi" w:hAnsiTheme="minorHAnsi" w:cstheme="minorHAnsi"/>
        </w:rPr>
      </w:pPr>
      <w:r w:rsidRPr="00D532C9">
        <w:rPr>
          <w:rStyle w:val="normaltextrun"/>
          <w:rFonts w:asciiTheme="minorHAnsi" w:hAnsiTheme="minorHAnsi" w:cstheme="minorHAnsi"/>
          <w:color w:val="000000"/>
          <w:lang w:val="en-US"/>
        </w:rPr>
        <w:t>Clinicians, healthcare consumers and regulators are becoming increasingly aware of the importance of frailty, yet researchers may not know how to measure it effectively and efficiently. </w:t>
      </w:r>
    </w:p>
    <w:p w14:paraId="18DEE523" w14:textId="3CD4FE21" w:rsidR="00B161A7" w:rsidRPr="00D532C9" w:rsidRDefault="00B161A7" w:rsidP="00B161A7">
      <w:pPr>
        <w:pStyle w:val="paragraph"/>
        <w:numPr>
          <w:ilvl w:val="0"/>
          <w:numId w:val="1"/>
        </w:numPr>
        <w:spacing w:before="0" w:beforeAutospacing="0" w:after="0" w:afterAutospacing="0" w:line="480" w:lineRule="auto"/>
        <w:textAlignment w:val="baseline"/>
        <w:rPr>
          <w:rStyle w:val="eop"/>
          <w:rFonts w:asciiTheme="minorHAnsi" w:hAnsiTheme="minorHAnsi" w:cstheme="minorHAnsi"/>
        </w:rPr>
      </w:pPr>
      <w:r w:rsidRPr="00D532C9">
        <w:rPr>
          <w:rFonts w:asciiTheme="minorHAnsi" w:hAnsiTheme="minorHAnsi" w:cstheme="minorHAnsi"/>
        </w:rPr>
        <w:t xml:space="preserve">Inclusion of frailty measures in </w:t>
      </w:r>
      <w:r w:rsidR="00B74780" w:rsidRPr="00D532C9">
        <w:rPr>
          <w:rFonts w:asciiTheme="minorHAnsi" w:hAnsiTheme="minorHAnsi" w:cstheme="minorHAnsi"/>
        </w:rPr>
        <w:t xml:space="preserve">vaccine </w:t>
      </w:r>
      <w:r w:rsidRPr="00D532C9">
        <w:rPr>
          <w:rFonts w:asciiTheme="minorHAnsi" w:hAnsiTheme="minorHAnsi" w:cstheme="minorHAnsi"/>
        </w:rPr>
        <w:t>clinical trials is rare, with barriers including a perception that measuring frailty is difficult or will add to participant and data collection burden.</w:t>
      </w:r>
      <w:r w:rsidRPr="00D532C9">
        <w:rPr>
          <w:rStyle w:val="eop"/>
          <w:rFonts w:asciiTheme="minorHAnsi" w:hAnsiTheme="minorHAnsi" w:cstheme="minorHAnsi"/>
          <w:color w:val="000000"/>
        </w:rPr>
        <w:t> </w:t>
      </w:r>
    </w:p>
    <w:p w14:paraId="74E906A4" w14:textId="5AB65461" w:rsidR="00B161A7" w:rsidRPr="00D532C9" w:rsidRDefault="00B161A7" w:rsidP="00B161A7">
      <w:pPr>
        <w:pStyle w:val="paragraph"/>
        <w:numPr>
          <w:ilvl w:val="0"/>
          <w:numId w:val="1"/>
        </w:numPr>
        <w:spacing w:before="0" w:beforeAutospacing="0" w:after="0" w:afterAutospacing="0" w:line="480" w:lineRule="auto"/>
        <w:textAlignment w:val="baseline"/>
        <w:rPr>
          <w:rStyle w:val="eop"/>
          <w:rFonts w:asciiTheme="minorHAnsi" w:hAnsiTheme="minorHAnsi" w:cstheme="minorHAnsi"/>
        </w:rPr>
      </w:pPr>
      <w:r w:rsidRPr="00D532C9">
        <w:rPr>
          <w:rStyle w:val="eop"/>
          <w:rFonts w:asciiTheme="minorHAnsi" w:hAnsiTheme="minorHAnsi" w:cstheme="minorHAnsi"/>
          <w:color w:val="000000"/>
        </w:rPr>
        <w:t xml:space="preserve">The frailty index approach to measuring frailty, which is based on accumulation of health, symptom and functional deficits across multiple domains, is a robust and commonly used approach to frailty measurement in other settings. </w:t>
      </w:r>
      <w:r w:rsidRPr="00D532C9">
        <w:rPr>
          <w:rStyle w:val="eop"/>
          <w:rFonts w:asciiTheme="minorHAnsi" w:hAnsiTheme="minorHAnsi" w:cstheme="minorHAnsi"/>
          <w:color w:val="000000"/>
        </w:rPr>
        <w:t xml:space="preserve">One key benefit is that it does not require specific data collection, and it can be applied retrospectively even after the original study has been completed. </w:t>
      </w:r>
    </w:p>
    <w:p w14:paraId="1FCFE49B" w14:textId="77777777" w:rsidR="00B161A7" w:rsidRPr="00D532C9" w:rsidRDefault="00B161A7" w:rsidP="00B161A7">
      <w:pPr>
        <w:pStyle w:val="paragraph"/>
        <w:spacing w:before="0" w:beforeAutospacing="0" w:after="0" w:afterAutospacing="0" w:line="480" w:lineRule="auto"/>
        <w:textAlignment w:val="baseline"/>
        <w:rPr>
          <w:rStyle w:val="eop"/>
          <w:rFonts w:asciiTheme="minorHAnsi" w:hAnsiTheme="minorHAnsi" w:cstheme="minorHAnsi"/>
        </w:rPr>
      </w:pPr>
    </w:p>
    <w:p w14:paraId="395CADC1" w14:textId="0A324204" w:rsidR="00B161A7" w:rsidRPr="00D532C9" w:rsidRDefault="00B161A7" w:rsidP="00B161A7">
      <w:pPr>
        <w:pStyle w:val="paragraph"/>
        <w:numPr>
          <w:ilvl w:val="0"/>
          <w:numId w:val="1"/>
        </w:numPr>
        <w:spacing w:before="0" w:beforeAutospacing="0" w:after="0" w:afterAutospacing="0" w:line="480" w:lineRule="auto"/>
        <w:textAlignment w:val="baseline"/>
        <w:rPr>
          <w:rStyle w:val="eop"/>
          <w:rFonts w:asciiTheme="minorHAnsi" w:hAnsiTheme="minorHAnsi" w:cstheme="minorHAnsi"/>
        </w:rPr>
      </w:pPr>
      <w:r w:rsidRPr="00D532C9">
        <w:rPr>
          <w:rStyle w:val="eop"/>
          <w:rFonts w:asciiTheme="minorHAnsi" w:hAnsiTheme="minorHAnsi" w:cstheme="minorHAnsi"/>
          <w:color w:val="000000"/>
        </w:rPr>
        <w:t xml:space="preserve">Here, we demonstrate creation of a robust and reliable frailty index using data that were already collected in clinical trials of a shingles vaccines.  </w:t>
      </w:r>
    </w:p>
    <w:p w14:paraId="338294EA" w14:textId="77777777" w:rsidR="00B161A7" w:rsidRPr="00D532C9" w:rsidRDefault="00B161A7" w:rsidP="00B161A7">
      <w:pPr>
        <w:pStyle w:val="ListParagraph"/>
        <w:rPr>
          <w:rStyle w:val="eop"/>
          <w:rFonts w:cstheme="minorHAnsi"/>
          <w:color w:val="000000"/>
        </w:rPr>
      </w:pPr>
    </w:p>
    <w:p w14:paraId="7560FB90" w14:textId="6B449656" w:rsidR="00B161A7" w:rsidRPr="00D532C9" w:rsidRDefault="00B161A7" w:rsidP="00B161A7">
      <w:pPr>
        <w:pStyle w:val="paragraph"/>
        <w:numPr>
          <w:ilvl w:val="0"/>
          <w:numId w:val="1"/>
        </w:numPr>
        <w:spacing w:before="0" w:beforeAutospacing="0" w:after="0" w:afterAutospacing="0" w:line="480" w:lineRule="auto"/>
        <w:textAlignment w:val="baseline"/>
        <w:rPr>
          <w:rFonts w:asciiTheme="minorHAnsi" w:hAnsiTheme="minorHAnsi" w:cstheme="minorHAnsi"/>
        </w:rPr>
      </w:pPr>
      <w:r w:rsidRPr="00D532C9">
        <w:rPr>
          <w:rStyle w:val="eop"/>
          <w:rFonts w:asciiTheme="minorHAnsi" w:hAnsiTheme="minorHAnsi" w:cstheme="minorHAnsi"/>
          <w:color w:val="000000"/>
        </w:rPr>
        <w:lastRenderedPageBreak/>
        <w:t xml:space="preserve">We included 41 items </w:t>
      </w:r>
      <w:r w:rsidRPr="00D532C9">
        <w:rPr>
          <w:rFonts w:asciiTheme="minorHAnsi" w:hAnsiTheme="minorHAnsi" w:cstheme="minorHAnsi"/>
        </w:rPr>
        <w:t xml:space="preserve">based on baseline medical history and </w:t>
      </w:r>
      <w:r w:rsidR="00D532C9" w:rsidRPr="00D532C9">
        <w:rPr>
          <w:rFonts w:asciiTheme="minorHAnsi" w:hAnsiTheme="minorHAnsi" w:cstheme="minorHAnsi"/>
        </w:rPr>
        <w:t>symptom and Quality of Life</w:t>
      </w:r>
      <w:r w:rsidR="00D532C9" w:rsidRPr="00D532C9">
        <w:rPr>
          <w:rFonts w:asciiTheme="minorHAnsi" w:hAnsiTheme="minorHAnsi" w:cstheme="minorHAnsi"/>
        </w:rPr>
        <w:t xml:space="preserve"> </w:t>
      </w:r>
      <w:r w:rsidR="00B74780" w:rsidRPr="00D532C9">
        <w:rPr>
          <w:rFonts w:asciiTheme="minorHAnsi" w:hAnsiTheme="minorHAnsi" w:cstheme="minorHAnsi"/>
        </w:rPr>
        <w:t xml:space="preserve">“patient reported outcomes” </w:t>
      </w:r>
      <w:r w:rsidRPr="00D532C9">
        <w:rPr>
          <w:rFonts w:asciiTheme="minorHAnsi" w:hAnsiTheme="minorHAnsi" w:cstheme="minorHAnsi"/>
        </w:rPr>
        <w:t>to generate the clinical trials frailty index. We show that it has properties that are consistent with frailty indices in other settings, including increasing with age, and being higher in women than in men</w:t>
      </w:r>
      <w:r w:rsidR="00B74780" w:rsidRPr="00D532C9">
        <w:rPr>
          <w:rFonts w:asciiTheme="minorHAnsi" w:hAnsiTheme="minorHAnsi" w:cstheme="minorHAnsi"/>
        </w:rPr>
        <w:t>, and predicting outcomes. Using r</w:t>
      </w:r>
      <w:r w:rsidRPr="00D532C9">
        <w:rPr>
          <w:rFonts w:asciiTheme="minorHAnsi" w:hAnsiTheme="minorHAnsi" w:cstheme="minorHAnsi"/>
        </w:rPr>
        <w:t>e-sampling methods</w:t>
      </w:r>
      <w:r w:rsidR="00B74780" w:rsidRPr="00D532C9">
        <w:rPr>
          <w:rFonts w:asciiTheme="minorHAnsi" w:hAnsiTheme="minorHAnsi" w:cstheme="minorHAnsi"/>
        </w:rPr>
        <w:t>, we</w:t>
      </w:r>
      <w:r w:rsidRPr="00D532C9">
        <w:rPr>
          <w:rFonts w:asciiTheme="minorHAnsi" w:hAnsiTheme="minorHAnsi" w:cstheme="minorHAnsi"/>
        </w:rPr>
        <w:t xml:space="preserve"> </w:t>
      </w:r>
      <w:r w:rsidR="00B74780" w:rsidRPr="00D532C9">
        <w:rPr>
          <w:rFonts w:asciiTheme="minorHAnsi" w:hAnsiTheme="minorHAnsi" w:cstheme="minorHAnsi"/>
        </w:rPr>
        <w:t xml:space="preserve">showed that </w:t>
      </w:r>
      <w:r w:rsidRPr="00D532C9">
        <w:rPr>
          <w:rFonts w:asciiTheme="minorHAnsi" w:hAnsiTheme="minorHAnsi" w:cstheme="minorHAnsi"/>
        </w:rPr>
        <w:t xml:space="preserve">its characteristics were consistent, demonstrating that it was not </w:t>
      </w:r>
      <w:r w:rsidRPr="00D532C9">
        <w:rPr>
          <w:rFonts w:asciiTheme="minorHAnsi" w:hAnsiTheme="minorHAnsi" w:cstheme="minorHAnsi"/>
          <w:lang w:val="en-IE"/>
        </w:rPr>
        <w:t>sensitive to inclusion</w:t>
      </w:r>
      <w:r w:rsidRPr="00D532C9">
        <w:rPr>
          <w:rFonts w:asciiTheme="minorHAnsi" w:hAnsiTheme="minorHAnsi" w:cstheme="minorHAnsi"/>
          <w:lang w:val="en-IE"/>
        </w:rPr>
        <w:t xml:space="preserve"> or </w:t>
      </w:r>
      <w:r w:rsidRPr="00D532C9">
        <w:rPr>
          <w:rFonts w:asciiTheme="minorHAnsi" w:hAnsiTheme="minorHAnsi" w:cstheme="minorHAnsi"/>
          <w:lang w:val="en-IE"/>
        </w:rPr>
        <w:t xml:space="preserve">exclusion of specific individual or groups of variables. </w:t>
      </w:r>
    </w:p>
    <w:p w14:paraId="2F23BADC" w14:textId="249FBF05" w:rsidR="00B161A7" w:rsidRPr="00D532C9" w:rsidRDefault="00B161A7" w:rsidP="00B161A7">
      <w:pPr>
        <w:pStyle w:val="paragraph"/>
        <w:spacing w:before="0" w:beforeAutospacing="0" w:after="0" w:afterAutospacing="0" w:line="480" w:lineRule="auto"/>
        <w:ind w:left="720"/>
        <w:textAlignment w:val="baseline"/>
        <w:rPr>
          <w:rFonts w:asciiTheme="minorHAnsi" w:hAnsiTheme="minorHAnsi" w:cstheme="minorHAnsi"/>
        </w:rPr>
      </w:pPr>
    </w:p>
    <w:p w14:paraId="2801C2B5" w14:textId="52DC9750" w:rsidR="00B161A7" w:rsidRPr="00D532C9" w:rsidRDefault="00B161A7" w:rsidP="00B161A7">
      <w:pPr>
        <w:pStyle w:val="paragraph"/>
        <w:numPr>
          <w:ilvl w:val="0"/>
          <w:numId w:val="3"/>
        </w:numPr>
        <w:spacing w:before="0" w:beforeAutospacing="0" w:after="0" w:afterAutospacing="0" w:line="480" w:lineRule="auto"/>
        <w:textAlignment w:val="baseline"/>
        <w:rPr>
          <w:rStyle w:val="eop"/>
          <w:rFonts w:asciiTheme="minorHAnsi" w:hAnsiTheme="minorHAnsi" w:cstheme="minorHAnsi"/>
          <w:sz w:val="18"/>
          <w:szCs w:val="18"/>
        </w:rPr>
      </w:pPr>
      <w:r w:rsidRPr="00D532C9">
        <w:rPr>
          <w:rStyle w:val="normaltextrun"/>
          <w:rFonts w:asciiTheme="minorHAnsi" w:hAnsiTheme="minorHAnsi" w:cstheme="minorHAnsi"/>
          <w:color w:val="000000"/>
          <w:lang w:val="en-US"/>
        </w:rPr>
        <w:t>We conclude that t</w:t>
      </w:r>
      <w:r w:rsidRPr="00D532C9">
        <w:rPr>
          <w:rStyle w:val="normaltextrun"/>
          <w:rFonts w:asciiTheme="minorHAnsi" w:hAnsiTheme="minorHAnsi" w:cstheme="minorHAnsi"/>
          <w:color w:val="000000"/>
          <w:lang w:val="en-US"/>
        </w:rPr>
        <w:t>he Clinical Trial-Frailty Index is a reliable</w:t>
      </w:r>
      <w:r w:rsidR="00B74780" w:rsidRPr="00D532C9">
        <w:rPr>
          <w:rStyle w:val="normaltextrun"/>
          <w:rFonts w:asciiTheme="minorHAnsi" w:hAnsiTheme="minorHAnsi" w:cstheme="minorHAnsi"/>
          <w:color w:val="000000"/>
          <w:lang w:val="en-US"/>
        </w:rPr>
        <w:t xml:space="preserve">, </w:t>
      </w:r>
      <w:r w:rsidRPr="00D532C9">
        <w:rPr>
          <w:rStyle w:val="normaltextrun"/>
          <w:rFonts w:asciiTheme="minorHAnsi" w:hAnsiTheme="minorHAnsi" w:cstheme="minorHAnsi"/>
          <w:color w:val="000000"/>
          <w:lang w:val="en-US"/>
        </w:rPr>
        <w:t xml:space="preserve">feasible </w:t>
      </w:r>
      <w:r w:rsidR="00B74780" w:rsidRPr="00D532C9">
        <w:rPr>
          <w:rStyle w:val="normaltextrun"/>
          <w:rFonts w:asciiTheme="minorHAnsi" w:hAnsiTheme="minorHAnsi" w:cstheme="minorHAnsi"/>
          <w:color w:val="000000"/>
          <w:lang w:val="en-US"/>
        </w:rPr>
        <w:t xml:space="preserve">and easy to implement </w:t>
      </w:r>
      <w:r w:rsidRPr="00D532C9">
        <w:rPr>
          <w:rStyle w:val="normaltextrun"/>
          <w:rFonts w:asciiTheme="minorHAnsi" w:hAnsiTheme="minorHAnsi" w:cstheme="minorHAnsi"/>
          <w:color w:val="000000"/>
          <w:lang w:val="en-US"/>
        </w:rPr>
        <w:t>way to consider frailty</w:t>
      </w:r>
      <w:r w:rsidRPr="00D532C9">
        <w:rPr>
          <w:rStyle w:val="normaltextrun"/>
          <w:rFonts w:asciiTheme="minorHAnsi" w:hAnsiTheme="minorHAnsi" w:cstheme="minorHAnsi"/>
          <w:color w:val="000000"/>
          <w:lang w:val="en-US"/>
        </w:rPr>
        <w:t>, either prospectively or retrospectively,</w:t>
      </w:r>
      <w:r w:rsidRPr="00D532C9">
        <w:rPr>
          <w:rStyle w:val="normaltextrun"/>
          <w:rFonts w:asciiTheme="minorHAnsi" w:hAnsiTheme="minorHAnsi" w:cstheme="minorHAnsi"/>
          <w:color w:val="000000"/>
          <w:lang w:val="en-US"/>
        </w:rPr>
        <w:t xml:space="preserve"> in existing and future </w:t>
      </w:r>
      <w:r w:rsidR="00B74780" w:rsidRPr="00D532C9">
        <w:rPr>
          <w:rStyle w:val="normaltextrun"/>
          <w:rFonts w:asciiTheme="minorHAnsi" w:hAnsiTheme="minorHAnsi" w:cstheme="minorHAnsi"/>
          <w:color w:val="000000"/>
          <w:lang w:val="en-US"/>
        </w:rPr>
        <w:t xml:space="preserve">vaccine </w:t>
      </w:r>
      <w:r w:rsidRPr="00D532C9">
        <w:rPr>
          <w:rStyle w:val="normaltextrun"/>
          <w:rFonts w:asciiTheme="minorHAnsi" w:hAnsiTheme="minorHAnsi" w:cstheme="minorHAnsi"/>
          <w:color w:val="000000"/>
          <w:lang w:val="en-US"/>
        </w:rPr>
        <w:t>clinical trials.</w:t>
      </w:r>
      <w:r w:rsidRPr="00D532C9">
        <w:rPr>
          <w:rStyle w:val="eop"/>
          <w:rFonts w:asciiTheme="minorHAnsi" w:hAnsiTheme="minorHAnsi" w:cstheme="minorHAnsi"/>
          <w:color w:val="000000"/>
        </w:rPr>
        <w:t> </w:t>
      </w:r>
    </w:p>
    <w:p w14:paraId="085A9BC6" w14:textId="7D0E488A" w:rsidR="00B161A7" w:rsidRPr="00D532C9" w:rsidRDefault="00B161A7" w:rsidP="00B161A7">
      <w:pPr>
        <w:pStyle w:val="paragraph"/>
        <w:numPr>
          <w:ilvl w:val="0"/>
          <w:numId w:val="3"/>
        </w:numPr>
        <w:spacing w:before="0" w:beforeAutospacing="0" w:after="0" w:afterAutospacing="0" w:line="480" w:lineRule="auto"/>
        <w:textAlignment w:val="baseline"/>
        <w:rPr>
          <w:rFonts w:asciiTheme="minorHAnsi" w:hAnsiTheme="minorHAnsi" w:cstheme="minorHAnsi"/>
          <w:sz w:val="18"/>
          <w:szCs w:val="18"/>
        </w:rPr>
      </w:pPr>
      <w:r w:rsidRPr="00D532C9">
        <w:rPr>
          <w:rFonts w:asciiTheme="minorHAnsi" w:hAnsiTheme="minorHAnsi" w:cstheme="minorHAnsi"/>
        </w:rPr>
        <w:t>Including frailty measures in clinical trials represents an important step forward in understanding how and whether interventions will benefit frail older adults.</w:t>
      </w:r>
    </w:p>
    <w:sectPr w:rsidR="00B161A7" w:rsidRPr="00D532C9" w:rsidSect="00FE4F2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940DD0"/>
    <w:multiLevelType w:val="hybridMultilevel"/>
    <w:tmpl w:val="40CE8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005BF5"/>
    <w:multiLevelType w:val="hybridMultilevel"/>
    <w:tmpl w:val="24B23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AD2880"/>
    <w:multiLevelType w:val="hybridMultilevel"/>
    <w:tmpl w:val="FE86F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1A7"/>
    <w:rsid w:val="00B161A7"/>
    <w:rsid w:val="00B74780"/>
    <w:rsid w:val="00C0620E"/>
    <w:rsid w:val="00D532C9"/>
    <w:rsid w:val="00FE4F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27A79EE"/>
  <w14:defaultImageDpi w14:val="32767"/>
  <w15:chartTrackingRefBased/>
  <w15:docId w15:val="{DB990FA9-2BEB-A042-B4EC-DA6836C2F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161A7"/>
    <w:pPr>
      <w:spacing w:before="100" w:beforeAutospacing="1" w:after="100" w:afterAutospacing="1"/>
    </w:pPr>
    <w:rPr>
      <w:rFonts w:ascii="Times New Roman" w:eastAsia="Times New Roman" w:hAnsi="Times New Roman" w:cs="Times New Roman"/>
      <w:lang w:val="en-GB" w:eastAsia="en-GB"/>
    </w:rPr>
  </w:style>
  <w:style w:type="character" w:customStyle="1" w:styleId="normaltextrun">
    <w:name w:val="normaltextrun"/>
    <w:basedOn w:val="DefaultParagraphFont"/>
    <w:rsid w:val="00B161A7"/>
  </w:style>
  <w:style w:type="character" w:customStyle="1" w:styleId="eop">
    <w:name w:val="eop"/>
    <w:basedOn w:val="DefaultParagraphFont"/>
    <w:rsid w:val="00B161A7"/>
  </w:style>
  <w:style w:type="paragraph" w:styleId="ListParagraph">
    <w:name w:val="List Paragraph"/>
    <w:basedOn w:val="Normal"/>
    <w:uiPriority w:val="34"/>
    <w:qFormat/>
    <w:rsid w:val="00B161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2</Pages>
  <Words>334</Words>
  <Characters>1905</Characters>
  <Application>Microsoft Office Word</Application>
  <DocSecurity>0</DocSecurity>
  <Lines>15</Lines>
  <Paragraphs>4</Paragraphs>
  <ScaleCrop>false</ScaleCrop>
  <Company/>
  <LinksUpToDate>false</LinksUpToDate>
  <CharactersWithSpaces>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Andrew</dc:creator>
  <cp:keywords/>
  <dc:description/>
  <cp:lastModifiedBy>Melissa Andrew</cp:lastModifiedBy>
  <cp:revision>3</cp:revision>
  <dcterms:created xsi:type="dcterms:W3CDTF">2022-02-17T13:25:00Z</dcterms:created>
  <dcterms:modified xsi:type="dcterms:W3CDTF">2022-02-17T14:50:00Z</dcterms:modified>
</cp:coreProperties>
</file>