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17C59" w14:textId="77777777" w:rsidR="0075452F" w:rsidRPr="00EE6C8D" w:rsidRDefault="00000000">
      <w:pPr>
        <w:jc w:val="center"/>
        <w:rPr>
          <w:color w:val="000000" w:themeColor="text1"/>
        </w:rPr>
      </w:pPr>
      <w:r w:rsidRPr="00EE6C8D">
        <w:rPr>
          <w:b/>
          <w:color w:val="000000" w:themeColor="text1"/>
          <w:sz w:val="32"/>
        </w:rPr>
        <w:t>Supplementary Material</w:t>
      </w:r>
    </w:p>
    <w:p w14:paraId="32AC2176" w14:textId="77777777" w:rsidR="0075452F" w:rsidRPr="00EE6C8D" w:rsidRDefault="00000000">
      <w:pPr>
        <w:jc w:val="center"/>
        <w:rPr>
          <w:color w:val="000000" w:themeColor="text1"/>
        </w:rPr>
      </w:pPr>
      <w:r w:rsidRPr="00EE6C8D">
        <w:rPr>
          <w:i/>
          <w:color w:val="000000" w:themeColor="text1"/>
          <w:sz w:val="22"/>
        </w:rPr>
        <w:t>Metabolic Dysfunction Outweighs Inflammatory Burden in Association with Hyperuricemia: A Cross-Sectional Study in a Large Health Examination Cohort</w:t>
      </w:r>
    </w:p>
    <w:p w14:paraId="108C8AC4" w14:textId="77777777" w:rsidR="0075452F" w:rsidRPr="00EE6C8D" w:rsidRDefault="00000000">
      <w:pPr>
        <w:pStyle w:val="1"/>
        <w:rPr>
          <w:color w:val="000000" w:themeColor="text1"/>
        </w:rPr>
      </w:pPr>
      <w:r w:rsidRPr="00EE6C8D">
        <w:rPr>
          <w:color w:val="000000" w:themeColor="text1"/>
        </w:rPr>
        <w:t>Supplementary Tables</w:t>
      </w:r>
    </w:p>
    <w:p w14:paraId="7AB449B1" w14:textId="77777777" w:rsidR="0075452F" w:rsidRPr="00EE6C8D" w:rsidRDefault="00000000">
      <w:pPr>
        <w:rPr>
          <w:color w:val="000000" w:themeColor="text1"/>
        </w:rPr>
      </w:pPr>
      <w:r w:rsidRPr="00EE6C8D">
        <w:rPr>
          <w:b/>
          <w:color w:val="000000" w:themeColor="text1"/>
        </w:rPr>
        <w:t>Supplementary Table S1. Comparison of participants included in and excluded from the TyG analysis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772"/>
        <w:gridCol w:w="2984"/>
        <w:gridCol w:w="3260"/>
        <w:gridCol w:w="880"/>
      </w:tblGrid>
      <w:tr w:rsidR="00A747D3" w:rsidRPr="00EE6C8D" w14:paraId="5069B3B1" w14:textId="77777777" w:rsidTr="00EE6C8D">
        <w:trPr>
          <w:jc w:val="center"/>
        </w:trPr>
        <w:tc>
          <w:tcPr>
            <w:tcW w:w="2772" w:type="dxa"/>
            <w:vAlign w:val="center"/>
          </w:tcPr>
          <w:p w14:paraId="717C149B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Variable</w:t>
            </w:r>
          </w:p>
        </w:tc>
        <w:tc>
          <w:tcPr>
            <w:tcW w:w="2984" w:type="dxa"/>
            <w:vAlign w:val="center"/>
          </w:tcPr>
          <w:p w14:paraId="402F65E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Included in TyG analysis (n = 4,193)</w:t>
            </w:r>
          </w:p>
        </w:tc>
        <w:tc>
          <w:tcPr>
            <w:tcW w:w="3260" w:type="dxa"/>
            <w:vAlign w:val="center"/>
          </w:tcPr>
          <w:p w14:paraId="756663C1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Excluded from TyG analysis (n = 4,240)</w:t>
            </w:r>
          </w:p>
        </w:tc>
        <w:tc>
          <w:tcPr>
            <w:tcW w:w="880" w:type="dxa"/>
            <w:vAlign w:val="center"/>
          </w:tcPr>
          <w:p w14:paraId="740DCC76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P value</w:t>
            </w:r>
          </w:p>
        </w:tc>
      </w:tr>
      <w:tr w:rsidR="00A747D3" w:rsidRPr="00EE6C8D" w14:paraId="661B958C" w14:textId="77777777" w:rsidTr="00EE6C8D">
        <w:trPr>
          <w:jc w:val="center"/>
        </w:trPr>
        <w:tc>
          <w:tcPr>
            <w:tcW w:w="2772" w:type="dxa"/>
            <w:vAlign w:val="center"/>
          </w:tcPr>
          <w:p w14:paraId="021F6BA4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Age, years</w:t>
            </w:r>
          </w:p>
        </w:tc>
        <w:tc>
          <w:tcPr>
            <w:tcW w:w="2984" w:type="dxa"/>
            <w:vAlign w:val="center"/>
          </w:tcPr>
          <w:p w14:paraId="0A7119FE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47.05 ± 14.60</w:t>
            </w:r>
          </w:p>
        </w:tc>
        <w:tc>
          <w:tcPr>
            <w:tcW w:w="3260" w:type="dxa"/>
            <w:vAlign w:val="center"/>
          </w:tcPr>
          <w:p w14:paraId="2FFEED95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58.76 ± 15.87</w:t>
            </w:r>
          </w:p>
        </w:tc>
        <w:tc>
          <w:tcPr>
            <w:tcW w:w="880" w:type="dxa"/>
            <w:vAlign w:val="center"/>
          </w:tcPr>
          <w:p w14:paraId="61ED4276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&lt;0.001</w:t>
            </w:r>
          </w:p>
        </w:tc>
      </w:tr>
      <w:tr w:rsidR="00A747D3" w:rsidRPr="00EE6C8D" w14:paraId="089E093B" w14:textId="77777777" w:rsidTr="00EE6C8D">
        <w:trPr>
          <w:jc w:val="center"/>
        </w:trPr>
        <w:tc>
          <w:tcPr>
            <w:tcW w:w="2772" w:type="dxa"/>
            <w:vAlign w:val="center"/>
          </w:tcPr>
          <w:p w14:paraId="4B451AF0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Male, n (%)</w:t>
            </w:r>
          </w:p>
        </w:tc>
        <w:tc>
          <w:tcPr>
            <w:tcW w:w="2984" w:type="dxa"/>
            <w:vAlign w:val="center"/>
          </w:tcPr>
          <w:p w14:paraId="3527456D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2369 (56.5%)</w:t>
            </w:r>
          </w:p>
        </w:tc>
        <w:tc>
          <w:tcPr>
            <w:tcW w:w="3260" w:type="dxa"/>
            <w:vAlign w:val="center"/>
          </w:tcPr>
          <w:p w14:paraId="3E9F3114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2393 (56.4%)</w:t>
            </w:r>
          </w:p>
        </w:tc>
        <w:tc>
          <w:tcPr>
            <w:tcW w:w="880" w:type="dxa"/>
            <w:vAlign w:val="center"/>
          </w:tcPr>
          <w:p w14:paraId="7C2A94DE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0.973</w:t>
            </w:r>
          </w:p>
        </w:tc>
      </w:tr>
      <w:tr w:rsidR="00A747D3" w:rsidRPr="00EE6C8D" w14:paraId="2E558D5C" w14:textId="77777777" w:rsidTr="00EE6C8D">
        <w:trPr>
          <w:jc w:val="center"/>
        </w:trPr>
        <w:tc>
          <w:tcPr>
            <w:tcW w:w="2772" w:type="dxa"/>
            <w:vAlign w:val="center"/>
          </w:tcPr>
          <w:p w14:paraId="31D4C439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Uric acid, µmol/L</w:t>
            </w:r>
          </w:p>
        </w:tc>
        <w:tc>
          <w:tcPr>
            <w:tcW w:w="2984" w:type="dxa"/>
            <w:vAlign w:val="center"/>
          </w:tcPr>
          <w:p w14:paraId="4A78837E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339.07 ± 84.84</w:t>
            </w:r>
          </w:p>
        </w:tc>
        <w:tc>
          <w:tcPr>
            <w:tcW w:w="3260" w:type="dxa"/>
            <w:vAlign w:val="center"/>
          </w:tcPr>
          <w:p w14:paraId="0C5948E0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334.53 ± 79.09</w:t>
            </w:r>
          </w:p>
        </w:tc>
        <w:tc>
          <w:tcPr>
            <w:tcW w:w="880" w:type="dxa"/>
            <w:vAlign w:val="center"/>
          </w:tcPr>
          <w:p w14:paraId="584D7385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0.011</w:t>
            </w:r>
          </w:p>
        </w:tc>
      </w:tr>
      <w:tr w:rsidR="00A747D3" w:rsidRPr="00EE6C8D" w14:paraId="434C9748" w14:textId="77777777" w:rsidTr="00EE6C8D">
        <w:trPr>
          <w:jc w:val="center"/>
        </w:trPr>
        <w:tc>
          <w:tcPr>
            <w:tcW w:w="2772" w:type="dxa"/>
            <w:vAlign w:val="center"/>
          </w:tcPr>
          <w:p w14:paraId="231CC64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Hyperuricemia, n (%)</w:t>
            </w:r>
          </w:p>
        </w:tc>
        <w:tc>
          <w:tcPr>
            <w:tcW w:w="2984" w:type="dxa"/>
            <w:vAlign w:val="center"/>
          </w:tcPr>
          <w:p w14:paraId="21F08DE8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781 (18.6%)</w:t>
            </w:r>
          </w:p>
        </w:tc>
        <w:tc>
          <w:tcPr>
            <w:tcW w:w="3260" w:type="dxa"/>
            <w:vAlign w:val="center"/>
          </w:tcPr>
          <w:p w14:paraId="2480C284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710 (16.7%)</w:t>
            </w:r>
          </w:p>
        </w:tc>
        <w:tc>
          <w:tcPr>
            <w:tcW w:w="880" w:type="dxa"/>
            <w:vAlign w:val="center"/>
          </w:tcPr>
          <w:p w14:paraId="7AB3157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0.025</w:t>
            </w:r>
          </w:p>
        </w:tc>
      </w:tr>
      <w:tr w:rsidR="00A747D3" w:rsidRPr="00EE6C8D" w14:paraId="695C3027" w14:textId="77777777" w:rsidTr="00EE6C8D">
        <w:trPr>
          <w:jc w:val="center"/>
        </w:trPr>
        <w:tc>
          <w:tcPr>
            <w:tcW w:w="2772" w:type="dxa"/>
            <w:vAlign w:val="center"/>
          </w:tcPr>
          <w:p w14:paraId="6C547F98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NHR</w:t>
            </w:r>
          </w:p>
        </w:tc>
        <w:tc>
          <w:tcPr>
            <w:tcW w:w="2984" w:type="dxa"/>
            <w:vAlign w:val="center"/>
          </w:tcPr>
          <w:p w14:paraId="00AFCD4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41.02 ± 11.45</w:t>
            </w:r>
          </w:p>
        </w:tc>
        <w:tc>
          <w:tcPr>
            <w:tcW w:w="3260" w:type="dxa"/>
            <w:vAlign w:val="center"/>
          </w:tcPr>
          <w:p w14:paraId="7362D55C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42.05 ± 12.75</w:t>
            </w:r>
          </w:p>
        </w:tc>
        <w:tc>
          <w:tcPr>
            <w:tcW w:w="880" w:type="dxa"/>
            <w:vAlign w:val="center"/>
          </w:tcPr>
          <w:p w14:paraId="31A02FF2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&lt;0.001</w:t>
            </w:r>
          </w:p>
        </w:tc>
      </w:tr>
      <w:tr w:rsidR="00A747D3" w:rsidRPr="00EE6C8D" w14:paraId="7C7EBC6D" w14:textId="77777777" w:rsidTr="00EE6C8D">
        <w:trPr>
          <w:jc w:val="center"/>
        </w:trPr>
        <w:tc>
          <w:tcPr>
            <w:tcW w:w="2772" w:type="dxa"/>
            <w:vAlign w:val="center"/>
          </w:tcPr>
          <w:p w14:paraId="10B02ED3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Neutrophil proportion, %</w:t>
            </w:r>
          </w:p>
        </w:tc>
        <w:tc>
          <w:tcPr>
            <w:tcW w:w="2984" w:type="dxa"/>
            <w:vAlign w:val="center"/>
          </w:tcPr>
          <w:p w14:paraId="52010248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54.28 ± 8.01</w:t>
            </w:r>
          </w:p>
        </w:tc>
        <w:tc>
          <w:tcPr>
            <w:tcW w:w="3260" w:type="dxa"/>
            <w:vAlign w:val="center"/>
          </w:tcPr>
          <w:p w14:paraId="0BC175C0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54.81 ± 8.39</w:t>
            </w:r>
          </w:p>
        </w:tc>
        <w:tc>
          <w:tcPr>
            <w:tcW w:w="880" w:type="dxa"/>
            <w:vAlign w:val="center"/>
          </w:tcPr>
          <w:p w14:paraId="17CF0851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0.003</w:t>
            </w:r>
          </w:p>
        </w:tc>
      </w:tr>
      <w:tr w:rsidR="00A747D3" w:rsidRPr="00EE6C8D" w14:paraId="49040526" w14:textId="77777777" w:rsidTr="00EE6C8D">
        <w:trPr>
          <w:jc w:val="center"/>
        </w:trPr>
        <w:tc>
          <w:tcPr>
            <w:tcW w:w="2772" w:type="dxa"/>
            <w:vAlign w:val="center"/>
          </w:tcPr>
          <w:p w14:paraId="250F99DC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HDL cholesterol, mmol/L</w:t>
            </w:r>
          </w:p>
        </w:tc>
        <w:tc>
          <w:tcPr>
            <w:tcW w:w="2984" w:type="dxa"/>
            <w:vAlign w:val="center"/>
          </w:tcPr>
          <w:p w14:paraId="628E54ED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1.39 ± 0.32</w:t>
            </w:r>
          </w:p>
        </w:tc>
        <w:tc>
          <w:tcPr>
            <w:tcW w:w="3260" w:type="dxa"/>
            <w:vAlign w:val="center"/>
          </w:tcPr>
          <w:p w14:paraId="095CF74B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1.38 ± 0.33</w:t>
            </w:r>
          </w:p>
        </w:tc>
        <w:tc>
          <w:tcPr>
            <w:tcW w:w="880" w:type="dxa"/>
            <w:vAlign w:val="center"/>
          </w:tcPr>
          <w:p w14:paraId="4E87C100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0.168</w:t>
            </w:r>
          </w:p>
        </w:tc>
      </w:tr>
      <w:tr w:rsidR="00A747D3" w:rsidRPr="00EE6C8D" w14:paraId="40BB492E" w14:textId="77777777" w:rsidTr="00EE6C8D">
        <w:trPr>
          <w:jc w:val="center"/>
        </w:trPr>
        <w:tc>
          <w:tcPr>
            <w:tcW w:w="2772" w:type="dxa"/>
            <w:vAlign w:val="center"/>
          </w:tcPr>
          <w:p w14:paraId="3A466F14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Alanine aminotransferase, U/L</w:t>
            </w:r>
          </w:p>
        </w:tc>
        <w:tc>
          <w:tcPr>
            <w:tcW w:w="2984" w:type="dxa"/>
            <w:vAlign w:val="center"/>
          </w:tcPr>
          <w:p w14:paraId="3B2017CD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23.90 ± 18.63</w:t>
            </w:r>
          </w:p>
        </w:tc>
        <w:tc>
          <w:tcPr>
            <w:tcW w:w="3260" w:type="dxa"/>
            <w:vAlign w:val="center"/>
          </w:tcPr>
          <w:p w14:paraId="593DDC8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22.95 ± 16.94</w:t>
            </w:r>
          </w:p>
        </w:tc>
        <w:tc>
          <w:tcPr>
            <w:tcW w:w="880" w:type="dxa"/>
            <w:vAlign w:val="center"/>
          </w:tcPr>
          <w:p w14:paraId="354204B4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0.014</w:t>
            </w:r>
          </w:p>
        </w:tc>
      </w:tr>
      <w:tr w:rsidR="00A747D3" w:rsidRPr="00EE6C8D" w14:paraId="00D24FF5" w14:textId="77777777" w:rsidTr="00EE6C8D">
        <w:trPr>
          <w:jc w:val="center"/>
        </w:trPr>
        <w:tc>
          <w:tcPr>
            <w:tcW w:w="2772" w:type="dxa"/>
            <w:vAlign w:val="center"/>
          </w:tcPr>
          <w:p w14:paraId="6BF330BE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Aspartate aminotransferase, U/L</w:t>
            </w:r>
          </w:p>
        </w:tc>
        <w:tc>
          <w:tcPr>
            <w:tcW w:w="2984" w:type="dxa"/>
            <w:vAlign w:val="center"/>
          </w:tcPr>
          <w:p w14:paraId="6BA1CA5A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22.70 ± 8.94</w:t>
            </w:r>
          </w:p>
        </w:tc>
        <w:tc>
          <w:tcPr>
            <w:tcW w:w="3260" w:type="dxa"/>
            <w:vAlign w:val="center"/>
          </w:tcPr>
          <w:p w14:paraId="38DCDD1A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23.35 ± 9.11</w:t>
            </w:r>
          </w:p>
        </w:tc>
        <w:tc>
          <w:tcPr>
            <w:tcW w:w="880" w:type="dxa"/>
            <w:vAlign w:val="center"/>
          </w:tcPr>
          <w:p w14:paraId="0C1AF269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0.001</w:t>
            </w:r>
          </w:p>
        </w:tc>
      </w:tr>
      <w:tr w:rsidR="00A747D3" w:rsidRPr="00EE6C8D" w14:paraId="06AC7875" w14:textId="77777777" w:rsidTr="00EE6C8D">
        <w:trPr>
          <w:jc w:val="center"/>
        </w:trPr>
        <w:tc>
          <w:tcPr>
            <w:tcW w:w="2772" w:type="dxa"/>
            <w:vAlign w:val="center"/>
          </w:tcPr>
          <w:p w14:paraId="1F522B1E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Creatinine, µmol/L</w:t>
            </w:r>
          </w:p>
        </w:tc>
        <w:tc>
          <w:tcPr>
            <w:tcW w:w="2984" w:type="dxa"/>
            <w:vAlign w:val="center"/>
          </w:tcPr>
          <w:p w14:paraId="2E4CF1D2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71.05 ± 15.30</w:t>
            </w:r>
          </w:p>
        </w:tc>
        <w:tc>
          <w:tcPr>
            <w:tcW w:w="3260" w:type="dxa"/>
            <w:vAlign w:val="center"/>
          </w:tcPr>
          <w:p w14:paraId="58E5D50D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70.92 ± 17.35</w:t>
            </w:r>
          </w:p>
        </w:tc>
        <w:tc>
          <w:tcPr>
            <w:tcW w:w="880" w:type="dxa"/>
            <w:vAlign w:val="center"/>
          </w:tcPr>
          <w:p w14:paraId="042B280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0.712</w:t>
            </w:r>
          </w:p>
        </w:tc>
      </w:tr>
      <w:tr w:rsidR="00A747D3" w:rsidRPr="00EE6C8D" w14:paraId="1A372E81" w14:textId="77777777" w:rsidTr="00EE6C8D">
        <w:trPr>
          <w:jc w:val="center"/>
        </w:trPr>
        <w:tc>
          <w:tcPr>
            <w:tcW w:w="2772" w:type="dxa"/>
            <w:vAlign w:val="center"/>
          </w:tcPr>
          <w:p w14:paraId="2195CC0A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Blood urea nitrogen, mmol/L</w:t>
            </w:r>
          </w:p>
        </w:tc>
        <w:tc>
          <w:tcPr>
            <w:tcW w:w="2984" w:type="dxa"/>
            <w:vAlign w:val="center"/>
          </w:tcPr>
          <w:p w14:paraId="0AC16391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5.10 ± 1.27</w:t>
            </w:r>
          </w:p>
        </w:tc>
        <w:tc>
          <w:tcPr>
            <w:tcW w:w="3260" w:type="dxa"/>
            <w:vAlign w:val="center"/>
          </w:tcPr>
          <w:p w14:paraId="3815738A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5.64 ± 1.58</w:t>
            </w:r>
          </w:p>
        </w:tc>
        <w:tc>
          <w:tcPr>
            <w:tcW w:w="880" w:type="dxa"/>
            <w:vAlign w:val="center"/>
          </w:tcPr>
          <w:p w14:paraId="29FE4203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&lt;0.001</w:t>
            </w:r>
          </w:p>
        </w:tc>
      </w:tr>
      <w:tr w:rsidR="00A747D3" w:rsidRPr="00EE6C8D" w14:paraId="2C2A33EB" w14:textId="77777777" w:rsidTr="00EE6C8D">
        <w:trPr>
          <w:jc w:val="center"/>
        </w:trPr>
        <w:tc>
          <w:tcPr>
            <w:tcW w:w="2772" w:type="dxa"/>
            <w:vAlign w:val="center"/>
          </w:tcPr>
          <w:p w14:paraId="51FFD44B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White blood cell count, ×10⁹/L</w:t>
            </w:r>
          </w:p>
        </w:tc>
        <w:tc>
          <w:tcPr>
            <w:tcW w:w="2984" w:type="dxa"/>
            <w:vAlign w:val="center"/>
          </w:tcPr>
          <w:p w14:paraId="5E801B62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6.13 ± 1.55</w:t>
            </w:r>
          </w:p>
        </w:tc>
        <w:tc>
          <w:tcPr>
            <w:tcW w:w="3260" w:type="dxa"/>
            <w:vAlign w:val="center"/>
          </w:tcPr>
          <w:p w14:paraId="73A76C25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6.18 ± 1.61</w:t>
            </w:r>
          </w:p>
        </w:tc>
        <w:tc>
          <w:tcPr>
            <w:tcW w:w="880" w:type="dxa"/>
            <w:vAlign w:val="center"/>
          </w:tcPr>
          <w:p w14:paraId="78ECB6B5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0.144</w:t>
            </w:r>
          </w:p>
        </w:tc>
      </w:tr>
      <w:tr w:rsidR="00A747D3" w:rsidRPr="00EE6C8D" w14:paraId="3899EEAC" w14:textId="77777777" w:rsidTr="00EE6C8D">
        <w:trPr>
          <w:jc w:val="center"/>
        </w:trPr>
        <w:tc>
          <w:tcPr>
            <w:tcW w:w="2772" w:type="dxa"/>
            <w:vAlign w:val="center"/>
          </w:tcPr>
          <w:p w14:paraId="6A168314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Hemoglobin, g/L</w:t>
            </w:r>
          </w:p>
        </w:tc>
        <w:tc>
          <w:tcPr>
            <w:tcW w:w="2984" w:type="dxa"/>
            <w:vAlign w:val="center"/>
          </w:tcPr>
          <w:p w14:paraId="7CAF85C1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144.81 ± 14.88</w:t>
            </w:r>
          </w:p>
        </w:tc>
        <w:tc>
          <w:tcPr>
            <w:tcW w:w="3260" w:type="dxa"/>
            <w:vAlign w:val="center"/>
          </w:tcPr>
          <w:p w14:paraId="74AB481A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144.97 ± 14.86</w:t>
            </w:r>
          </w:p>
        </w:tc>
        <w:tc>
          <w:tcPr>
            <w:tcW w:w="880" w:type="dxa"/>
            <w:vAlign w:val="center"/>
          </w:tcPr>
          <w:p w14:paraId="69FA0B8C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0.617</w:t>
            </w:r>
          </w:p>
        </w:tc>
      </w:tr>
      <w:tr w:rsidR="00A747D3" w:rsidRPr="00EE6C8D" w14:paraId="61B47C09" w14:textId="77777777" w:rsidTr="00EE6C8D">
        <w:trPr>
          <w:jc w:val="center"/>
        </w:trPr>
        <w:tc>
          <w:tcPr>
            <w:tcW w:w="2772" w:type="dxa"/>
            <w:vAlign w:val="center"/>
          </w:tcPr>
          <w:p w14:paraId="04661D25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Platelet count, ×10⁹/L</w:t>
            </w:r>
          </w:p>
        </w:tc>
        <w:tc>
          <w:tcPr>
            <w:tcW w:w="2984" w:type="dxa"/>
            <w:vAlign w:val="center"/>
          </w:tcPr>
          <w:p w14:paraId="5C78D40E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246.81 ± 59.23</w:t>
            </w:r>
          </w:p>
        </w:tc>
        <w:tc>
          <w:tcPr>
            <w:tcW w:w="3260" w:type="dxa"/>
            <w:vAlign w:val="center"/>
          </w:tcPr>
          <w:p w14:paraId="226BFF18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236.37 ± 59.54</w:t>
            </w:r>
          </w:p>
        </w:tc>
        <w:tc>
          <w:tcPr>
            <w:tcW w:w="880" w:type="dxa"/>
            <w:vAlign w:val="center"/>
          </w:tcPr>
          <w:p w14:paraId="242605AD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&lt;0.001</w:t>
            </w:r>
          </w:p>
        </w:tc>
      </w:tr>
      <w:tr w:rsidR="00A747D3" w:rsidRPr="00EE6C8D" w14:paraId="5F2B3277" w14:textId="77777777" w:rsidTr="00EE6C8D">
        <w:trPr>
          <w:jc w:val="center"/>
        </w:trPr>
        <w:tc>
          <w:tcPr>
            <w:tcW w:w="2772" w:type="dxa"/>
            <w:vAlign w:val="center"/>
          </w:tcPr>
          <w:p w14:paraId="64075C54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Total cholesterol, mmol/L</w:t>
            </w:r>
          </w:p>
        </w:tc>
        <w:tc>
          <w:tcPr>
            <w:tcW w:w="2984" w:type="dxa"/>
            <w:vAlign w:val="center"/>
          </w:tcPr>
          <w:p w14:paraId="096DF469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5.07 ± 0.99</w:t>
            </w:r>
          </w:p>
        </w:tc>
        <w:tc>
          <w:tcPr>
            <w:tcW w:w="3260" w:type="dxa"/>
            <w:vAlign w:val="center"/>
          </w:tcPr>
          <w:p w14:paraId="5A46173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5.13 ± 1.13</w:t>
            </w:r>
          </w:p>
        </w:tc>
        <w:tc>
          <w:tcPr>
            <w:tcW w:w="880" w:type="dxa"/>
            <w:vAlign w:val="center"/>
          </w:tcPr>
          <w:p w14:paraId="4DF5863A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0.008</w:t>
            </w:r>
          </w:p>
        </w:tc>
      </w:tr>
      <w:tr w:rsidR="00A747D3" w:rsidRPr="00EE6C8D" w14:paraId="3B340680" w14:textId="77777777" w:rsidTr="00EE6C8D">
        <w:trPr>
          <w:jc w:val="center"/>
        </w:trPr>
        <w:tc>
          <w:tcPr>
            <w:tcW w:w="2772" w:type="dxa"/>
            <w:vAlign w:val="center"/>
          </w:tcPr>
          <w:p w14:paraId="173BDF71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HbA1c, %</w:t>
            </w:r>
          </w:p>
        </w:tc>
        <w:tc>
          <w:tcPr>
            <w:tcW w:w="2984" w:type="dxa"/>
            <w:vAlign w:val="center"/>
          </w:tcPr>
          <w:p w14:paraId="6EF7AE3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5.74 ± 0.35</w:t>
            </w:r>
          </w:p>
        </w:tc>
        <w:tc>
          <w:tcPr>
            <w:tcW w:w="3260" w:type="dxa"/>
            <w:vAlign w:val="center"/>
          </w:tcPr>
          <w:p w14:paraId="2EE36EB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6.27 ± 1.03</w:t>
            </w:r>
          </w:p>
        </w:tc>
        <w:tc>
          <w:tcPr>
            <w:tcW w:w="880" w:type="dxa"/>
            <w:vAlign w:val="center"/>
          </w:tcPr>
          <w:p w14:paraId="661B2A56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&lt;0.001</w:t>
            </w:r>
          </w:p>
        </w:tc>
      </w:tr>
      <w:tr w:rsidR="00A747D3" w:rsidRPr="00EE6C8D" w14:paraId="10A46730" w14:textId="77777777" w:rsidTr="00EE6C8D">
        <w:trPr>
          <w:jc w:val="center"/>
        </w:trPr>
        <w:tc>
          <w:tcPr>
            <w:tcW w:w="2772" w:type="dxa"/>
            <w:vAlign w:val="center"/>
          </w:tcPr>
          <w:p w14:paraId="55EA2D7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LDL cholesterol, mmol/L</w:t>
            </w:r>
          </w:p>
        </w:tc>
        <w:tc>
          <w:tcPr>
            <w:tcW w:w="2984" w:type="dxa"/>
            <w:vAlign w:val="center"/>
          </w:tcPr>
          <w:p w14:paraId="13E0488A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3.17 ± 0.74</w:t>
            </w:r>
          </w:p>
        </w:tc>
        <w:tc>
          <w:tcPr>
            <w:tcW w:w="3260" w:type="dxa"/>
            <w:vAlign w:val="center"/>
          </w:tcPr>
          <w:p w14:paraId="1E4BA316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3.15 ± 0.90</w:t>
            </w:r>
          </w:p>
        </w:tc>
        <w:tc>
          <w:tcPr>
            <w:tcW w:w="880" w:type="dxa"/>
            <w:vAlign w:val="center"/>
          </w:tcPr>
          <w:p w14:paraId="56BC4B5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0.560</w:t>
            </w:r>
          </w:p>
        </w:tc>
      </w:tr>
    </w:tbl>
    <w:p w14:paraId="0E175097" w14:textId="77777777" w:rsidR="0075452F" w:rsidRPr="00EE6C8D" w:rsidRDefault="0075452F">
      <w:pPr>
        <w:rPr>
          <w:color w:val="000000" w:themeColor="text1"/>
        </w:rPr>
      </w:pPr>
    </w:p>
    <w:p w14:paraId="2F7B7484" w14:textId="77777777" w:rsidR="0075452F" w:rsidRPr="00EE6C8D" w:rsidRDefault="00000000">
      <w:pPr>
        <w:rPr>
          <w:color w:val="000000" w:themeColor="text1"/>
        </w:rPr>
      </w:pPr>
      <w:r w:rsidRPr="00EE6C8D">
        <w:rPr>
          <w:b/>
          <w:color w:val="000000" w:themeColor="text1"/>
        </w:rPr>
        <w:t>Supplementary Table S2. Sex- and age-stratified associations of NHR and TyG with hyperuricemia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86"/>
        <w:gridCol w:w="1386"/>
        <w:gridCol w:w="1386"/>
        <w:gridCol w:w="1386"/>
        <w:gridCol w:w="1386"/>
        <w:gridCol w:w="1386"/>
        <w:gridCol w:w="1386"/>
        <w:gridCol w:w="1386"/>
      </w:tblGrid>
      <w:tr w:rsidR="00A747D3" w:rsidRPr="00EE6C8D" w14:paraId="5ECC50F1" w14:textId="77777777">
        <w:trPr>
          <w:jc w:val="center"/>
        </w:trPr>
        <w:tc>
          <w:tcPr>
            <w:tcW w:w="1386" w:type="dxa"/>
            <w:vAlign w:val="center"/>
          </w:tcPr>
          <w:p w14:paraId="2E31C69E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Exposure</w:t>
            </w:r>
          </w:p>
        </w:tc>
        <w:tc>
          <w:tcPr>
            <w:tcW w:w="1386" w:type="dxa"/>
            <w:vAlign w:val="center"/>
          </w:tcPr>
          <w:p w14:paraId="469D6CF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Stratifier</w:t>
            </w:r>
          </w:p>
        </w:tc>
        <w:tc>
          <w:tcPr>
            <w:tcW w:w="1386" w:type="dxa"/>
            <w:vAlign w:val="center"/>
          </w:tcPr>
          <w:p w14:paraId="206B450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Group</w:t>
            </w:r>
          </w:p>
        </w:tc>
        <w:tc>
          <w:tcPr>
            <w:tcW w:w="1386" w:type="dxa"/>
            <w:vAlign w:val="center"/>
          </w:tcPr>
          <w:p w14:paraId="4E4522CB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n</w:t>
            </w:r>
          </w:p>
        </w:tc>
        <w:tc>
          <w:tcPr>
            <w:tcW w:w="1386" w:type="dxa"/>
            <w:vAlign w:val="center"/>
          </w:tcPr>
          <w:p w14:paraId="4D54B77D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HUA cases</w:t>
            </w:r>
          </w:p>
        </w:tc>
        <w:tc>
          <w:tcPr>
            <w:tcW w:w="1386" w:type="dxa"/>
            <w:vAlign w:val="center"/>
          </w:tcPr>
          <w:p w14:paraId="461005E9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OR (95% CI)</w:t>
            </w:r>
          </w:p>
        </w:tc>
        <w:tc>
          <w:tcPr>
            <w:tcW w:w="1386" w:type="dxa"/>
            <w:vAlign w:val="center"/>
          </w:tcPr>
          <w:p w14:paraId="6FBF8AC4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P value</w:t>
            </w:r>
          </w:p>
        </w:tc>
        <w:tc>
          <w:tcPr>
            <w:tcW w:w="1386" w:type="dxa"/>
            <w:vAlign w:val="center"/>
          </w:tcPr>
          <w:p w14:paraId="223B7A3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P for interaction</w:t>
            </w:r>
          </w:p>
        </w:tc>
      </w:tr>
      <w:tr w:rsidR="00A747D3" w:rsidRPr="00EE6C8D" w14:paraId="07D422CA" w14:textId="77777777">
        <w:trPr>
          <w:jc w:val="center"/>
        </w:trPr>
        <w:tc>
          <w:tcPr>
            <w:tcW w:w="1386" w:type="dxa"/>
            <w:vAlign w:val="center"/>
          </w:tcPr>
          <w:p w14:paraId="5F4A19E5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NHR, per 1-SD</w:t>
            </w:r>
          </w:p>
        </w:tc>
        <w:tc>
          <w:tcPr>
            <w:tcW w:w="1386" w:type="dxa"/>
            <w:vAlign w:val="center"/>
          </w:tcPr>
          <w:p w14:paraId="38D0590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Sex</w:t>
            </w:r>
          </w:p>
        </w:tc>
        <w:tc>
          <w:tcPr>
            <w:tcW w:w="1386" w:type="dxa"/>
            <w:vAlign w:val="center"/>
          </w:tcPr>
          <w:p w14:paraId="2BF55963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Male</w:t>
            </w:r>
          </w:p>
        </w:tc>
        <w:tc>
          <w:tcPr>
            <w:tcW w:w="1386" w:type="dxa"/>
            <w:vAlign w:val="center"/>
          </w:tcPr>
          <w:p w14:paraId="7E72E2A2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4517</w:t>
            </w:r>
          </w:p>
        </w:tc>
        <w:tc>
          <w:tcPr>
            <w:tcW w:w="1386" w:type="dxa"/>
            <w:vAlign w:val="center"/>
          </w:tcPr>
          <w:p w14:paraId="186D5F7C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980</w:t>
            </w:r>
          </w:p>
        </w:tc>
        <w:tc>
          <w:tcPr>
            <w:tcW w:w="1386" w:type="dxa"/>
            <w:vAlign w:val="center"/>
          </w:tcPr>
          <w:p w14:paraId="36F4CAA0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1.11 (1.03-1.20)</w:t>
            </w:r>
          </w:p>
        </w:tc>
        <w:tc>
          <w:tcPr>
            <w:tcW w:w="1386" w:type="dxa"/>
            <w:vAlign w:val="center"/>
          </w:tcPr>
          <w:p w14:paraId="680E26E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0.008</w:t>
            </w:r>
          </w:p>
        </w:tc>
        <w:tc>
          <w:tcPr>
            <w:tcW w:w="1386" w:type="dxa"/>
            <w:vAlign w:val="center"/>
          </w:tcPr>
          <w:p w14:paraId="01F7506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&lt;0.001</w:t>
            </w:r>
          </w:p>
        </w:tc>
      </w:tr>
      <w:tr w:rsidR="00A747D3" w:rsidRPr="00EE6C8D" w14:paraId="19B4D0CE" w14:textId="77777777">
        <w:trPr>
          <w:jc w:val="center"/>
        </w:trPr>
        <w:tc>
          <w:tcPr>
            <w:tcW w:w="1386" w:type="dxa"/>
            <w:vAlign w:val="center"/>
          </w:tcPr>
          <w:p w14:paraId="704748AB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NHR, per 1-SD</w:t>
            </w:r>
          </w:p>
        </w:tc>
        <w:tc>
          <w:tcPr>
            <w:tcW w:w="1386" w:type="dxa"/>
            <w:vAlign w:val="center"/>
          </w:tcPr>
          <w:p w14:paraId="79BBBC2C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Sex</w:t>
            </w:r>
          </w:p>
        </w:tc>
        <w:tc>
          <w:tcPr>
            <w:tcW w:w="1386" w:type="dxa"/>
            <w:vAlign w:val="center"/>
          </w:tcPr>
          <w:p w14:paraId="322EE2D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Female</w:t>
            </w:r>
          </w:p>
        </w:tc>
        <w:tc>
          <w:tcPr>
            <w:tcW w:w="1386" w:type="dxa"/>
            <w:vAlign w:val="center"/>
          </w:tcPr>
          <w:p w14:paraId="4BC11983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3442</w:t>
            </w:r>
          </w:p>
        </w:tc>
        <w:tc>
          <w:tcPr>
            <w:tcW w:w="1386" w:type="dxa"/>
            <w:vAlign w:val="center"/>
          </w:tcPr>
          <w:p w14:paraId="49FC9466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418</w:t>
            </w:r>
          </w:p>
        </w:tc>
        <w:tc>
          <w:tcPr>
            <w:tcW w:w="1386" w:type="dxa"/>
            <w:vAlign w:val="center"/>
          </w:tcPr>
          <w:p w14:paraId="79D5F6C6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1.40 (1.22-1.60)</w:t>
            </w:r>
          </w:p>
        </w:tc>
        <w:tc>
          <w:tcPr>
            <w:tcW w:w="1386" w:type="dxa"/>
            <w:vAlign w:val="center"/>
          </w:tcPr>
          <w:p w14:paraId="20691573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&lt;0.001</w:t>
            </w:r>
          </w:p>
        </w:tc>
        <w:tc>
          <w:tcPr>
            <w:tcW w:w="1386" w:type="dxa"/>
            <w:vAlign w:val="center"/>
          </w:tcPr>
          <w:p w14:paraId="7A6898A4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&lt;0.001</w:t>
            </w:r>
          </w:p>
        </w:tc>
      </w:tr>
      <w:tr w:rsidR="00A747D3" w:rsidRPr="00EE6C8D" w14:paraId="473CE4C8" w14:textId="77777777">
        <w:trPr>
          <w:jc w:val="center"/>
        </w:trPr>
        <w:tc>
          <w:tcPr>
            <w:tcW w:w="1386" w:type="dxa"/>
            <w:vAlign w:val="center"/>
          </w:tcPr>
          <w:p w14:paraId="48BB20D0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NHR, per 1-SD</w:t>
            </w:r>
          </w:p>
        </w:tc>
        <w:tc>
          <w:tcPr>
            <w:tcW w:w="1386" w:type="dxa"/>
            <w:vAlign w:val="center"/>
          </w:tcPr>
          <w:p w14:paraId="4DE6AB52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Age</w:t>
            </w:r>
          </w:p>
        </w:tc>
        <w:tc>
          <w:tcPr>
            <w:tcW w:w="1386" w:type="dxa"/>
            <w:vAlign w:val="center"/>
          </w:tcPr>
          <w:p w14:paraId="254747E0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&lt;60 years</w:t>
            </w:r>
          </w:p>
        </w:tc>
        <w:tc>
          <w:tcPr>
            <w:tcW w:w="1386" w:type="dxa"/>
            <w:vAlign w:val="center"/>
          </w:tcPr>
          <w:p w14:paraId="3A9D231C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4299</w:t>
            </w:r>
          </w:p>
        </w:tc>
        <w:tc>
          <w:tcPr>
            <w:tcW w:w="1386" w:type="dxa"/>
            <w:vAlign w:val="center"/>
          </w:tcPr>
          <w:p w14:paraId="3958AEA2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820</w:t>
            </w:r>
          </w:p>
        </w:tc>
        <w:tc>
          <w:tcPr>
            <w:tcW w:w="1386" w:type="dxa"/>
            <w:vAlign w:val="center"/>
          </w:tcPr>
          <w:p w14:paraId="1A303EF1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1.17 (1.06-1.29)</w:t>
            </w:r>
          </w:p>
        </w:tc>
        <w:tc>
          <w:tcPr>
            <w:tcW w:w="1386" w:type="dxa"/>
            <w:vAlign w:val="center"/>
          </w:tcPr>
          <w:p w14:paraId="47EB5EF8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0.001</w:t>
            </w:r>
          </w:p>
        </w:tc>
        <w:tc>
          <w:tcPr>
            <w:tcW w:w="1386" w:type="dxa"/>
            <w:vAlign w:val="center"/>
          </w:tcPr>
          <w:p w14:paraId="2BA72B82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0.002</w:t>
            </w:r>
          </w:p>
        </w:tc>
      </w:tr>
      <w:tr w:rsidR="00A747D3" w:rsidRPr="00EE6C8D" w14:paraId="671FA811" w14:textId="77777777">
        <w:trPr>
          <w:jc w:val="center"/>
        </w:trPr>
        <w:tc>
          <w:tcPr>
            <w:tcW w:w="1386" w:type="dxa"/>
            <w:vAlign w:val="center"/>
          </w:tcPr>
          <w:p w14:paraId="06219C3C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NHR, per 1-SD</w:t>
            </w:r>
          </w:p>
        </w:tc>
        <w:tc>
          <w:tcPr>
            <w:tcW w:w="1386" w:type="dxa"/>
            <w:vAlign w:val="center"/>
          </w:tcPr>
          <w:p w14:paraId="5273598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Age</w:t>
            </w:r>
          </w:p>
        </w:tc>
        <w:tc>
          <w:tcPr>
            <w:tcW w:w="1386" w:type="dxa"/>
            <w:vAlign w:val="center"/>
          </w:tcPr>
          <w:p w14:paraId="2E3E5E92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≥60 years</w:t>
            </w:r>
          </w:p>
        </w:tc>
        <w:tc>
          <w:tcPr>
            <w:tcW w:w="1386" w:type="dxa"/>
            <w:vAlign w:val="center"/>
          </w:tcPr>
          <w:p w14:paraId="29BEC84E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3660</w:t>
            </w:r>
          </w:p>
        </w:tc>
        <w:tc>
          <w:tcPr>
            <w:tcW w:w="1386" w:type="dxa"/>
            <w:vAlign w:val="center"/>
          </w:tcPr>
          <w:p w14:paraId="171713D5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578</w:t>
            </w:r>
          </w:p>
        </w:tc>
        <w:tc>
          <w:tcPr>
            <w:tcW w:w="1386" w:type="dxa"/>
            <w:vAlign w:val="center"/>
          </w:tcPr>
          <w:p w14:paraId="6B608E65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1.15 (1.05-1.27)</w:t>
            </w:r>
          </w:p>
        </w:tc>
        <w:tc>
          <w:tcPr>
            <w:tcW w:w="1386" w:type="dxa"/>
            <w:vAlign w:val="center"/>
          </w:tcPr>
          <w:p w14:paraId="7243A57C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0.004</w:t>
            </w:r>
          </w:p>
        </w:tc>
        <w:tc>
          <w:tcPr>
            <w:tcW w:w="1386" w:type="dxa"/>
            <w:vAlign w:val="center"/>
          </w:tcPr>
          <w:p w14:paraId="28307C5C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0.002</w:t>
            </w:r>
          </w:p>
        </w:tc>
      </w:tr>
      <w:tr w:rsidR="00A747D3" w:rsidRPr="00EE6C8D" w14:paraId="51FBDA1F" w14:textId="77777777">
        <w:trPr>
          <w:jc w:val="center"/>
        </w:trPr>
        <w:tc>
          <w:tcPr>
            <w:tcW w:w="1386" w:type="dxa"/>
            <w:vAlign w:val="center"/>
          </w:tcPr>
          <w:p w14:paraId="447F7B6D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TyG, per 1-SD</w:t>
            </w:r>
          </w:p>
        </w:tc>
        <w:tc>
          <w:tcPr>
            <w:tcW w:w="1386" w:type="dxa"/>
            <w:vAlign w:val="center"/>
          </w:tcPr>
          <w:p w14:paraId="69AEE9F9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Sex</w:t>
            </w:r>
          </w:p>
        </w:tc>
        <w:tc>
          <w:tcPr>
            <w:tcW w:w="1386" w:type="dxa"/>
            <w:vAlign w:val="center"/>
          </w:tcPr>
          <w:p w14:paraId="7652EC71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Male</w:t>
            </w:r>
          </w:p>
        </w:tc>
        <w:tc>
          <w:tcPr>
            <w:tcW w:w="1386" w:type="dxa"/>
            <w:vAlign w:val="center"/>
          </w:tcPr>
          <w:p w14:paraId="664595F9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2369</w:t>
            </w:r>
          </w:p>
        </w:tc>
        <w:tc>
          <w:tcPr>
            <w:tcW w:w="1386" w:type="dxa"/>
            <w:vAlign w:val="center"/>
          </w:tcPr>
          <w:p w14:paraId="1697531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616</w:t>
            </w:r>
          </w:p>
        </w:tc>
        <w:tc>
          <w:tcPr>
            <w:tcW w:w="1386" w:type="dxa"/>
            <w:vAlign w:val="center"/>
          </w:tcPr>
          <w:p w14:paraId="465B66D5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1.49 (1.34-1.66)</w:t>
            </w:r>
          </w:p>
        </w:tc>
        <w:tc>
          <w:tcPr>
            <w:tcW w:w="1386" w:type="dxa"/>
            <w:vAlign w:val="center"/>
          </w:tcPr>
          <w:p w14:paraId="3B84CC2D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&lt;0.001</w:t>
            </w:r>
          </w:p>
        </w:tc>
        <w:tc>
          <w:tcPr>
            <w:tcW w:w="1386" w:type="dxa"/>
            <w:vAlign w:val="center"/>
          </w:tcPr>
          <w:p w14:paraId="7099A92B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&lt;0.001</w:t>
            </w:r>
          </w:p>
        </w:tc>
      </w:tr>
      <w:tr w:rsidR="00A747D3" w:rsidRPr="00EE6C8D" w14:paraId="1C7ECF54" w14:textId="77777777">
        <w:trPr>
          <w:jc w:val="center"/>
        </w:trPr>
        <w:tc>
          <w:tcPr>
            <w:tcW w:w="1386" w:type="dxa"/>
            <w:vAlign w:val="center"/>
          </w:tcPr>
          <w:p w14:paraId="45EBA8B5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TyG, per 1-SD</w:t>
            </w:r>
          </w:p>
        </w:tc>
        <w:tc>
          <w:tcPr>
            <w:tcW w:w="1386" w:type="dxa"/>
            <w:vAlign w:val="center"/>
          </w:tcPr>
          <w:p w14:paraId="7CB41299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Sex</w:t>
            </w:r>
          </w:p>
        </w:tc>
        <w:tc>
          <w:tcPr>
            <w:tcW w:w="1386" w:type="dxa"/>
            <w:vAlign w:val="center"/>
          </w:tcPr>
          <w:p w14:paraId="233A7889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Female</w:t>
            </w:r>
          </w:p>
        </w:tc>
        <w:tc>
          <w:tcPr>
            <w:tcW w:w="1386" w:type="dxa"/>
            <w:vAlign w:val="center"/>
          </w:tcPr>
          <w:p w14:paraId="152EEA7A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1824</w:t>
            </w:r>
          </w:p>
        </w:tc>
        <w:tc>
          <w:tcPr>
            <w:tcW w:w="1386" w:type="dxa"/>
            <w:vAlign w:val="center"/>
          </w:tcPr>
          <w:p w14:paraId="43E60178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165</w:t>
            </w:r>
          </w:p>
        </w:tc>
        <w:tc>
          <w:tcPr>
            <w:tcW w:w="1386" w:type="dxa"/>
            <w:vAlign w:val="center"/>
          </w:tcPr>
          <w:p w14:paraId="69D32671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2.04 (1.66-2.52)</w:t>
            </w:r>
          </w:p>
        </w:tc>
        <w:tc>
          <w:tcPr>
            <w:tcW w:w="1386" w:type="dxa"/>
            <w:vAlign w:val="center"/>
          </w:tcPr>
          <w:p w14:paraId="6476B2B0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&lt;0.001</w:t>
            </w:r>
          </w:p>
        </w:tc>
        <w:tc>
          <w:tcPr>
            <w:tcW w:w="1386" w:type="dxa"/>
            <w:vAlign w:val="center"/>
          </w:tcPr>
          <w:p w14:paraId="38B1EA85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&lt;0.001</w:t>
            </w:r>
          </w:p>
        </w:tc>
      </w:tr>
      <w:tr w:rsidR="00A747D3" w:rsidRPr="00EE6C8D" w14:paraId="1C91BACB" w14:textId="77777777">
        <w:trPr>
          <w:jc w:val="center"/>
        </w:trPr>
        <w:tc>
          <w:tcPr>
            <w:tcW w:w="1386" w:type="dxa"/>
            <w:vAlign w:val="center"/>
          </w:tcPr>
          <w:p w14:paraId="47E48948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TyG, per 1-SD</w:t>
            </w:r>
          </w:p>
        </w:tc>
        <w:tc>
          <w:tcPr>
            <w:tcW w:w="1386" w:type="dxa"/>
            <w:vAlign w:val="center"/>
          </w:tcPr>
          <w:p w14:paraId="257358BD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Age</w:t>
            </w:r>
          </w:p>
        </w:tc>
        <w:tc>
          <w:tcPr>
            <w:tcW w:w="1386" w:type="dxa"/>
            <w:vAlign w:val="center"/>
          </w:tcPr>
          <w:p w14:paraId="55200C5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&lt;60 years</w:t>
            </w:r>
          </w:p>
        </w:tc>
        <w:tc>
          <w:tcPr>
            <w:tcW w:w="1386" w:type="dxa"/>
            <w:vAlign w:val="center"/>
          </w:tcPr>
          <w:p w14:paraId="49877DD1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3138</w:t>
            </w:r>
          </w:p>
        </w:tc>
        <w:tc>
          <w:tcPr>
            <w:tcW w:w="1386" w:type="dxa"/>
            <w:vAlign w:val="center"/>
          </w:tcPr>
          <w:p w14:paraId="6DF28494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611</w:t>
            </w:r>
          </w:p>
        </w:tc>
        <w:tc>
          <w:tcPr>
            <w:tcW w:w="1386" w:type="dxa"/>
            <w:vAlign w:val="center"/>
          </w:tcPr>
          <w:p w14:paraId="0BD510D0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1.53 (1.37-1.71)</w:t>
            </w:r>
          </w:p>
        </w:tc>
        <w:tc>
          <w:tcPr>
            <w:tcW w:w="1386" w:type="dxa"/>
            <w:vAlign w:val="center"/>
          </w:tcPr>
          <w:p w14:paraId="07F2B689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&lt;0.001</w:t>
            </w:r>
          </w:p>
        </w:tc>
        <w:tc>
          <w:tcPr>
            <w:tcW w:w="1386" w:type="dxa"/>
            <w:vAlign w:val="center"/>
          </w:tcPr>
          <w:p w14:paraId="05515760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0.230</w:t>
            </w:r>
          </w:p>
        </w:tc>
      </w:tr>
      <w:tr w:rsidR="00A747D3" w:rsidRPr="00EE6C8D" w14:paraId="751C0185" w14:textId="77777777">
        <w:trPr>
          <w:jc w:val="center"/>
        </w:trPr>
        <w:tc>
          <w:tcPr>
            <w:tcW w:w="1386" w:type="dxa"/>
            <w:vAlign w:val="center"/>
          </w:tcPr>
          <w:p w14:paraId="1DB7CB13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TyG, per 1-SD</w:t>
            </w:r>
          </w:p>
        </w:tc>
        <w:tc>
          <w:tcPr>
            <w:tcW w:w="1386" w:type="dxa"/>
            <w:vAlign w:val="center"/>
          </w:tcPr>
          <w:p w14:paraId="2EF65CC3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Age</w:t>
            </w:r>
          </w:p>
        </w:tc>
        <w:tc>
          <w:tcPr>
            <w:tcW w:w="1386" w:type="dxa"/>
            <w:vAlign w:val="center"/>
          </w:tcPr>
          <w:p w14:paraId="3C517BE8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≥60 years</w:t>
            </w:r>
          </w:p>
        </w:tc>
        <w:tc>
          <w:tcPr>
            <w:tcW w:w="1386" w:type="dxa"/>
            <w:vAlign w:val="center"/>
          </w:tcPr>
          <w:p w14:paraId="1D0B4FAC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1055</w:t>
            </w:r>
          </w:p>
        </w:tc>
        <w:tc>
          <w:tcPr>
            <w:tcW w:w="1386" w:type="dxa"/>
            <w:vAlign w:val="center"/>
          </w:tcPr>
          <w:p w14:paraId="55FC2B89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170</w:t>
            </w:r>
          </w:p>
        </w:tc>
        <w:tc>
          <w:tcPr>
            <w:tcW w:w="1386" w:type="dxa"/>
            <w:vAlign w:val="center"/>
          </w:tcPr>
          <w:p w14:paraId="461F0D7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1.93 (1.58-2.36)</w:t>
            </w:r>
          </w:p>
        </w:tc>
        <w:tc>
          <w:tcPr>
            <w:tcW w:w="1386" w:type="dxa"/>
            <w:vAlign w:val="center"/>
          </w:tcPr>
          <w:p w14:paraId="30559C1A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&lt;0.001</w:t>
            </w:r>
          </w:p>
        </w:tc>
        <w:tc>
          <w:tcPr>
            <w:tcW w:w="1386" w:type="dxa"/>
            <w:vAlign w:val="center"/>
          </w:tcPr>
          <w:p w14:paraId="5F52588D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32"/>
              </w:rPr>
            </w:pPr>
            <w:r w:rsidRPr="00EE6C8D">
              <w:rPr>
                <w:color w:val="000000" w:themeColor="text1"/>
                <w:sz w:val="18"/>
                <w:szCs w:val="32"/>
              </w:rPr>
              <w:t>0.230</w:t>
            </w:r>
          </w:p>
        </w:tc>
      </w:tr>
    </w:tbl>
    <w:p w14:paraId="4E734586" w14:textId="77777777" w:rsidR="0075452F" w:rsidRPr="00EE6C8D" w:rsidRDefault="0075452F">
      <w:pPr>
        <w:rPr>
          <w:color w:val="000000" w:themeColor="text1"/>
        </w:rPr>
      </w:pPr>
    </w:p>
    <w:p w14:paraId="373F0969" w14:textId="77777777" w:rsidR="0075452F" w:rsidRPr="00EE6C8D" w:rsidRDefault="00000000">
      <w:pPr>
        <w:rPr>
          <w:color w:val="000000" w:themeColor="text1"/>
        </w:rPr>
      </w:pPr>
      <w:r w:rsidRPr="00EE6C8D">
        <w:rPr>
          <w:b/>
          <w:color w:val="000000" w:themeColor="text1"/>
        </w:rPr>
        <w:t>Supplementary Table S3. Sensitivity analysis using eGFR category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84"/>
        <w:gridCol w:w="4678"/>
        <w:gridCol w:w="1559"/>
      </w:tblGrid>
      <w:tr w:rsidR="00A747D3" w:rsidRPr="00EE6C8D" w14:paraId="29A079FD" w14:textId="77777777" w:rsidTr="00EE6C8D">
        <w:trPr>
          <w:jc w:val="center"/>
        </w:trPr>
        <w:tc>
          <w:tcPr>
            <w:tcW w:w="2284" w:type="dxa"/>
            <w:vAlign w:val="center"/>
          </w:tcPr>
          <w:p w14:paraId="0858D1EC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b/>
                <w:color w:val="000000" w:themeColor="text1"/>
                <w:sz w:val="18"/>
                <w:szCs w:val="28"/>
              </w:rPr>
              <w:t>Exposure</w:t>
            </w:r>
          </w:p>
        </w:tc>
        <w:tc>
          <w:tcPr>
            <w:tcW w:w="4678" w:type="dxa"/>
            <w:vAlign w:val="center"/>
          </w:tcPr>
          <w:p w14:paraId="5279F6DE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b/>
                <w:color w:val="000000" w:themeColor="text1"/>
                <w:sz w:val="18"/>
                <w:szCs w:val="28"/>
              </w:rPr>
              <w:t>Sensitivity model with eGFR category OR (95% CI)</w:t>
            </w:r>
          </w:p>
        </w:tc>
        <w:tc>
          <w:tcPr>
            <w:tcW w:w="1559" w:type="dxa"/>
            <w:vAlign w:val="center"/>
          </w:tcPr>
          <w:p w14:paraId="2C007BF7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b/>
                <w:color w:val="000000" w:themeColor="text1"/>
                <w:sz w:val="18"/>
                <w:szCs w:val="28"/>
              </w:rPr>
              <w:t>P value</w:t>
            </w:r>
          </w:p>
        </w:tc>
      </w:tr>
      <w:tr w:rsidR="00A747D3" w:rsidRPr="00EE6C8D" w14:paraId="54652C62" w14:textId="77777777" w:rsidTr="00EE6C8D">
        <w:trPr>
          <w:jc w:val="center"/>
        </w:trPr>
        <w:tc>
          <w:tcPr>
            <w:tcW w:w="2284" w:type="dxa"/>
            <w:vAlign w:val="center"/>
          </w:tcPr>
          <w:p w14:paraId="0C74AECA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NHR, per 1-SD</w:t>
            </w:r>
          </w:p>
        </w:tc>
        <w:tc>
          <w:tcPr>
            <w:tcW w:w="4678" w:type="dxa"/>
            <w:vAlign w:val="center"/>
          </w:tcPr>
          <w:p w14:paraId="7362209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1.16 (1.08-1.23)</w:t>
            </w:r>
          </w:p>
        </w:tc>
        <w:tc>
          <w:tcPr>
            <w:tcW w:w="1559" w:type="dxa"/>
            <w:vAlign w:val="center"/>
          </w:tcPr>
          <w:p w14:paraId="168A582B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&lt;0.001</w:t>
            </w:r>
          </w:p>
        </w:tc>
      </w:tr>
      <w:tr w:rsidR="00A747D3" w:rsidRPr="00EE6C8D" w14:paraId="0561BE63" w14:textId="77777777" w:rsidTr="00EE6C8D">
        <w:trPr>
          <w:jc w:val="center"/>
        </w:trPr>
        <w:tc>
          <w:tcPr>
            <w:tcW w:w="2284" w:type="dxa"/>
            <w:vAlign w:val="center"/>
          </w:tcPr>
          <w:p w14:paraId="48647F5F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TyG, per 1-SD</w:t>
            </w:r>
          </w:p>
        </w:tc>
        <w:tc>
          <w:tcPr>
            <w:tcW w:w="4678" w:type="dxa"/>
            <w:vAlign w:val="center"/>
          </w:tcPr>
          <w:p w14:paraId="52773C32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1.59 (1.45-1.75)</w:t>
            </w:r>
          </w:p>
        </w:tc>
        <w:tc>
          <w:tcPr>
            <w:tcW w:w="1559" w:type="dxa"/>
            <w:vAlign w:val="center"/>
          </w:tcPr>
          <w:p w14:paraId="434D3E74" w14:textId="77777777" w:rsidR="00000000" w:rsidRPr="00EE6C8D" w:rsidRDefault="00000000" w:rsidP="00EE6C8D">
            <w:pPr>
              <w:spacing w:after="0" w:line="240" w:lineRule="auto"/>
              <w:rPr>
                <w:color w:val="000000" w:themeColor="text1"/>
                <w:sz w:val="18"/>
                <w:szCs w:val="28"/>
              </w:rPr>
            </w:pPr>
            <w:r w:rsidRPr="00EE6C8D">
              <w:rPr>
                <w:color w:val="000000" w:themeColor="text1"/>
                <w:sz w:val="18"/>
                <w:szCs w:val="28"/>
              </w:rPr>
              <w:t>&lt;0.001</w:t>
            </w:r>
          </w:p>
        </w:tc>
      </w:tr>
    </w:tbl>
    <w:p w14:paraId="11D19211" w14:textId="77777777" w:rsidR="0075452F" w:rsidRPr="00EE6C8D" w:rsidRDefault="00000000">
      <w:pPr>
        <w:rPr>
          <w:color w:val="000000" w:themeColor="text1"/>
        </w:rPr>
      </w:pPr>
      <w:r w:rsidRPr="00EE6C8D">
        <w:rPr>
          <w:color w:val="000000" w:themeColor="text1"/>
        </w:rPr>
        <w:br w:type="page"/>
      </w:r>
    </w:p>
    <w:p w14:paraId="2FDD4F33" w14:textId="77777777" w:rsidR="0075452F" w:rsidRPr="00EE6C8D" w:rsidRDefault="00000000">
      <w:pPr>
        <w:pStyle w:val="1"/>
        <w:rPr>
          <w:color w:val="000000" w:themeColor="text1"/>
        </w:rPr>
      </w:pPr>
      <w:r w:rsidRPr="00EE6C8D">
        <w:rPr>
          <w:color w:val="000000" w:themeColor="text1"/>
        </w:rPr>
        <w:lastRenderedPageBreak/>
        <w:t>Supplementary Figures</w:t>
      </w:r>
    </w:p>
    <w:p w14:paraId="583413C5" w14:textId="77777777" w:rsidR="0075452F" w:rsidRPr="00EE6C8D" w:rsidRDefault="00000000">
      <w:pPr>
        <w:rPr>
          <w:color w:val="000000" w:themeColor="text1"/>
        </w:rPr>
      </w:pPr>
      <w:r w:rsidRPr="00EE6C8D">
        <w:rPr>
          <w:b/>
          <w:color w:val="000000" w:themeColor="text1"/>
        </w:rPr>
        <w:t>Supplementary Figure S1. Sex-stratified restricted cubic spline analysis of the association between NHR and hyperuricemia.</w:t>
      </w:r>
    </w:p>
    <w:p w14:paraId="60E747E7" w14:textId="77777777" w:rsidR="0075452F" w:rsidRPr="00EE6C8D" w:rsidRDefault="00000000">
      <w:pPr>
        <w:jc w:val="center"/>
        <w:rPr>
          <w:color w:val="000000" w:themeColor="text1"/>
        </w:rPr>
      </w:pPr>
      <w:r w:rsidRPr="00EE6C8D">
        <w:rPr>
          <w:noProof/>
          <w:color w:val="000000" w:themeColor="text1"/>
        </w:rPr>
        <w:drawing>
          <wp:inline distT="0" distB="0" distL="0" distR="0" wp14:anchorId="21BF2011" wp14:editId="3C3DE738">
            <wp:extent cx="8138160" cy="35559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S1_NHR_RCS_by_sex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38160" cy="35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52DE" w14:textId="77777777" w:rsidR="0075452F" w:rsidRPr="00EE6C8D" w:rsidRDefault="00000000">
      <w:pPr>
        <w:rPr>
          <w:color w:val="000000" w:themeColor="text1"/>
        </w:rPr>
      </w:pPr>
      <w:r w:rsidRPr="00EE6C8D">
        <w:rPr>
          <w:color w:val="000000" w:themeColor="text1"/>
        </w:rPr>
        <w:br w:type="page"/>
      </w:r>
    </w:p>
    <w:p w14:paraId="577DE258" w14:textId="77777777" w:rsidR="0075452F" w:rsidRPr="00EE6C8D" w:rsidRDefault="00000000">
      <w:pPr>
        <w:rPr>
          <w:color w:val="000000" w:themeColor="text1"/>
        </w:rPr>
      </w:pPr>
      <w:r w:rsidRPr="00EE6C8D">
        <w:rPr>
          <w:b/>
          <w:color w:val="000000" w:themeColor="text1"/>
        </w:rPr>
        <w:lastRenderedPageBreak/>
        <w:t>Supplementary Figure S2. Sex-stratified restricted cubic spline analysis of the association between TyG index and hyperuricemia.</w:t>
      </w:r>
    </w:p>
    <w:p w14:paraId="13611FB1" w14:textId="77777777" w:rsidR="0075452F" w:rsidRPr="00EE6C8D" w:rsidRDefault="00000000">
      <w:pPr>
        <w:jc w:val="center"/>
        <w:rPr>
          <w:color w:val="000000" w:themeColor="text1"/>
        </w:rPr>
      </w:pPr>
      <w:r w:rsidRPr="00EE6C8D">
        <w:rPr>
          <w:noProof/>
          <w:color w:val="000000" w:themeColor="text1"/>
        </w:rPr>
        <w:drawing>
          <wp:inline distT="0" distB="0" distL="0" distR="0" wp14:anchorId="2DDC2E48" wp14:editId="72E838F3">
            <wp:extent cx="8138160" cy="35506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S2_TyG_RCS_by_sex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38160" cy="355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74FD" w14:textId="77777777" w:rsidR="0075452F" w:rsidRPr="00EE6C8D" w:rsidRDefault="00000000">
      <w:pPr>
        <w:rPr>
          <w:color w:val="000000" w:themeColor="text1"/>
        </w:rPr>
      </w:pPr>
      <w:r w:rsidRPr="00EE6C8D">
        <w:rPr>
          <w:color w:val="000000" w:themeColor="text1"/>
        </w:rPr>
        <w:br w:type="page"/>
      </w:r>
    </w:p>
    <w:p w14:paraId="55D9BD6A" w14:textId="77777777" w:rsidR="0075452F" w:rsidRPr="00EE6C8D" w:rsidRDefault="00000000">
      <w:pPr>
        <w:rPr>
          <w:color w:val="000000" w:themeColor="text1"/>
        </w:rPr>
      </w:pPr>
      <w:r w:rsidRPr="00EE6C8D">
        <w:rPr>
          <w:b/>
          <w:color w:val="000000" w:themeColor="text1"/>
        </w:rPr>
        <w:lastRenderedPageBreak/>
        <w:t>Supplementary Figure S3. Age-stratified restricted cubic spline analysis of the association between NHR and hyperuricemia.</w:t>
      </w:r>
    </w:p>
    <w:p w14:paraId="1D446B7E" w14:textId="77777777" w:rsidR="0075452F" w:rsidRPr="00EE6C8D" w:rsidRDefault="00000000">
      <w:pPr>
        <w:jc w:val="center"/>
        <w:rPr>
          <w:color w:val="000000" w:themeColor="text1"/>
        </w:rPr>
      </w:pPr>
      <w:r w:rsidRPr="00EE6C8D">
        <w:rPr>
          <w:noProof/>
          <w:color w:val="000000" w:themeColor="text1"/>
        </w:rPr>
        <w:drawing>
          <wp:inline distT="0" distB="0" distL="0" distR="0" wp14:anchorId="51DDB657" wp14:editId="41A90F62">
            <wp:extent cx="8138160" cy="35559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S3_NHR_RCS_by_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38160" cy="35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8E66" w14:textId="77777777" w:rsidR="0075452F" w:rsidRPr="00EE6C8D" w:rsidRDefault="00000000">
      <w:pPr>
        <w:rPr>
          <w:color w:val="000000" w:themeColor="text1"/>
        </w:rPr>
      </w:pPr>
      <w:r w:rsidRPr="00EE6C8D">
        <w:rPr>
          <w:color w:val="000000" w:themeColor="text1"/>
        </w:rPr>
        <w:br w:type="page"/>
      </w:r>
    </w:p>
    <w:p w14:paraId="7C4FBFC9" w14:textId="77777777" w:rsidR="0075452F" w:rsidRPr="00EE6C8D" w:rsidRDefault="00000000">
      <w:pPr>
        <w:rPr>
          <w:color w:val="000000" w:themeColor="text1"/>
        </w:rPr>
      </w:pPr>
      <w:r w:rsidRPr="00EE6C8D">
        <w:rPr>
          <w:b/>
          <w:color w:val="000000" w:themeColor="text1"/>
        </w:rPr>
        <w:lastRenderedPageBreak/>
        <w:t>Supplementary Figure S4. Age-stratified restricted cubic spline analysis of the association between TyG index and hyperuricemia.</w:t>
      </w:r>
    </w:p>
    <w:p w14:paraId="1A7D6EF8" w14:textId="77777777" w:rsidR="0075452F" w:rsidRPr="00EE6C8D" w:rsidRDefault="00000000">
      <w:pPr>
        <w:jc w:val="center"/>
        <w:rPr>
          <w:color w:val="000000" w:themeColor="text1"/>
        </w:rPr>
      </w:pPr>
      <w:r w:rsidRPr="00EE6C8D">
        <w:rPr>
          <w:noProof/>
          <w:color w:val="000000" w:themeColor="text1"/>
        </w:rPr>
        <w:drawing>
          <wp:inline distT="0" distB="0" distL="0" distR="0" wp14:anchorId="0DBFEC09" wp14:editId="16CEC90C">
            <wp:extent cx="8138160" cy="35559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S4_TyG_RCS_by_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38160" cy="35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D7C4" w14:textId="77777777" w:rsidR="0075452F" w:rsidRPr="00EE6C8D" w:rsidRDefault="00000000">
      <w:pPr>
        <w:rPr>
          <w:color w:val="000000" w:themeColor="text1"/>
        </w:rPr>
      </w:pPr>
      <w:r w:rsidRPr="00EE6C8D">
        <w:rPr>
          <w:color w:val="000000" w:themeColor="text1"/>
        </w:rPr>
        <w:br w:type="page"/>
      </w:r>
    </w:p>
    <w:p w14:paraId="5C605278" w14:textId="77777777" w:rsidR="0075452F" w:rsidRPr="00EE6C8D" w:rsidRDefault="00000000">
      <w:pPr>
        <w:pStyle w:val="1"/>
        <w:rPr>
          <w:color w:val="000000" w:themeColor="text1"/>
        </w:rPr>
      </w:pPr>
      <w:r w:rsidRPr="00EE6C8D">
        <w:rPr>
          <w:color w:val="000000" w:themeColor="text1"/>
        </w:rPr>
        <w:lastRenderedPageBreak/>
        <w:t>Supplementary Figure Legends</w:t>
      </w:r>
    </w:p>
    <w:p w14:paraId="76489E61" w14:textId="77777777" w:rsidR="0075452F" w:rsidRPr="00EE6C8D" w:rsidRDefault="00000000">
      <w:pPr>
        <w:rPr>
          <w:color w:val="000000" w:themeColor="text1"/>
        </w:rPr>
      </w:pPr>
      <w:r w:rsidRPr="00EE6C8D">
        <w:rPr>
          <w:b/>
          <w:color w:val="000000" w:themeColor="text1"/>
        </w:rPr>
        <w:t>Supplementary Figure S1. Sex-stratified restricted cubic spline analysis of the association between NHR and hyperuricemia.</w:t>
      </w:r>
    </w:p>
    <w:p w14:paraId="5AF0F8CE" w14:textId="77777777" w:rsidR="0075452F" w:rsidRPr="00EE6C8D" w:rsidRDefault="00000000">
      <w:pPr>
        <w:rPr>
          <w:color w:val="000000" w:themeColor="text1"/>
        </w:rPr>
      </w:pPr>
      <w:r w:rsidRPr="00EE6C8D">
        <w:rPr>
          <w:color w:val="000000" w:themeColor="text1"/>
        </w:rPr>
        <w:t>Restricted cubic spline curves for NHR were fitted separately in men and women. Analyses were conducted in the NHR analysis cohort (n = 7,959). Models were adjusted for age, alanine aminotransferase, aspartate aminotransferase, creatinine, blood urea nitrogen, white blood cell count, hemoglobin, and platelet count.</w:t>
      </w:r>
    </w:p>
    <w:p w14:paraId="6985E38E" w14:textId="77777777" w:rsidR="0075452F" w:rsidRPr="00EE6C8D" w:rsidRDefault="00000000">
      <w:pPr>
        <w:rPr>
          <w:color w:val="000000" w:themeColor="text1"/>
        </w:rPr>
      </w:pPr>
      <w:r w:rsidRPr="00EE6C8D">
        <w:rPr>
          <w:b/>
          <w:color w:val="000000" w:themeColor="text1"/>
        </w:rPr>
        <w:t>Supplementary Figure S2. Sex-stratified restricted cubic spline analysis of the association between TyG index and hyperuricemia.</w:t>
      </w:r>
    </w:p>
    <w:p w14:paraId="5077ADEE" w14:textId="77777777" w:rsidR="0075452F" w:rsidRPr="00EE6C8D" w:rsidRDefault="00000000">
      <w:pPr>
        <w:rPr>
          <w:color w:val="000000" w:themeColor="text1"/>
        </w:rPr>
      </w:pPr>
      <w:r w:rsidRPr="00EE6C8D">
        <w:rPr>
          <w:color w:val="000000" w:themeColor="text1"/>
        </w:rPr>
        <w:t>Restricted cubic spline curves for TyG were fitted separately in men and women. Analyses were conducted in the metabolic subcohort with complete triglyceride and fasting glucose data (n = 4,193). Models were adjusted for age, alanine aminotransferase, aspartate aminotransferase, creatinine, blood urea nitrogen, white blood cell count, hemoglobin, and platelet count.</w:t>
      </w:r>
    </w:p>
    <w:p w14:paraId="1A585A28" w14:textId="77777777" w:rsidR="0075452F" w:rsidRPr="00EE6C8D" w:rsidRDefault="00000000">
      <w:pPr>
        <w:rPr>
          <w:color w:val="000000" w:themeColor="text1"/>
        </w:rPr>
      </w:pPr>
      <w:r w:rsidRPr="00EE6C8D">
        <w:rPr>
          <w:b/>
          <w:color w:val="000000" w:themeColor="text1"/>
        </w:rPr>
        <w:t>Supplementary Figure S3. Age-stratified restricted cubic spline analysis of the association between NHR and hyperuricemia.</w:t>
      </w:r>
    </w:p>
    <w:p w14:paraId="4A876A13" w14:textId="77777777" w:rsidR="0075452F" w:rsidRPr="00EE6C8D" w:rsidRDefault="00000000">
      <w:pPr>
        <w:rPr>
          <w:color w:val="000000" w:themeColor="text1"/>
        </w:rPr>
      </w:pPr>
      <w:r w:rsidRPr="00EE6C8D">
        <w:rPr>
          <w:color w:val="000000" w:themeColor="text1"/>
        </w:rPr>
        <w:t>Restricted cubic spline curves for NHR were fitted separately in participants aged &lt;60 and ≥60 years. Analyses were conducted in the NHR analysis cohort (n = 7,959). Models were adjusted for age, sex, alanine aminotransferase, aspartate aminotransferase, creatinine, blood urea nitrogen, white blood cell count, hemoglobin, and platelet count.</w:t>
      </w:r>
    </w:p>
    <w:p w14:paraId="47FD47EC" w14:textId="77777777" w:rsidR="0075452F" w:rsidRPr="00EE6C8D" w:rsidRDefault="00000000">
      <w:pPr>
        <w:rPr>
          <w:color w:val="000000" w:themeColor="text1"/>
        </w:rPr>
      </w:pPr>
      <w:r w:rsidRPr="00EE6C8D">
        <w:rPr>
          <w:b/>
          <w:color w:val="000000" w:themeColor="text1"/>
        </w:rPr>
        <w:t>Supplementary Figure S4. Age-stratified restricted cubic spline analysis of the association between TyG index and hyperuricemia.</w:t>
      </w:r>
    </w:p>
    <w:p w14:paraId="5ABD0D96" w14:textId="77777777" w:rsidR="0075452F" w:rsidRPr="00EE6C8D" w:rsidRDefault="00000000">
      <w:pPr>
        <w:rPr>
          <w:color w:val="000000" w:themeColor="text1"/>
        </w:rPr>
      </w:pPr>
      <w:r w:rsidRPr="00EE6C8D">
        <w:rPr>
          <w:color w:val="000000" w:themeColor="text1"/>
        </w:rPr>
        <w:t>Restricted cubic spline curves for TyG were fitted separately in participants aged &lt;60 and ≥60 years. Analyses were conducted in the metabolic subcohort with complete triglyceride and fasting glucose data (n = 4,193). Models were adjusted for age, sex, alanine aminotransferase, aspartate aminotransferase, creatinine, blood urea nitrogen, white blood cell count, hemoglobin, and platelet count.</w:t>
      </w:r>
    </w:p>
    <w:sectPr w:rsidR="0075452F" w:rsidRPr="00EE6C8D" w:rsidSect="00034616">
      <w:pgSz w:w="15840" w:h="12240" w:orient="landscape"/>
      <w:pgMar w:top="648" w:right="648" w:bottom="648" w:left="64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56216309">
    <w:abstractNumId w:val="8"/>
  </w:num>
  <w:num w:numId="2" w16cid:durableId="1658071578">
    <w:abstractNumId w:val="6"/>
  </w:num>
  <w:num w:numId="3" w16cid:durableId="1303268614">
    <w:abstractNumId w:val="5"/>
  </w:num>
  <w:num w:numId="4" w16cid:durableId="1835560672">
    <w:abstractNumId w:val="4"/>
  </w:num>
  <w:num w:numId="5" w16cid:durableId="753011757">
    <w:abstractNumId w:val="7"/>
  </w:num>
  <w:num w:numId="6" w16cid:durableId="1757827418">
    <w:abstractNumId w:val="3"/>
  </w:num>
  <w:num w:numId="7" w16cid:durableId="163210712">
    <w:abstractNumId w:val="2"/>
  </w:num>
  <w:num w:numId="8" w16cid:durableId="469520697">
    <w:abstractNumId w:val="1"/>
  </w:num>
  <w:num w:numId="9" w16cid:durableId="121771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92B33"/>
    <w:rsid w:val="0075452F"/>
    <w:rsid w:val="00AA1D8D"/>
    <w:rsid w:val="00B47730"/>
    <w:rsid w:val="00CB0664"/>
    <w:rsid w:val="00EE6C8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9E0982"/>
  <w14:defaultImageDpi w14:val="300"/>
  <w15:docId w15:val="{D4336450-77B7-4703-A14E-03F548E5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Times New Roman" w:eastAsia="Times New Roman" w:hAnsi="Times New Roman"/>
      <w:sz w:val="20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标题 1 字符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标题 字符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标题 字符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正文文本 字符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宏文本 字符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 字符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明显引用 字符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703</Words>
  <Characters>4022</Characters>
  <Application>Microsoft Office Word</Application>
  <DocSecurity>0</DocSecurity>
  <Lines>201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HWP </cp:lastModifiedBy>
  <cp:revision>2</cp:revision>
  <dcterms:created xsi:type="dcterms:W3CDTF">2026-07-04T04:54:00Z</dcterms:created>
  <dcterms:modified xsi:type="dcterms:W3CDTF">2026-07-04T04:54:00Z</dcterms:modified>
  <cp:category/>
</cp:coreProperties>
</file>