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FC42C">
      <w:pPr>
        <w:jc w:val="center"/>
      </w:pPr>
      <w:r>
        <w:rPr>
          <w:b/>
          <w:sz w:val="32"/>
        </w:rPr>
        <w:t>Supplementary Materials</w:t>
      </w:r>
    </w:p>
    <w:p w14:paraId="1B85962A">
      <w:pPr>
        <w:spacing w:after="80"/>
        <w:rPr>
          <w:b/>
        </w:rPr>
      </w:pPr>
      <w:r>
        <w:rPr>
          <w:b/>
        </w:rPr>
        <w:t>Supplementary Table S1</w:t>
      </w:r>
      <w:r>
        <w:rPr>
          <w:rFonts w:hint="eastAsia" w:eastAsia="宋体"/>
          <w:b/>
          <w:lang w:eastAsia="zh-CN"/>
        </w:rPr>
        <w:t>a</w:t>
      </w:r>
      <w:r>
        <w:rPr>
          <w:b/>
        </w:rPr>
        <w:t xml:space="preserve">: Demographic </w:t>
      </w:r>
      <w:r>
        <w:rPr>
          <w:rFonts w:hint="eastAsia" w:eastAsia="宋体"/>
          <w:b/>
          <w:lang w:val="en-US" w:eastAsia="zh-CN"/>
        </w:rPr>
        <w:t>i</w:t>
      </w:r>
      <w:r>
        <w:rPr>
          <w:b/>
        </w:rPr>
        <w:t xml:space="preserve">nformation of Mammary Hyperplasia </w:t>
      </w:r>
      <w:r>
        <w:rPr>
          <w:rFonts w:hint="eastAsia" w:eastAsia="宋体"/>
          <w:b/>
          <w:lang w:val="en-US" w:eastAsia="zh-CN"/>
        </w:rPr>
        <w:t>p</w:t>
      </w:r>
      <w:r>
        <w:rPr>
          <w:b/>
        </w:rPr>
        <w:t>atients</w:t>
      </w:r>
    </w:p>
    <w:p w14:paraId="6EDE9C5A">
      <w:r>
        <w:rPr>
          <w:i/>
          <w:sz w:val="22"/>
        </w:rPr>
        <w:t>Clinical and demographic characteristics of five mammary hyperplasia patients</w:t>
      </w:r>
      <w:r>
        <w:rPr>
          <w:rFonts w:hint="eastAsia"/>
          <w:i/>
          <w:sz w:val="22"/>
        </w:rPr>
        <w:t>, including Sample Id, Age ,Clinical Features.</w:t>
      </w:r>
    </w:p>
    <w:tbl>
      <w:tblPr>
        <w:tblStyle w:val="34"/>
        <w:tblW w:w="4999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637"/>
        <w:gridCol w:w="7884"/>
      </w:tblGrid>
      <w:tr w14:paraId="2ACDADC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Header/>
          <w:jc w:val="center"/>
        </w:trPr>
        <w:tc>
          <w:tcPr>
            <w:tcW w:w="57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11364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 Id</w:t>
            </w:r>
          </w:p>
        </w:tc>
        <w:tc>
          <w:tcPr>
            <w:tcW w:w="33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1D658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</w:t>
            </w:r>
          </w:p>
        </w:tc>
        <w:tc>
          <w:tcPr>
            <w:tcW w:w="409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8C0EA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Clinical Features</w:t>
            </w:r>
          </w:p>
        </w:tc>
      </w:tr>
      <w:tr w14:paraId="741AE83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03376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40480</w:t>
            </w: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307FD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097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651BF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Mammary hyperplasia with focal ductal epithelial hyperplasia showing cribriform pattern and partial apocrine metaplasia.</w:t>
            </w:r>
          </w:p>
        </w:tc>
      </w:tr>
      <w:tr w14:paraId="3268BAE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exact"/>
          <w:jc w:val="center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CAD40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F4D89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09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E6013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Mammary hyperplasia with fibroadenoma formation and focal ductal epithelial hyperplasia.</w:t>
            </w:r>
          </w:p>
        </w:tc>
      </w:tr>
      <w:tr w14:paraId="45938B8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exact"/>
          <w:jc w:val="center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70F73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39282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89F52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09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4E009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Mammary hyperplasia with intraductal papilloma formation.</w:t>
            </w:r>
          </w:p>
        </w:tc>
      </w:tr>
      <w:tr w14:paraId="420AB44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exact"/>
          <w:jc w:val="center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D17E8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AF2E7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09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556AB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Mammary hyperplasia, stromal hyperplasia, hyalinization, and focal glandular hyperplasia.</w:t>
            </w:r>
          </w:p>
        </w:tc>
      </w:tr>
      <w:tr w14:paraId="200F3F7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exact"/>
          <w:jc w:val="center"/>
        </w:trPr>
        <w:tc>
          <w:tcPr>
            <w:tcW w:w="57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35061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39202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F5662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097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1A979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Mammary hyperplasia</w:t>
            </w:r>
          </w:p>
        </w:tc>
      </w:tr>
    </w:tbl>
    <w:p w14:paraId="04021D56"/>
    <w:p w14:paraId="602C17B3">
      <w:pPr>
        <w:rPr>
          <w:b/>
          <w:lang w:eastAsia="zh-CN"/>
        </w:rPr>
      </w:pPr>
      <w:r>
        <w:rPr>
          <w:b/>
        </w:rPr>
        <w:t>Supplementary Table S1</w:t>
      </w:r>
      <w:r>
        <w:rPr>
          <w:rFonts w:hint="eastAsia" w:eastAsia="宋体"/>
          <w:b/>
          <w:lang w:eastAsia="zh-CN"/>
        </w:rPr>
        <w:t>b</w:t>
      </w:r>
      <w:r>
        <w:rPr>
          <w:b/>
        </w:rPr>
        <w:t>:</w:t>
      </w:r>
      <w:r>
        <w:rPr>
          <w:rFonts w:hint="eastAsia"/>
          <w:b/>
          <w:lang w:eastAsia="zh-CN"/>
        </w:rPr>
        <w:t xml:space="preserve">Demographic </w:t>
      </w:r>
      <w:r>
        <w:rPr>
          <w:rFonts w:hint="eastAsia"/>
          <w:b/>
          <w:lang w:val="en-US" w:eastAsia="zh-CN"/>
        </w:rPr>
        <w:t>i</w:t>
      </w:r>
      <w:r>
        <w:rPr>
          <w:rFonts w:hint="eastAsia"/>
          <w:b/>
          <w:lang w:eastAsia="zh-CN"/>
        </w:rPr>
        <w:t xml:space="preserve">nformation of Breast Cancer </w:t>
      </w:r>
      <w:r>
        <w:rPr>
          <w:rFonts w:hint="eastAsia"/>
          <w:b/>
          <w:lang w:val="en-US" w:eastAsia="zh-CN"/>
        </w:rPr>
        <w:t>p</w:t>
      </w:r>
      <w:r>
        <w:rPr>
          <w:rFonts w:hint="eastAsia"/>
          <w:b/>
          <w:lang w:eastAsia="zh-CN"/>
        </w:rPr>
        <w:t>atients</w:t>
      </w:r>
    </w:p>
    <w:p w14:paraId="1696155B">
      <w:pPr>
        <w:rPr>
          <w:i/>
          <w:sz w:val="22"/>
          <w:lang w:eastAsia="zh-CN"/>
        </w:rPr>
      </w:pPr>
      <w:r>
        <w:rPr>
          <w:rFonts w:hint="eastAsia"/>
          <w:i/>
          <w:sz w:val="22"/>
          <w:lang w:eastAsia="zh-CN"/>
        </w:rPr>
        <w:t>Clinical and demographic characteristics of five mammary Breast Cancer patients</w:t>
      </w:r>
      <w:r>
        <w:rPr>
          <w:rFonts w:hint="eastAsia"/>
          <w:i/>
          <w:sz w:val="22"/>
          <w:lang w:val="en-US" w:eastAsia="zh-CN"/>
        </w:rPr>
        <w:t>,</w:t>
      </w:r>
      <w:r>
        <w:rPr>
          <w:rFonts w:hint="eastAsia"/>
          <w:i/>
          <w:sz w:val="22"/>
          <w:lang w:eastAsia="zh-CN"/>
        </w:rPr>
        <w:t xml:space="preserve"> </w:t>
      </w:r>
      <w:r>
        <w:rPr>
          <w:rFonts w:hint="eastAsia"/>
          <w:i/>
          <w:sz w:val="22"/>
          <w:lang w:val="en-US" w:eastAsia="zh-CN"/>
        </w:rPr>
        <w:t>i</w:t>
      </w:r>
      <w:r>
        <w:rPr>
          <w:rFonts w:hint="eastAsia"/>
          <w:i/>
          <w:sz w:val="22"/>
          <w:lang w:eastAsia="zh-CN"/>
        </w:rPr>
        <w:t xml:space="preserve">ncluding Sample Id, Age ,Tumor Type, </w:t>
      </w:r>
      <w:r>
        <w:rPr>
          <w:rFonts w:hint="eastAsia"/>
          <w:i/>
          <w:sz w:val="22"/>
          <w:lang w:val="en-US" w:eastAsia="zh-CN"/>
        </w:rPr>
        <w:t>Tumor</w:t>
      </w:r>
      <w:r>
        <w:rPr>
          <w:rFonts w:hint="eastAsia"/>
          <w:i/>
          <w:sz w:val="22"/>
          <w:lang w:eastAsia="zh-CN"/>
        </w:rPr>
        <w:t xml:space="preserve"> Type,Clinical Features.</w:t>
      </w:r>
    </w:p>
    <w:tbl>
      <w:tblPr>
        <w:tblStyle w:val="34"/>
        <w:tblW w:w="4998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516"/>
        <w:gridCol w:w="1825"/>
        <w:gridCol w:w="1150"/>
        <w:gridCol w:w="5340"/>
      </w:tblGrid>
      <w:tr w14:paraId="4FCB48B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0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E0A0B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 Id</w:t>
            </w:r>
          </w:p>
        </w:tc>
        <w:tc>
          <w:tcPr>
            <w:tcW w:w="25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41480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</w:t>
            </w:r>
          </w:p>
        </w:tc>
        <w:tc>
          <w:tcPr>
            <w:tcW w:w="95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3376F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Tumor Type</w:t>
            </w:r>
          </w:p>
        </w:tc>
        <w:tc>
          <w:tcPr>
            <w:tcW w:w="60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27B5C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Tumor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 xml:space="preserve"> Type</w:t>
            </w:r>
          </w:p>
        </w:tc>
        <w:tc>
          <w:tcPr>
            <w:tcW w:w="27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2F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350B1">
            <w:pPr>
              <w:snapToGri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Clinical Features</w:t>
            </w:r>
          </w:p>
        </w:tc>
      </w:tr>
      <w:tr w14:paraId="2C6C3E7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1EAC7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37659</w:t>
            </w:r>
          </w:p>
        </w:tc>
        <w:tc>
          <w:tcPr>
            <w:tcW w:w="257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89AA6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1C1A6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Invasive breast cance</w:t>
            </w:r>
            <w:r>
              <w:rPr>
                <w:rFonts w:hint="eastAsia" w:hAnsi="宋体" w:eastAsia="MS Mincho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02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ED425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Grade 2</w:t>
            </w:r>
          </w:p>
        </w:tc>
        <w:tc>
          <w:tcPr>
            <w:tcW w:w="2779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D7D49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No tumor at base resection margin, no tumor in nipple, no axillary metastasis.</w:t>
            </w:r>
          </w:p>
        </w:tc>
      </w:tr>
      <w:tr w14:paraId="12E9E33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48EF4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37136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D03EC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C7A68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Invasive breast cance</w:t>
            </w:r>
            <w:r>
              <w:rPr>
                <w:rFonts w:hint="eastAsia" w:hAnsi="宋体" w:eastAsia="MS Mincho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0C36A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Grade 2</w:t>
            </w:r>
          </w:p>
        </w:tc>
        <w:tc>
          <w:tcPr>
            <w:tcW w:w="277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5BF55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No tumor at base resection margin, no tumor in nipple, no axillary metastasis.</w:t>
            </w:r>
          </w:p>
        </w:tc>
      </w:tr>
      <w:tr w14:paraId="3FD8BCE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F8051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38293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A5F25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eastAsia="MS Mincho"/>
                <w:sz w:val="18"/>
                <w:szCs w:val="18"/>
              </w:rPr>
              <w:t>4</w:t>
            </w:r>
            <w:r>
              <w:rPr>
                <w:rFonts w:hint="eastAsia" w:eastAsia="MS Mincho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0DF5E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Invasive breast cance</w:t>
            </w:r>
            <w:r>
              <w:rPr>
                <w:rFonts w:hint="eastAsia" w:hAnsi="宋体" w:eastAsia="MS Mincho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5D338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Grade 2</w:t>
            </w:r>
          </w:p>
        </w:tc>
        <w:tc>
          <w:tcPr>
            <w:tcW w:w="277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4DC6A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No tumor at base resection margin, tumor in subcutaneous nipple, axillary metastasis.</w:t>
            </w:r>
          </w:p>
        </w:tc>
      </w:tr>
      <w:tr w14:paraId="1282C37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2CC91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eastAsia="MS Mincho"/>
                <w:sz w:val="18"/>
                <w:szCs w:val="18"/>
              </w:rPr>
              <w:t>3</w:t>
            </w:r>
            <w:r>
              <w:rPr>
                <w:rFonts w:hint="eastAsia" w:eastAsia="MS Mincho"/>
                <w:sz w:val="18"/>
                <w:szCs w:val="18"/>
                <w:lang w:eastAsia="zh-CN"/>
              </w:rPr>
              <w:t>8642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EC5CB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6E4F9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Invasive breast cance</w:t>
            </w:r>
            <w:r>
              <w:rPr>
                <w:rFonts w:hint="eastAsia" w:hAnsi="宋体" w:eastAsia="MS Mincho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AF156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Grade 2</w:t>
            </w:r>
          </w:p>
        </w:tc>
        <w:tc>
          <w:tcPr>
            <w:tcW w:w="277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931A9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No tumor at base resection margin, no tumor in nipple, axillary metastasis.</w:t>
            </w:r>
          </w:p>
        </w:tc>
      </w:tr>
      <w:tr w14:paraId="42D9873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  <w:jc w:val="center"/>
        </w:trPr>
        <w:tc>
          <w:tcPr>
            <w:tcW w:w="406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16002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eastAsia="MS Mincho"/>
                <w:sz w:val="18"/>
                <w:szCs w:val="18"/>
              </w:rPr>
              <w:t>3</w:t>
            </w:r>
            <w:r>
              <w:rPr>
                <w:rFonts w:hint="eastAsia" w:eastAsia="MS Mincho"/>
                <w:sz w:val="18"/>
                <w:szCs w:val="18"/>
                <w:lang w:eastAsia="zh-CN"/>
              </w:rPr>
              <w:t>6564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CF3E9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953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5FA8D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Invasive breast cance</w:t>
            </w:r>
            <w:r>
              <w:rPr>
                <w:rFonts w:hint="eastAsia" w:hAnsi="宋体" w:eastAsia="MS Mincho"/>
                <w:sz w:val="18"/>
                <w:szCs w:val="18"/>
                <w:lang w:eastAsia="zh-CN"/>
              </w:rPr>
              <w:t>r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9C2F3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  <w:lang w:eastAsia="zh-CN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Grade 2</w:t>
            </w:r>
          </w:p>
        </w:tc>
        <w:tc>
          <w:tcPr>
            <w:tcW w:w="2779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8A1F1">
            <w:pPr>
              <w:snapToGrid w:val="0"/>
              <w:spacing w:after="0" w:line="240" w:lineRule="auto"/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hint="eastAsia" w:eastAsia="MS Mincho"/>
                <w:sz w:val="18"/>
                <w:szCs w:val="18"/>
                <w:lang w:eastAsia="zh-CN"/>
              </w:rPr>
              <w:t>No definite nerve invasion, tumor thrombus in blood vessels.</w:t>
            </w:r>
          </w:p>
        </w:tc>
      </w:tr>
    </w:tbl>
    <w:p w14:paraId="2E24718A">
      <w:pPr>
        <w:rPr>
          <w:rFonts w:hint="eastAsia" w:ascii="宋体" w:hAnsi="宋体" w:eastAsia="宋体" w:cs="宋体"/>
          <w:b/>
          <w:bCs/>
          <w:color w:val="000000"/>
          <w:sz w:val="22"/>
          <w:lang w:eastAsia="zh-CN" w:bidi="ar"/>
        </w:rPr>
      </w:pPr>
    </w:p>
    <w:p w14:paraId="472495F2">
      <w:pPr>
        <w:sectPr>
          <w:pgSz w:w="12240" w:h="15840"/>
          <w:pgMar w:top="1417" w:right="1417" w:bottom="1417" w:left="1417" w:header="720" w:footer="720" w:gutter="0"/>
          <w:cols w:space="0" w:num="1"/>
          <w:docGrid w:linePitch="360" w:charSpace="0"/>
        </w:sectPr>
      </w:pPr>
      <w:r>
        <w:br w:type="page"/>
      </w:r>
    </w:p>
    <w:p w14:paraId="61994472">
      <w:r>
        <w:rPr>
          <w:b/>
        </w:rPr>
        <w:t xml:space="preserve">Supplementary Table S2: Instrumental </w:t>
      </w:r>
      <w:r>
        <w:rPr>
          <w:rFonts w:hint="eastAsia" w:eastAsia="宋体"/>
          <w:b/>
          <w:lang w:val="en-US" w:eastAsia="zh-CN"/>
        </w:rPr>
        <w:t>v</w:t>
      </w:r>
      <w:r>
        <w:rPr>
          <w:b/>
        </w:rPr>
        <w:t xml:space="preserve">ariables (8 SNPs, P &lt; 5 × 10⁻⁶) for Seipin on Breast Cancer (ieu-a-1135) in </w:t>
      </w:r>
      <w:r>
        <w:rPr>
          <w:rFonts w:hint="eastAsia" w:eastAsia="宋体"/>
          <w:b/>
          <w:lang w:val="en-US" w:eastAsia="zh-CN"/>
        </w:rPr>
        <w:t>m</w:t>
      </w:r>
      <w:r>
        <w:rPr>
          <w:b/>
        </w:rPr>
        <w:t xml:space="preserve">endelian </w:t>
      </w:r>
      <w:r>
        <w:rPr>
          <w:rFonts w:hint="eastAsia" w:eastAsia="宋体"/>
          <w:b/>
          <w:lang w:val="en-US" w:eastAsia="zh-CN"/>
        </w:rPr>
        <w:t>r</w:t>
      </w:r>
      <w:r>
        <w:rPr>
          <w:b/>
        </w:rPr>
        <w:t xml:space="preserve">andomization </w:t>
      </w:r>
      <w:r>
        <w:rPr>
          <w:rFonts w:hint="eastAsia" w:eastAsia="宋体"/>
          <w:b/>
          <w:lang w:val="en-US" w:eastAsia="zh-CN"/>
        </w:rPr>
        <w:t>a</w:t>
      </w:r>
      <w:r>
        <w:rPr>
          <w:b/>
        </w:rPr>
        <w:t>nalysis</w:t>
      </w:r>
    </w:p>
    <w:p w14:paraId="4FE3B9F5">
      <w:pPr>
        <w:jc w:val="both"/>
        <w:rPr>
          <w:i/>
          <w:sz w:val="22"/>
        </w:rPr>
      </w:pPr>
      <w:r>
        <w:rPr>
          <w:i/>
          <w:sz w:val="22"/>
        </w:rPr>
        <w:t xml:space="preserve">Eight single nucleotide polymorphisms (SNPs) selected as instrumental variables (IVs) at the genome-wide significance threshold of P &lt; 5 × 10⁻⁶ for the association between Seipin (exposure, eqtl-a-ENSG00000168000) and breast cancer (outcome, ieu-a-1135) in the two-sample Mendelian randomization analysis.  </w:t>
      </w:r>
    </w:p>
    <w:tbl>
      <w:tblPr>
        <w:tblStyle w:val="33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779"/>
        <w:gridCol w:w="1298"/>
        <w:gridCol w:w="591"/>
        <w:gridCol w:w="615"/>
        <w:gridCol w:w="786"/>
        <w:gridCol w:w="895"/>
        <w:gridCol w:w="786"/>
        <w:gridCol w:w="786"/>
        <w:gridCol w:w="1616"/>
      </w:tblGrid>
      <w:tr w14:paraId="09BC2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6E61BF19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SNPs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36ED0CC8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CHR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3F10214F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POS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68DAA691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EA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273504D5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OA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38073865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EAF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080B4C71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BETA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3480450C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SE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37E5A777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P</w:t>
            </w:r>
          </w:p>
        </w:tc>
        <w:tc>
          <w:tcPr>
            <w:tcW w:w="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00564C5D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F-STATISTICS</w:t>
            </w:r>
          </w:p>
        </w:tc>
      </w:tr>
      <w:tr w14:paraId="78172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1338DD05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rs112251597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0783C73A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657EAC0F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62767952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479BB58B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3B9081D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31D207F9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0.026 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6188A064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-0.435 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517DFA5D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0.037 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68FA9A0C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70F4BD8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136.689 </w:t>
            </w:r>
          </w:p>
        </w:tc>
      </w:tr>
      <w:tr w14:paraId="44C82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B17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rs117991865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911A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EAF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62416859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E185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8725A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A1A9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0.014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1CEBA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-0.271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727C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0.050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F2BD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018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28.913 </w:t>
            </w:r>
          </w:p>
        </w:tc>
      </w:tr>
      <w:tr w14:paraId="22A1A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E5FD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rs12272560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F354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9DE2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62684777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E9BB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0F7F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7636F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0.039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938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-0.350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AC0F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0.031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BAB9E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3A305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130.357 </w:t>
            </w:r>
          </w:p>
        </w:tc>
      </w:tr>
      <w:tr w14:paraId="559A8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5279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rs12418135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AA1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64A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62556703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6A81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T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8D91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797B7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0.018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2F7B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-0.275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E6005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0.045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6D9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7288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38.142 </w:t>
            </w:r>
          </w:p>
        </w:tc>
      </w:tr>
      <w:tr w14:paraId="76911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26B3D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rs148248716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C67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E199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62451457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90C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T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3F91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C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81B4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0.027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C30A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1.204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18A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0.036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4CC2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67A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1142.114 </w:t>
            </w:r>
          </w:p>
        </w:tc>
      </w:tr>
      <w:tr w14:paraId="22AEF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0925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rs78265569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94D9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42D1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2146165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C1AAE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3504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C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AFF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0.073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8BA6B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0.106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7D1A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0.023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038C4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ADD0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21.392 </w:t>
            </w:r>
          </w:p>
        </w:tc>
      </w:tr>
      <w:tr w14:paraId="6E8E0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436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rs79678172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6092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839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62609779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B83A2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5AC00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6725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0.024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ECE8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0.507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E3A80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0.039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71F82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A45B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172.723 </w:t>
            </w:r>
          </w:p>
        </w:tc>
      </w:tr>
      <w:tr w14:paraId="04FA1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8BB554A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rs826415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5C3DD43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60C23F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118153977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ACC7F49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23C1B71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>T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6F584B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0.308 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3F0F89C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0.065 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E7E3EE1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0.013 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C3F1F26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0.000 </w:t>
            </w:r>
          </w:p>
        </w:tc>
        <w:tc>
          <w:tcPr>
            <w:tcW w:w="57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C9AAD60">
            <w:pPr>
              <w:jc w:val="center"/>
              <w:textAlignment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 w:bidi="ar"/>
              </w:rPr>
              <w:t xml:space="preserve">25.492 </w:t>
            </w:r>
          </w:p>
        </w:tc>
      </w:tr>
    </w:tbl>
    <w:p w14:paraId="09EBF620">
      <w:pPr>
        <w:rPr>
          <w:rFonts w:hint="eastAsia" w:eastAsia="宋体"/>
          <w:lang w:val="en-US" w:eastAsia="zh-CN"/>
        </w:rPr>
      </w:pPr>
      <w:r>
        <w:rPr>
          <w:i/>
          <w:sz w:val="18"/>
        </w:rPr>
        <w:t>Abbreviations: CHR, chromosome; POS, position; EA, effect allele; OA, other allele; EAF, effect allele frequency; BETA, beta coefficient; SE, standard error</w:t>
      </w:r>
      <w:r>
        <w:rPr>
          <w:rFonts w:hint="eastAsia" w:eastAsia="宋体"/>
          <w:i/>
          <w:sz w:val="18"/>
          <w:lang w:val="en-US" w:eastAsia="zh-CN"/>
        </w:rPr>
        <w:t>,</w:t>
      </w:r>
      <w:r>
        <w:rPr>
          <w:i/>
          <w:sz w:val="18"/>
        </w:rPr>
        <w:t xml:space="preserve"> F-STATISTICS, F-statistic indicating instrument strength</w:t>
      </w:r>
      <w:r>
        <w:rPr>
          <w:rFonts w:hint="eastAsia" w:eastAsia="宋体"/>
          <w:i/>
          <w:sz w:val="18"/>
          <w:lang w:val="en-US" w:eastAsia="zh-CN"/>
        </w:rPr>
        <w:t>. Note: For P values with small magnitudes, three decimal places are reserved.</w:t>
      </w:r>
    </w:p>
    <w:p w14:paraId="3C4DD289">
      <w:pPr>
        <w:rPr>
          <w:rFonts w:eastAsia="宋体"/>
          <w:lang w:eastAsia="zh-CN"/>
        </w:rPr>
      </w:pPr>
      <w:r>
        <w:br w:type="page"/>
      </w:r>
    </w:p>
    <w:p w14:paraId="1092B25B">
      <w:r>
        <w:rPr>
          <w:b/>
        </w:rPr>
        <w:t xml:space="preserve">Supplementary Table S3: Sensitivity </w:t>
      </w:r>
      <w:r>
        <w:rPr>
          <w:rFonts w:hint="eastAsia" w:eastAsia="宋体"/>
          <w:b/>
          <w:lang w:val="en-US" w:eastAsia="zh-CN"/>
        </w:rPr>
        <w:t>a</w:t>
      </w:r>
      <w:r>
        <w:rPr>
          <w:b/>
        </w:rPr>
        <w:t xml:space="preserve">nalysis of the </w:t>
      </w:r>
      <w:r>
        <w:rPr>
          <w:rFonts w:hint="eastAsia" w:eastAsia="宋体"/>
          <w:b/>
          <w:lang w:val="en-US" w:eastAsia="zh-CN"/>
        </w:rPr>
        <w:t>a</w:t>
      </w:r>
      <w:r>
        <w:rPr>
          <w:b/>
        </w:rPr>
        <w:t xml:space="preserve">ssociation </w:t>
      </w:r>
      <w:r>
        <w:rPr>
          <w:rFonts w:hint="eastAsia" w:eastAsia="宋体"/>
          <w:b/>
          <w:lang w:val="en-US" w:eastAsia="zh-CN"/>
        </w:rPr>
        <w:t>b</w:t>
      </w:r>
      <w:r>
        <w:rPr>
          <w:b/>
        </w:rPr>
        <w:t>etween Seipin and Breast Cancer</w:t>
      </w:r>
    </w:p>
    <w:p w14:paraId="66D105B4">
      <w:pPr>
        <w:jc w:val="both"/>
        <w:rPr>
          <w:i/>
          <w:sz w:val="22"/>
        </w:rPr>
      </w:pPr>
      <w:r>
        <w:rPr>
          <w:i/>
          <w:sz w:val="22"/>
        </w:rPr>
        <w:t>Results of sensitivity analyses evaluating the robustness of the Mendelian randomization estimate for the causal effect of Seipin (eqtl-a-ENSG00000168000) on breast cancer (ieu-a-1135). Heterogeneity was assessed using Cochran’s Q test (P &gt; 0.05 indicates no significant heterogeneity across IVs). Horizontal pleiotropy was evaluated via the MR-Egger intercept test (P &gt; 0.05 indicates no directional pleiotropy). MR-PRESSO global test was performed to detect outlying variants (P &gt; 0.05 indicates no significant pleiotropy). All P-values are non-significant, supporting the validity of the MR assumptions.</w:t>
      </w:r>
    </w:p>
    <w:tbl>
      <w:tblPr>
        <w:tblStyle w:val="3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959"/>
        <w:gridCol w:w="1311"/>
        <w:gridCol w:w="1236"/>
        <w:gridCol w:w="1577"/>
        <w:gridCol w:w="924"/>
        <w:gridCol w:w="963"/>
        <w:gridCol w:w="970"/>
      </w:tblGrid>
      <w:tr w14:paraId="08878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71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D9E2F3"/>
            <w:vAlign w:val="center"/>
          </w:tcPr>
          <w:p w14:paraId="7BD4B084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Exposure (Seipin)</w:t>
            </w:r>
          </w:p>
        </w:tc>
        <w:tc>
          <w:tcPr>
            <w:tcW w:w="49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D9E2F3"/>
            <w:vAlign w:val="center"/>
          </w:tcPr>
          <w:p w14:paraId="2984A7E6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Outcome (breast cancer)</w:t>
            </w:r>
          </w:p>
        </w:tc>
        <w:tc>
          <w:tcPr>
            <w:tcW w:w="681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D9E2F3"/>
            <w:vAlign w:val="center"/>
          </w:tcPr>
          <w:p w14:paraId="6129E46A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Heterogeneity (Cochran's Q)</w:t>
            </w:r>
          </w:p>
        </w:tc>
        <w:tc>
          <w:tcPr>
            <w:tcW w:w="64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1F2CA9C0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Heterogeneity p-value</w:t>
            </w:r>
          </w:p>
        </w:tc>
        <w:tc>
          <w:tcPr>
            <w:tcW w:w="819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D9E2F3"/>
            <w:vAlign w:val="center"/>
          </w:tcPr>
          <w:p w14:paraId="0F78EC2A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Pleiotropy_test (Egger_intercept)</w:t>
            </w:r>
          </w:p>
        </w:tc>
        <w:tc>
          <w:tcPr>
            <w:tcW w:w="48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2D08D0B0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Pleiotropy p-value</w:t>
            </w:r>
          </w:p>
        </w:tc>
        <w:tc>
          <w:tcPr>
            <w:tcW w:w="500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D9E2F3"/>
            <w:vAlign w:val="center"/>
          </w:tcPr>
          <w:p w14:paraId="463ACA14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MR-PRESSO (RSSobs)</w:t>
            </w:r>
          </w:p>
        </w:tc>
        <w:tc>
          <w:tcPr>
            <w:tcW w:w="504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D9E2F3"/>
            <w:vAlign w:val="center"/>
          </w:tcPr>
          <w:p w14:paraId="58672872">
            <w:pPr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b/>
                <w:bCs/>
                <w:color w:val="000000"/>
                <w:sz w:val="15"/>
                <w:szCs w:val="15"/>
                <w:lang w:eastAsia="zh-CN" w:bidi="ar"/>
              </w:rPr>
              <w:t>MR-PRESSO p-value</w:t>
            </w:r>
          </w:p>
        </w:tc>
      </w:tr>
      <w:tr w14:paraId="70F81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7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32CE54C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eqtl-a-ENSG00000168000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C6578A3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ieu-a-1135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BD1F1DC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3.962</w:t>
            </w:r>
          </w:p>
        </w:tc>
        <w:tc>
          <w:tcPr>
            <w:tcW w:w="642" w:type="pct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20386D73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0.682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FCB972A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-0.007</w:t>
            </w:r>
          </w:p>
        </w:tc>
        <w:tc>
          <w:tcPr>
            <w:tcW w:w="480" w:type="pct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3072FD8D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0.663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675D527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6.045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17F0539">
            <w:pPr>
              <w:jc w:val="center"/>
              <w:textAlignment w:val="center"/>
              <w:rPr>
                <w:rFonts w:eastAsia="宋体" w:cs="Times New Roman"/>
                <w:color w:val="000000"/>
                <w:sz w:val="15"/>
                <w:szCs w:val="15"/>
              </w:rPr>
            </w:pPr>
            <w:r>
              <w:rPr>
                <w:rFonts w:eastAsia="宋体" w:cs="Times New Roman"/>
                <w:color w:val="000000"/>
                <w:sz w:val="15"/>
                <w:szCs w:val="15"/>
                <w:lang w:eastAsia="zh-CN" w:bidi="ar"/>
              </w:rPr>
              <w:t>0.759</w:t>
            </w:r>
          </w:p>
        </w:tc>
      </w:tr>
    </w:tbl>
    <w:p w14:paraId="7984D78F">
      <w:pPr>
        <w:jc w:val="center"/>
        <w:sectPr>
          <w:pgSz w:w="12240" w:h="15840"/>
          <w:pgMar w:top="1417" w:right="1417" w:bottom="1417" w:left="1417" w:header="720" w:footer="720" w:gutter="0"/>
          <w:cols w:space="0" w:num="1"/>
          <w:docGrid w:linePitch="360" w:charSpace="0"/>
        </w:sectPr>
      </w:pPr>
      <w:r>
        <w:br w:type="page"/>
      </w:r>
    </w:p>
    <w:p w14:paraId="784E8567">
      <w:r>
        <w:rPr>
          <w:b/>
        </w:rPr>
        <w:t xml:space="preserve">Supplementary Table S4: Immunohistochemistry </w:t>
      </w:r>
      <w:r>
        <w:rPr>
          <w:rFonts w:hint="eastAsia" w:eastAsia="宋体"/>
          <w:b/>
          <w:lang w:val="en-US" w:eastAsia="zh-CN"/>
        </w:rPr>
        <w:t>g</w:t>
      </w:r>
      <w:r>
        <w:rPr>
          <w:b/>
        </w:rPr>
        <w:t xml:space="preserve">rading of Seipin </w:t>
      </w:r>
      <w:r>
        <w:rPr>
          <w:rFonts w:hint="eastAsia" w:eastAsia="宋体"/>
          <w:b/>
          <w:lang w:val="en-US" w:eastAsia="zh-CN"/>
        </w:rPr>
        <w:t>e</w:t>
      </w:r>
      <w:r>
        <w:rPr>
          <w:b/>
        </w:rPr>
        <w:t xml:space="preserve">xpression in Breast Cancer and Mammary Hyperplasia </w:t>
      </w:r>
      <w:r>
        <w:rPr>
          <w:rFonts w:hint="eastAsia" w:eastAsia="宋体"/>
          <w:b/>
          <w:lang w:val="en-US" w:eastAsia="zh-CN"/>
        </w:rPr>
        <w:t>p</w:t>
      </w:r>
      <w:r>
        <w:rPr>
          <w:b/>
        </w:rPr>
        <w:t xml:space="preserve">atient </w:t>
      </w:r>
      <w:r>
        <w:rPr>
          <w:rFonts w:hint="eastAsia" w:eastAsia="宋体"/>
          <w:b/>
          <w:lang w:val="en-US" w:eastAsia="zh-CN"/>
        </w:rPr>
        <w:t>s</w:t>
      </w:r>
      <w:r>
        <w:rPr>
          <w:b/>
        </w:rPr>
        <w:t>amples</w:t>
      </w:r>
    </w:p>
    <w:p w14:paraId="7760B561">
      <w:pPr>
        <w:rPr>
          <w:rFonts w:eastAsia="宋体"/>
          <w:i/>
          <w:sz w:val="22"/>
          <w:lang w:eastAsia="zh-CN"/>
        </w:rPr>
      </w:pPr>
      <w:r>
        <w:rPr>
          <w:i/>
          <w:sz w:val="22"/>
        </w:rPr>
        <w:t>Immunohistochemistry (IHC) grading of Seipin protein expression in breast cancer and mammary hyperplasia tissue samples. For each sample, cells were classified by staining intensity grade (1+, weak; 2+, moderate; 3+, strong). Mean Intensity represents the average cellular mask brightness  for each grade. Count indicates the number of cells in each grade category; Percent shows the proportion of cells per grade.</w:t>
      </w:r>
    </w:p>
    <w:tbl>
      <w:tblPr>
        <w:tblStyle w:val="3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592"/>
        <w:gridCol w:w="1592"/>
        <w:gridCol w:w="1592"/>
        <w:gridCol w:w="1592"/>
        <w:gridCol w:w="1592"/>
      </w:tblGrid>
      <w:tr w14:paraId="06EB6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D9E2F3"/>
            <w:vAlign w:val="center"/>
          </w:tcPr>
          <w:p w14:paraId="5382E5F7">
            <w:pPr>
              <w:spacing w:after="0" w:line="240" w:lineRule="auto"/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  <w:t>Sample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D9E2F3"/>
            <w:vAlign w:val="center"/>
          </w:tcPr>
          <w:p w14:paraId="5FBD0E7E">
            <w:pPr>
              <w:spacing w:after="0" w:line="240" w:lineRule="auto"/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  <w:t>Sample ID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D9E2F3"/>
            <w:vAlign w:val="center"/>
          </w:tcPr>
          <w:p w14:paraId="72E1E8D6">
            <w:pPr>
              <w:spacing w:after="0" w:line="240" w:lineRule="auto"/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  <w:t>Grade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D9E2F3"/>
            <w:vAlign w:val="center"/>
          </w:tcPr>
          <w:p w14:paraId="5FAE5D9D">
            <w:pPr>
              <w:spacing w:after="0" w:line="240" w:lineRule="auto"/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  <w:t>Mean Intensity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D9E2F3"/>
            <w:vAlign w:val="center"/>
          </w:tcPr>
          <w:p w14:paraId="3F4A4440">
            <w:pPr>
              <w:spacing w:after="0" w:line="240" w:lineRule="auto"/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  <w:t>Count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D9E2F3"/>
            <w:vAlign w:val="center"/>
          </w:tcPr>
          <w:p w14:paraId="1F291A87">
            <w:pPr>
              <w:spacing w:after="0" w:line="240" w:lineRule="auto"/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 w:val="18"/>
                <w:szCs w:val="18"/>
                <w:lang w:eastAsia="zh-CN"/>
              </w:rPr>
              <w:t>Percent</w:t>
            </w:r>
          </w:p>
        </w:tc>
      </w:tr>
      <w:tr w14:paraId="07A38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06DFF1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Breast</w:t>
            </w:r>
          </w:p>
          <w:p w14:paraId="7E7687F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 xml:space="preserve"> Cancer </w:t>
            </w:r>
          </w:p>
          <w:p w14:paraId="0FE5545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Patients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C075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38642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387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F55A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12.803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417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E6E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73.35%</w:t>
            </w:r>
          </w:p>
        </w:tc>
      </w:tr>
      <w:tr w14:paraId="4E24A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8AD087C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401C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3B7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9D5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20.755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1086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D2D9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26.18%</w:t>
            </w:r>
          </w:p>
        </w:tc>
      </w:tr>
      <w:tr w14:paraId="6F7C6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EF1C57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0267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0EA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B8F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30.906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B51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7AB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0.24%</w:t>
            </w:r>
          </w:p>
        </w:tc>
      </w:tr>
      <w:tr w14:paraId="1891D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2552AE3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B115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37136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3BE0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9C5F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10.114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D249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CE9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55.92%</w:t>
            </w:r>
          </w:p>
        </w:tc>
      </w:tr>
      <w:tr w14:paraId="18B02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F4870F9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2CD30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5DEB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ABA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23.745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00B99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E12C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17.86%</w:t>
            </w:r>
          </w:p>
        </w:tc>
      </w:tr>
      <w:tr w14:paraId="53D42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7E4BEA3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5418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179B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449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40.27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1FE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4EDD0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25.92%</w:t>
            </w:r>
          </w:p>
        </w:tc>
      </w:tr>
      <w:tr w14:paraId="75EF7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C7C7D23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505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38293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B6B3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593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6.506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DE2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985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7C3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70.97%</w:t>
            </w:r>
          </w:p>
        </w:tc>
      </w:tr>
      <w:tr w14:paraId="14DA3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ED8E9A2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7D593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94DA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028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23.072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234E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95A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27.52%</w:t>
            </w:r>
          </w:p>
        </w:tc>
      </w:tr>
      <w:tr w14:paraId="05926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23F8A2F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F7C8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6AC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2EA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32.793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3E537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D293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1.51%</w:t>
            </w:r>
          </w:p>
        </w:tc>
      </w:tr>
      <w:tr w14:paraId="7A94B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C135E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822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36564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3A6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4CF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13.913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E37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67F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47.56%</w:t>
            </w:r>
          </w:p>
        </w:tc>
      </w:tr>
      <w:tr w14:paraId="135E7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6C21623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0B77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AA6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E08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22.163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3E5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870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55805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46.70%</w:t>
            </w:r>
          </w:p>
        </w:tc>
      </w:tr>
      <w:tr w14:paraId="61656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9078541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FE070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E9A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71A7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36.789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E02C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BCE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5.74%</w:t>
            </w:r>
          </w:p>
        </w:tc>
      </w:tr>
      <w:tr w14:paraId="46871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956AB20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EFA405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37659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32E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8EA7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9.631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A6220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34E1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58.01%</w:t>
            </w:r>
          </w:p>
        </w:tc>
      </w:tr>
      <w:tr w14:paraId="30342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697E4FD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C388877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80CC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10E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24.056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48FC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D32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24.91%</w:t>
            </w:r>
          </w:p>
        </w:tc>
      </w:tr>
      <w:tr w14:paraId="40FC4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ADF9A5B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F317DBC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B1659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9453D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35.885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601E3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74F589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16.99%</w:t>
            </w:r>
          </w:p>
        </w:tc>
      </w:tr>
      <w:tr w14:paraId="6F248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94C5B4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Mammary Hyperplasia Patients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FF0B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39302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4F0B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313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9.062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7D04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5B4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35.66%</w:t>
            </w:r>
          </w:p>
        </w:tc>
      </w:tr>
      <w:tr w14:paraId="23E1E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671B674A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6D42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3B9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F08C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25.635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1DDA9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7C1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17.45%</w:t>
            </w:r>
          </w:p>
        </w:tc>
      </w:tr>
      <w:tr w14:paraId="2345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BDCF17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7DA96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9877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DD40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38.919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6E02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2146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46.45%</w:t>
            </w:r>
          </w:p>
        </w:tc>
      </w:tr>
      <w:tr w14:paraId="6C088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41BB66F2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2C2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40480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EBC2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75D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12.047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6F6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E31C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14.75%</w:t>
            </w:r>
          </w:p>
        </w:tc>
      </w:tr>
      <w:tr w14:paraId="5AE52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D51DEDE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FB400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95D8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1C1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23.498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CD6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8EE9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11.45%</w:t>
            </w:r>
          </w:p>
        </w:tc>
      </w:tr>
      <w:tr w14:paraId="65236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46EA679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4394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538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6C520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55.004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0BC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0CE9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73.73%</w:t>
            </w:r>
          </w:p>
        </w:tc>
      </w:tr>
      <w:tr w14:paraId="49F84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9FEB05A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1E85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39202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CC8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31D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12.67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580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C48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7.77%</w:t>
            </w:r>
          </w:p>
        </w:tc>
      </w:tr>
      <w:tr w14:paraId="62D4B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5CD74A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C4E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4EB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DE3C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22.785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E5F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0A8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7.38%</w:t>
            </w:r>
          </w:p>
        </w:tc>
      </w:tr>
      <w:tr w14:paraId="6C0DE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54ED5CF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D2E5C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2FD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988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64.766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B5BF2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1101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11C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84.69%</w:t>
            </w:r>
          </w:p>
        </w:tc>
      </w:tr>
      <w:tr w14:paraId="0143F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6C9744C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1A7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39262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1825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531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12.925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D0A9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BBB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27.00%</w:t>
            </w:r>
          </w:p>
        </w:tc>
      </w:tr>
      <w:tr w14:paraId="3CF0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803272C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89B8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28CE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379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24.651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BE3B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ACBF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24.05%</w:t>
            </w:r>
          </w:p>
        </w:tc>
      </w:tr>
      <w:tr w14:paraId="498D7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4C30FAA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EB1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38E6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A09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EAFD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763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BF9A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48.94%</w:t>
            </w:r>
          </w:p>
        </w:tc>
      </w:tr>
      <w:tr w14:paraId="163DD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282A597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91767B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39282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3043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998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12.489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1AB33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AC59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16.69%</w:t>
            </w:r>
          </w:p>
        </w:tc>
      </w:tr>
      <w:tr w14:paraId="093C0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D6F1BC1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0A88B0C1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19655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2+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19E4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23.74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FF98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33CC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13.54%</w:t>
            </w:r>
          </w:p>
        </w:tc>
      </w:tr>
      <w:tr w14:paraId="243CD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E064D60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2D34BE5">
            <w:pPr>
              <w:spacing w:after="0" w:line="240" w:lineRule="auto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F1358DF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3+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45443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54.56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055FC46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900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DBBAF31">
            <w:pPr>
              <w:spacing w:after="0" w:line="240" w:lineRule="auto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69.23%</w:t>
            </w:r>
          </w:p>
        </w:tc>
      </w:tr>
    </w:tbl>
    <w:p w14:paraId="4A974E97">
      <w:pPr>
        <w:rPr>
          <w:rFonts w:eastAsia="宋体"/>
          <w:lang w:eastAsia="zh-CN"/>
        </w:rPr>
      </w:pPr>
    </w:p>
    <w:p w14:paraId="3146A2B3">
      <w:pPr>
        <w:jc w:val="both"/>
        <w:rPr>
          <w:rFonts w:eastAsia="宋体"/>
          <w:lang w:eastAsia="zh-CN"/>
        </w:rPr>
      </w:pPr>
    </w:p>
    <w:p w14:paraId="2E017376">
      <w:pPr>
        <w:rPr>
          <w:rFonts w:hint="eastAsia"/>
          <w:b/>
        </w:rPr>
      </w:pPr>
      <w:r>
        <w:rPr>
          <w:rFonts w:hint="eastAsia"/>
          <w:b/>
        </w:rPr>
        <w:t xml:space="preserve">Supplementary </w:t>
      </w:r>
      <w:r>
        <w:rPr>
          <w:rFonts w:hint="eastAsia" w:eastAsia="宋体"/>
          <w:b/>
          <w:lang w:val="en-US" w:eastAsia="zh-CN"/>
        </w:rPr>
        <w:t>Figure</w:t>
      </w:r>
      <w:r>
        <w:rPr>
          <w:rFonts w:hint="eastAsia"/>
          <w:b/>
        </w:rPr>
        <w:t xml:space="preserve"> S</w:t>
      </w:r>
      <w:r>
        <w:rPr>
          <w:rFonts w:hint="eastAsia" w:eastAsia="宋体"/>
          <w:b/>
          <w:lang w:val="en-US" w:eastAsia="zh-CN"/>
        </w:rPr>
        <w:t>1</w:t>
      </w:r>
      <w:r>
        <w:rPr>
          <w:rFonts w:hint="eastAsia"/>
          <w:b/>
        </w:rPr>
        <w:t>: Immunohistochemical negative control staining of mammary hyperplasia tissues</w:t>
      </w:r>
    </w:p>
    <w:p w14:paraId="74652A96">
      <w:pPr>
        <w:rPr>
          <w:rFonts w:hint="eastAsia"/>
          <w:b/>
        </w:rPr>
      </w:pPr>
    </w:p>
    <w:p w14:paraId="25495D1E">
      <w:pPr>
        <w:jc w:val="center"/>
      </w:pPr>
      <w:r>
        <w:drawing>
          <wp:inline distT="0" distB="0" distL="0" distR="0">
            <wp:extent cx="5253990" cy="1739900"/>
            <wp:effectExtent l="0" t="0" r="3810" b="12700"/>
            <wp:docPr id="3210741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74181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381F4">
      <w:pPr>
        <w:spacing w:after="0" w:line="240" w:lineRule="auto"/>
        <w:ind w:left="437" w:leftChars="182" w:firstLine="0" w:firstLineChars="0"/>
        <w:rPr>
          <w:rFonts w:hint="eastAsia" w:eastAsia="宋体"/>
          <w:i/>
          <w:sz w:val="22"/>
          <w:lang w:val="en-US" w:eastAsia="zh-CN"/>
        </w:rPr>
      </w:pPr>
      <w:r>
        <w:rPr>
          <w:rFonts w:hint="eastAsia"/>
          <w:i/>
          <w:sz w:val="22"/>
        </w:rPr>
        <w:t xml:space="preserve">Figure </w:t>
      </w:r>
      <w:r>
        <w:rPr>
          <w:rFonts w:hint="eastAsia" w:eastAsia="宋体"/>
          <w:i/>
          <w:sz w:val="22"/>
          <w:lang w:val="en-US" w:eastAsia="zh-CN"/>
        </w:rPr>
        <w:t>S1</w:t>
      </w:r>
      <w:r>
        <w:rPr>
          <w:rFonts w:hint="eastAsia"/>
          <w:i/>
          <w:sz w:val="22"/>
        </w:rPr>
        <w:t>. Immunohistochemical negative control staining of mammary hyperplasia tissues</w:t>
      </w:r>
      <w:r>
        <w:rPr>
          <w:rFonts w:hint="eastAsia" w:eastAsia="宋体"/>
          <w:i/>
          <w:sz w:val="22"/>
          <w:lang w:val="en-US" w:eastAsia="zh-CN"/>
        </w:rPr>
        <w:t>.</w:t>
      </w:r>
    </w:p>
    <w:p w14:paraId="23514441">
      <w:pPr>
        <w:spacing w:after="0" w:line="240" w:lineRule="auto"/>
        <w:ind w:left="437" w:leftChars="182" w:firstLine="0" w:firstLineChars="0"/>
        <w:rPr>
          <w:rFonts w:hint="eastAsia"/>
          <w:i/>
          <w:sz w:val="22"/>
        </w:rPr>
      </w:pPr>
      <w:r>
        <w:rPr>
          <w:rFonts w:hint="eastAsia"/>
          <w:i/>
          <w:sz w:val="22"/>
        </w:rPr>
        <w:t xml:space="preserve">Negative controls were prepared by omission of the primary antibody. The left panel is captured </w:t>
      </w:r>
    </w:p>
    <w:p w14:paraId="026D0CDE">
      <w:pPr>
        <w:spacing w:after="0" w:line="240" w:lineRule="auto"/>
        <w:ind w:left="437" w:leftChars="182" w:firstLine="0" w:firstLineChars="0"/>
        <w:rPr>
          <w:i/>
          <w:sz w:val="22"/>
        </w:rPr>
      </w:pPr>
      <w:r>
        <w:rPr>
          <w:rFonts w:hint="eastAsia"/>
          <w:i/>
          <w:sz w:val="22"/>
        </w:rPr>
        <w:t xml:space="preserve">at </w:t>
      </w:r>
      <w:r>
        <w:rPr>
          <w:rFonts w:hint="default" w:ascii="Times New Roman" w:hAnsi="Times New Roman" w:cs="Times New Roman"/>
          <w:i/>
          <w:sz w:val="22"/>
        </w:rPr>
        <w:t>10</w:t>
      </w:r>
      <w:r>
        <w:rPr>
          <w:rFonts w:hint="eastAsia" w:eastAsia="宋体" w:cs="Times New Roman"/>
          <w:i/>
          <w:sz w:val="22"/>
          <w:lang w:val="en-US" w:eastAsia="zh-CN"/>
        </w:rPr>
        <w:t>0</w:t>
      </w:r>
      <w:r>
        <w:rPr>
          <w:rFonts w:hint="default" w:ascii="Times New Roman" w:hAnsi="Times New Roman" w:cs="Times New Roman"/>
          <w:i/>
          <w:sz w:val="22"/>
        </w:rPr>
        <w:t>×</w:t>
      </w:r>
      <w:r>
        <w:rPr>
          <w:rFonts w:hint="eastAsia"/>
          <w:i/>
          <w:sz w:val="22"/>
        </w:rPr>
        <w:t xml:space="preserve"> original magnification, and the right panel at 20</w:t>
      </w:r>
      <w:r>
        <w:rPr>
          <w:rFonts w:hint="eastAsia" w:eastAsia="宋体"/>
          <w:i/>
          <w:sz w:val="22"/>
          <w:lang w:val="en-US" w:eastAsia="zh-CN"/>
        </w:rPr>
        <w:t>0</w:t>
      </w:r>
      <w:r>
        <w:rPr>
          <w:rFonts w:hint="eastAsia"/>
          <w:i/>
          <w:sz w:val="22"/>
        </w:rPr>
        <w:t>× original magnification. Scale bars correspond to</w:t>
      </w:r>
      <w:r>
        <w:rPr>
          <w:rFonts w:hint="default" w:ascii="Times New Roman" w:hAnsi="Times New Roman" w:cs="Times New Roman"/>
          <w:i/>
          <w:sz w:val="22"/>
        </w:rPr>
        <w:t xml:space="preserve"> 10</w:t>
      </w:r>
      <w:r>
        <w:rPr>
          <w:rFonts w:hint="eastAsia"/>
          <w:i/>
          <w:sz w:val="22"/>
        </w:rPr>
        <w:t xml:space="preserve"> </w:t>
      </w:r>
      <w:r>
        <w:rPr>
          <w:rFonts w:hint="default" w:ascii="Times New Roman" w:hAnsi="Times New Roman" w:cs="Times New Roman"/>
          <w:i/>
          <w:sz w:val="22"/>
        </w:rPr>
        <w:t>μm</w:t>
      </w:r>
      <w:r>
        <w:rPr>
          <w:rFonts w:hint="eastAsia"/>
          <w:i/>
          <w:sz w:val="22"/>
        </w:rPr>
        <w:t>.</w:t>
      </w:r>
      <w:bookmarkStart w:id="0" w:name="_GoBack"/>
      <w:bookmarkEnd w:id="0"/>
    </w:p>
    <w:sectPr>
      <w:pgSz w:w="12240" w:h="15840"/>
      <w:pgMar w:top="1417" w:right="1417" w:bottom="1417" w:left="1417" w:header="720" w:footer="720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C9C"/>
    <w:rsid w:val="00034616"/>
    <w:rsid w:val="0006063C"/>
    <w:rsid w:val="000657B7"/>
    <w:rsid w:val="00075599"/>
    <w:rsid w:val="000A19AE"/>
    <w:rsid w:val="000B207B"/>
    <w:rsid w:val="000E73F1"/>
    <w:rsid w:val="000F347D"/>
    <w:rsid w:val="0015074B"/>
    <w:rsid w:val="001B1459"/>
    <w:rsid w:val="00204A4B"/>
    <w:rsid w:val="002439A8"/>
    <w:rsid w:val="0029639D"/>
    <w:rsid w:val="002B77B2"/>
    <w:rsid w:val="002C515A"/>
    <w:rsid w:val="00326F90"/>
    <w:rsid w:val="00335B68"/>
    <w:rsid w:val="00355B0F"/>
    <w:rsid w:val="00364BF3"/>
    <w:rsid w:val="003D5468"/>
    <w:rsid w:val="003F0CED"/>
    <w:rsid w:val="00455CFA"/>
    <w:rsid w:val="00474316"/>
    <w:rsid w:val="0048122E"/>
    <w:rsid w:val="00517D11"/>
    <w:rsid w:val="00547BE1"/>
    <w:rsid w:val="00575312"/>
    <w:rsid w:val="0058101E"/>
    <w:rsid w:val="006418E9"/>
    <w:rsid w:val="00645DE1"/>
    <w:rsid w:val="00674938"/>
    <w:rsid w:val="00715ED7"/>
    <w:rsid w:val="007A3898"/>
    <w:rsid w:val="007A63DD"/>
    <w:rsid w:val="00833513"/>
    <w:rsid w:val="00867E0F"/>
    <w:rsid w:val="008B5E0F"/>
    <w:rsid w:val="00910503"/>
    <w:rsid w:val="0096756F"/>
    <w:rsid w:val="00975282"/>
    <w:rsid w:val="009F0730"/>
    <w:rsid w:val="00A479EE"/>
    <w:rsid w:val="00AA1D8D"/>
    <w:rsid w:val="00AD470C"/>
    <w:rsid w:val="00AE2858"/>
    <w:rsid w:val="00B17204"/>
    <w:rsid w:val="00B3336D"/>
    <w:rsid w:val="00B47730"/>
    <w:rsid w:val="00B63B17"/>
    <w:rsid w:val="00B849FD"/>
    <w:rsid w:val="00BB2F85"/>
    <w:rsid w:val="00BE417C"/>
    <w:rsid w:val="00C15FF9"/>
    <w:rsid w:val="00C473C6"/>
    <w:rsid w:val="00CB0664"/>
    <w:rsid w:val="00D67BF9"/>
    <w:rsid w:val="00D810B4"/>
    <w:rsid w:val="00D829E4"/>
    <w:rsid w:val="00DB5A9E"/>
    <w:rsid w:val="00DD370F"/>
    <w:rsid w:val="00E01391"/>
    <w:rsid w:val="00E321A8"/>
    <w:rsid w:val="00EB77BB"/>
    <w:rsid w:val="00EC502E"/>
    <w:rsid w:val="00ED5112"/>
    <w:rsid w:val="00F470A9"/>
    <w:rsid w:val="00F94D83"/>
    <w:rsid w:val="00FA152C"/>
    <w:rsid w:val="00FA7697"/>
    <w:rsid w:val="00FC693F"/>
    <w:rsid w:val="05E530D0"/>
    <w:rsid w:val="06345E06"/>
    <w:rsid w:val="07941252"/>
    <w:rsid w:val="0B944A05"/>
    <w:rsid w:val="0C3502F0"/>
    <w:rsid w:val="0C4443CC"/>
    <w:rsid w:val="0F985ADC"/>
    <w:rsid w:val="10334930"/>
    <w:rsid w:val="140349C8"/>
    <w:rsid w:val="159863B1"/>
    <w:rsid w:val="18D3325C"/>
    <w:rsid w:val="1CA13D9D"/>
    <w:rsid w:val="21F66939"/>
    <w:rsid w:val="25770537"/>
    <w:rsid w:val="258515CF"/>
    <w:rsid w:val="26756E92"/>
    <w:rsid w:val="26AF355A"/>
    <w:rsid w:val="29DD0FDA"/>
    <w:rsid w:val="335C42DD"/>
    <w:rsid w:val="3857135C"/>
    <w:rsid w:val="38B62526"/>
    <w:rsid w:val="4742103F"/>
    <w:rsid w:val="48E64762"/>
    <w:rsid w:val="492B6619"/>
    <w:rsid w:val="4A753C30"/>
    <w:rsid w:val="4BF6554D"/>
    <w:rsid w:val="524B3888"/>
    <w:rsid w:val="549265A5"/>
    <w:rsid w:val="5D72222B"/>
    <w:rsid w:val="631A52DC"/>
    <w:rsid w:val="649C73B9"/>
    <w:rsid w:val="69155B65"/>
    <w:rsid w:val="6C8362B5"/>
    <w:rsid w:val="6E6812BD"/>
    <w:rsid w:val="70C60851"/>
    <w:rsid w:val="71E62A4E"/>
    <w:rsid w:val="7315405F"/>
    <w:rsid w:val="79BA4CCB"/>
    <w:rsid w:val="7F3E639F"/>
    <w:rsid w:val="7F85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rPr>
      <w:rFonts w:cs="Times New Roman"/>
      <w:szCs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页眉 字符"/>
    <w:basedOn w:val="133"/>
    <w:link w:val="25"/>
    <w:qFormat/>
    <w:uiPriority w:val="99"/>
  </w:style>
  <w:style w:type="character" w:customStyle="1" w:styleId="137">
    <w:name w:val="页脚 字符"/>
    <w:basedOn w:val="133"/>
    <w:link w:val="24"/>
    <w:qFormat/>
    <w:uiPriority w:val="99"/>
  </w:style>
  <w:style w:type="paragraph" w:styleId="13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标题 2 字符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标题 3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字符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basedOn w:val="133"/>
    <w:link w:val="19"/>
    <w:qFormat/>
    <w:uiPriority w:val="99"/>
  </w:style>
  <w:style w:type="character" w:customStyle="1" w:styleId="146">
    <w:name w:val="正文文本 2 字符"/>
    <w:basedOn w:val="133"/>
    <w:link w:val="28"/>
    <w:qFormat/>
    <w:uiPriority w:val="99"/>
  </w:style>
  <w:style w:type="character" w:customStyle="1" w:styleId="147">
    <w:name w:val="正文文本 3 字符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宏文本 字符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字符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字符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字符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字符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字符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不明显强调1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明显强调1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参考1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明显参考1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书籍标题1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microsoft.com/office/2007/relationships/hdphoto" Target="media/image2.wdp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763</Words>
  <Characters>4516</Characters>
  <Lines>606</Lines>
  <Paragraphs>535</Paragraphs>
  <TotalTime>31</TotalTime>
  <ScaleCrop>false</ScaleCrop>
  <LinksUpToDate>false</LinksUpToDate>
  <CharactersWithSpaces>5016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2026-06-22T10:06:00Z</dcterms:created>
  <dc:creator>python-docx</dc:creator>
  <dc:description>generated by python-docx</dc:description>
  <cp:lastModifiedBy>曾多多</cp:lastModifiedBy>
  <dcterms:modified xsi:type="dcterms:W3CDTF">2026-07-04T10:08:37Z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eyJoZGlkIjoiNGE5NjYxYzM4YzI3ZDY0N2FjNWJkY2ZmZmExMGYyN2QiLCJ1c2VySWQiOiI0NTY3MjEzMzUifQ==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489CB8A1F3D64B9BADA25BA16A96FB03_13</vt:lpwstr>
  </property>
</Properties>
</file>