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AA71" w14:textId="77777777" w:rsidR="00252FA6" w:rsidRDefault="00000000">
      <w:pPr>
        <w:rPr>
          <w:b/>
          <w:bCs/>
        </w:rPr>
      </w:pPr>
      <w:r>
        <w:rPr>
          <w:rFonts w:hint="eastAsia"/>
          <w:b/>
          <w:bCs/>
        </w:rPr>
        <w:t>Supplementary File 1 Representative Examination Question Example</w:t>
      </w:r>
    </w:p>
    <w:p w14:paraId="1868A02C" w14:textId="77777777" w:rsidR="00252FA6" w:rsidRDefault="00000000">
      <w:r>
        <w:rPr>
          <w:rFonts w:hint="eastAsia"/>
          <w:b/>
          <w:bCs/>
        </w:rPr>
        <w:t xml:space="preserve">Question: </w:t>
      </w:r>
      <w:r>
        <w:rPr>
          <w:rFonts w:hint="eastAsia"/>
        </w:rPr>
        <w:t>A 53-year-old female with a history of hypertension presents to the emergency department with 3 hours of severe, substernal chest pressure accompanied by a choking sensation in the throat. Her vital signs are BP 112/65 mmHg, HR 59 bpm, RR 20/min, O</w:t>
      </w:r>
      <w:r>
        <w:rPr>
          <w:rFonts w:hint="eastAsia"/>
        </w:rPr>
        <w:t>₂</w:t>
      </w:r>
      <w:r>
        <w:rPr>
          <w:rFonts w:hint="eastAsia"/>
        </w:rPr>
        <w:t>sat 96% on room air. The 12-lead ECG is shown below. What is the most likely diagnosis?</w:t>
      </w:r>
    </w:p>
    <w:p w14:paraId="00D579DA" w14:textId="77777777" w:rsidR="00252FA6" w:rsidRDefault="00000000">
      <w:r>
        <w:rPr>
          <w:rFonts w:hint="eastAsia"/>
          <w:noProof/>
        </w:rPr>
        <w:drawing>
          <wp:inline distT="0" distB="0" distL="114300" distR="114300" wp14:anchorId="5ADD5C91" wp14:editId="79350442">
            <wp:extent cx="2662555" cy="5297805"/>
            <wp:effectExtent l="0" t="0" r="7620" b="4445"/>
            <wp:docPr id="1" name="图片 1" descr="b73048199d256bde2e6bce74c435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3048199d256bde2e6bce74c435cfd"/>
                    <pic:cNvPicPr>
                      <a:picLocks noChangeAspect="1"/>
                    </pic:cNvPicPr>
                  </pic:nvPicPr>
                  <pic:blipFill>
                    <a:blip r:embed="rId7"/>
                    <a:srcRect l="5377" r="26099" b="2546"/>
                    <a:stretch>
                      <a:fillRect/>
                    </a:stretch>
                  </pic:blipFill>
                  <pic:spPr>
                    <a:xfrm rot="16200000">
                      <a:off x="0" y="0"/>
                      <a:ext cx="2662555" cy="5297805"/>
                    </a:xfrm>
                    <a:prstGeom prst="rect">
                      <a:avLst/>
                    </a:prstGeom>
                  </pic:spPr>
                </pic:pic>
              </a:graphicData>
            </a:graphic>
          </wp:inline>
        </w:drawing>
      </w:r>
    </w:p>
    <w:p w14:paraId="18B046B6" w14:textId="77777777" w:rsidR="00252FA6" w:rsidRDefault="00000000">
      <w:r>
        <w:rPr>
          <w:rFonts w:hint="eastAsia"/>
        </w:rPr>
        <w:t>A. Acute pericarditis</w:t>
      </w:r>
      <w:r>
        <w:rPr>
          <w:rFonts w:hint="eastAsia"/>
        </w:rPr>
        <w:br/>
        <w:t>B. Inferior ST-elevation myocardial infarction (STEMI)</w:t>
      </w:r>
      <w:r>
        <w:rPr>
          <w:rFonts w:hint="eastAsia"/>
        </w:rPr>
        <w:br/>
        <w:t>C. Early repolarization variant</w:t>
      </w:r>
      <w:r>
        <w:rPr>
          <w:rFonts w:hint="eastAsia"/>
        </w:rPr>
        <w:br/>
        <w:t>D. Left ventricular hypertrophy with strain pattern</w:t>
      </w:r>
    </w:p>
    <w:p w14:paraId="3D957588" w14:textId="77777777" w:rsidR="00252FA6" w:rsidRDefault="00252FA6"/>
    <w:p w14:paraId="29CAB757" w14:textId="77777777" w:rsidR="00252FA6" w:rsidRDefault="00000000">
      <w:r>
        <w:rPr>
          <w:rFonts w:hint="eastAsia"/>
          <w:b/>
          <w:bCs/>
        </w:rPr>
        <w:t xml:space="preserve">Correct Answer: </w:t>
      </w:r>
      <w:r>
        <w:rPr>
          <w:rFonts w:hint="eastAsia"/>
        </w:rPr>
        <w:t>B. Inferior ST-elevation myocardial infarction (STEMI)</w:t>
      </w:r>
    </w:p>
    <w:p w14:paraId="60E846FE" w14:textId="77777777" w:rsidR="00252FA6" w:rsidRDefault="00000000">
      <w:r>
        <w:rPr>
          <w:rFonts w:hint="eastAsia"/>
          <w:b/>
          <w:bCs/>
        </w:rPr>
        <w:t>ABCD Classification:</w:t>
      </w:r>
      <w:r>
        <w:rPr>
          <w:rFonts w:hint="eastAsia"/>
        </w:rPr>
        <w:t xml:space="preserve"> Category A (Common Emergency)</w:t>
      </w:r>
    </w:p>
    <w:p w14:paraId="49F85591" w14:textId="77777777" w:rsidR="00252FA6" w:rsidRDefault="00252FA6"/>
    <w:p w14:paraId="56F7669A" w14:textId="77777777" w:rsidR="00252FA6" w:rsidRDefault="00252FA6"/>
    <w:p w14:paraId="6C28145C" w14:textId="77777777" w:rsidR="00252FA6" w:rsidRDefault="00000000">
      <w:pPr>
        <w:rPr>
          <w:rFonts w:ascii="Times New Roman" w:hAnsi="Times New Roman" w:cs="Times New Roman"/>
          <w:szCs w:val="21"/>
        </w:rPr>
      </w:pPr>
      <w:r>
        <w:rPr>
          <w:rFonts w:ascii="Times New Roman" w:hAnsi="Times New Roman" w:cs="Times New Roman"/>
          <w:b/>
          <w:bCs/>
          <w:szCs w:val="21"/>
        </w:rPr>
        <w:t xml:space="preserve">Supplementary File </w:t>
      </w:r>
      <w:r>
        <w:rPr>
          <w:rFonts w:ascii="Times New Roman" w:hAnsi="Times New Roman" w:cs="Times New Roman" w:hint="eastAsia"/>
          <w:b/>
          <w:bCs/>
          <w:szCs w:val="21"/>
        </w:rPr>
        <w:t>2</w:t>
      </w:r>
      <w:r>
        <w:rPr>
          <w:rFonts w:ascii="Times New Roman" w:hAnsi="Times New Roman" w:cs="Times New Roman"/>
          <w:b/>
          <w:bCs/>
          <w:szCs w:val="21"/>
        </w:rPr>
        <w:t>. Descriptive Raw Accuracy for Categories C and D by Training Year</w:t>
      </w:r>
    </w:p>
    <w:tbl>
      <w:tblPr>
        <w:tblW w:w="8279" w:type="dxa"/>
        <w:tblBorders>
          <w:top w:val="single" w:sz="4" w:space="0" w:color="auto"/>
          <w:bottom w:val="single" w:sz="4" w:space="0" w:color="auto"/>
        </w:tblBorders>
        <w:shd w:val="clear" w:color="auto" w:fill="151517"/>
        <w:tblCellMar>
          <w:top w:w="15" w:type="dxa"/>
          <w:left w:w="15" w:type="dxa"/>
          <w:bottom w:w="15" w:type="dxa"/>
          <w:right w:w="15" w:type="dxa"/>
        </w:tblCellMar>
        <w:tblLook w:val="04A0" w:firstRow="1" w:lastRow="0" w:firstColumn="1" w:lastColumn="0" w:noHBand="0" w:noVBand="1"/>
      </w:tblPr>
      <w:tblGrid>
        <w:gridCol w:w="1621"/>
        <w:gridCol w:w="3635"/>
        <w:gridCol w:w="3023"/>
      </w:tblGrid>
      <w:tr w:rsidR="00252FA6" w14:paraId="1387819C" w14:textId="77777777">
        <w:trPr>
          <w:trHeight w:val="463"/>
          <w:tblHeader/>
        </w:trPr>
        <w:tc>
          <w:tcPr>
            <w:tcW w:w="1621" w:type="dxa"/>
            <w:tcBorders>
              <w:bottom w:val="single" w:sz="4" w:space="0" w:color="auto"/>
              <w:tl2br w:val="nil"/>
            </w:tcBorders>
            <w:shd w:val="clear" w:color="auto" w:fill="FFFFFF"/>
            <w:tcMar>
              <w:top w:w="75" w:type="dxa"/>
              <w:left w:w="0" w:type="dxa"/>
              <w:bottom w:w="75" w:type="dxa"/>
              <w:right w:w="120" w:type="dxa"/>
            </w:tcMar>
            <w:vAlign w:val="center"/>
          </w:tcPr>
          <w:p w14:paraId="58A1F545"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Group</w:t>
            </w:r>
          </w:p>
        </w:tc>
        <w:tc>
          <w:tcPr>
            <w:tcW w:w="3635" w:type="dxa"/>
            <w:tcBorders>
              <w:bottom w:val="single" w:sz="4" w:space="0" w:color="auto"/>
            </w:tcBorders>
            <w:shd w:val="clear" w:color="auto" w:fill="FFFFFF"/>
            <w:tcMar>
              <w:top w:w="75" w:type="dxa"/>
              <w:left w:w="120" w:type="dxa"/>
              <w:bottom w:w="75" w:type="dxa"/>
              <w:right w:w="120" w:type="dxa"/>
            </w:tcMar>
            <w:vAlign w:val="center"/>
          </w:tcPr>
          <w:p w14:paraId="584B4EFA"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Category C, % (SD)</w:t>
            </w:r>
          </w:p>
        </w:tc>
        <w:tc>
          <w:tcPr>
            <w:tcW w:w="3023" w:type="dxa"/>
            <w:tcBorders>
              <w:bottom w:val="single" w:sz="4" w:space="0" w:color="auto"/>
            </w:tcBorders>
            <w:shd w:val="clear" w:color="auto" w:fill="FFFFFF"/>
            <w:tcMar>
              <w:top w:w="75" w:type="dxa"/>
              <w:left w:w="120" w:type="dxa"/>
              <w:bottom w:w="75" w:type="dxa"/>
              <w:right w:w="120" w:type="dxa"/>
            </w:tcMar>
            <w:vAlign w:val="center"/>
          </w:tcPr>
          <w:p w14:paraId="5C21B0C6"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Category D, % (SD)</w:t>
            </w:r>
          </w:p>
        </w:tc>
      </w:tr>
      <w:tr w:rsidR="00252FA6" w14:paraId="3CB2A3FB" w14:textId="77777777">
        <w:trPr>
          <w:trHeight w:val="463"/>
        </w:trPr>
        <w:tc>
          <w:tcPr>
            <w:tcW w:w="1621" w:type="dxa"/>
            <w:tcBorders>
              <w:top w:val="single" w:sz="4" w:space="0" w:color="auto"/>
            </w:tcBorders>
            <w:shd w:val="clear" w:color="auto" w:fill="FFFFFF"/>
            <w:tcMar>
              <w:top w:w="75" w:type="dxa"/>
              <w:left w:w="0" w:type="dxa"/>
              <w:bottom w:w="75" w:type="dxa"/>
              <w:right w:w="120" w:type="dxa"/>
            </w:tcMar>
            <w:vAlign w:val="center"/>
          </w:tcPr>
          <w:p w14:paraId="508403CE"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PGY-1</w:t>
            </w:r>
          </w:p>
        </w:tc>
        <w:tc>
          <w:tcPr>
            <w:tcW w:w="3635" w:type="dxa"/>
            <w:tcBorders>
              <w:top w:val="single" w:sz="4" w:space="0" w:color="auto"/>
            </w:tcBorders>
            <w:shd w:val="clear" w:color="auto" w:fill="FFFFFF"/>
            <w:tcMar>
              <w:top w:w="75" w:type="dxa"/>
              <w:left w:w="120" w:type="dxa"/>
              <w:bottom w:w="75" w:type="dxa"/>
              <w:right w:w="120" w:type="dxa"/>
            </w:tcMar>
            <w:vAlign w:val="center"/>
          </w:tcPr>
          <w:p w14:paraId="7392D046"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48.9 (20.1)</w:t>
            </w:r>
          </w:p>
        </w:tc>
        <w:tc>
          <w:tcPr>
            <w:tcW w:w="3023" w:type="dxa"/>
            <w:tcBorders>
              <w:top w:val="single" w:sz="4" w:space="0" w:color="auto"/>
            </w:tcBorders>
            <w:shd w:val="clear" w:color="auto" w:fill="FFFFFF"/>
            <w:tcMar>
              <w:top w:w="75" w:type="dxa"/>
              <w:left w:w="120" w:type="dxa"/>
              <w:bottom w:w="75" w:type="dxa"/>
              <w:right w:w="0" w:type="dxa"/>
            </w:tcMar>
            <w:vAlign w:val="center"/>
          </w:tcPr>
          <w:p w14:paraId="624CF07C"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44.7 (19.5)</w:t>
            </w:r>
          </w:p>
        </w:tc>
      </w:tr>
      <w:tr w:rsidR="00252FA6" w14:paraId="64AE901D" w14:textId="77777777">
        <w:trPr>
          <w:trHeight w:val="463"/>
        </w:trPr>
        <w:tc>
          <w:tcPr>
            <w:tcW w:w="1621" w:type="dxa"/>
            <w:shd w:val="clear" w:color="auto" w:fill="FFFFFF"/>
            <w:tcMar>
              <w:top w:w="75" w:type="dxa"/>
              <w:left w:w="0" w:type="dxa"/>
              <w:bottom w:w="75" w:type="dxa"/>
              <w:right w:w="120" w:type="dxa"/>
            </w:tcMar>
            <w:vAlign w:val="center"/>
          </w:tcPr>
          <w:p w14:paraId="2C49B358"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PGY-2</w:t>
            </w:r>
          </w:p>
        </w:tc>
        <w:tc>
          <w:tcPr>
            <w:tcW w:w="3635" w:type="dxa"/>
            <w:shd w:val="clear" w:color="auto" w:fill="FFFFFF"/>
            <w:tcMar>
              <w:top w:w="75" w:type="dxa"/>
              <w:left w:w="120" w:type="dxa"/>
              <w:bottom w:w="75" w:type="dxa"/>
              <w:right w:w="120" w:type="dxa"/>
            </w:tcMar>
            <w:vAlign w:val="center"/>
          </w:tcPr>
          <w:p w14:paraId="227204AC"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60.0 (17.3)</w:t>
            </w:r>
          </w:p>
        </w:tc>
        <w:tc>
          <w:tcPr>
            <w:tcW w:w="3023" w:type="dxa"/>
            <w:shd w:val="clear" w:color="auto" w:fill="FFFFFF"/>
            <w:tcMar>
              <w:top w:w="75" w:type="dxa"/>
              <w:left w:w="120" w:type="dxa"/>
              <w:bottom w:w="75" w:type="dxa"/>
              <w:right w:w="0" w:type="dxa"/>
            </w:tcMar>
            <w:vAlign w:val="center"/>
          </w:tcPr>
          <w:p w14:paraId="0B29FBD3"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55.6 (16.9)</w:t>
            </w:r>
          </w:p>
        </w:tc>
      </w:tr>
      <w:tr w:rsidR="00252FA6" w14:paraId="03084371" w14:textId="77777777">
        <w:trPr>
          <w:trHeight w:val="463"/>
        </w:trPr>
        <w:tc>
          <w:tcPr>
            <w:tcW w:w="1621" w:type="dxa"/>
            <w:shd w:val="clear" w:color="auto" w:fill="FFFFFF"/>
            <w:tcMar>
              <w:top w:w="75" w:type="dxa"/>
              <w:left w:w="0" w:type="dxa"/>
              <w:bottom w:w="75" w:type="dxa"/>
              <w:right w:w="120" w:type="dxa"/>
            </w:tcMar>
            <w:vAlign w:val="center"/>
          </w:tcPr>
          <w:p w14:paraId="17DB86CC"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PGY-3</w:t>
            </w:r>
          </w:p>
        </w:tc>
        <w:tc>
          <w:tcPr>
            <w:tcW w:w="3635" w:type="dxa"/>
            <w:shd w:val="clear" w:color="auto" w:fill="FFFFFF"/>
            <w:tcMar>
              <w:top w:w="75" w:type="dxa"/>
              <w:left w:w="120" w:type="dxa"/>
              <w:bottom w:w="75" w:type="dxa"/>
              <w:right w:w="120" w:type="dxa"/>
            </w:tcMar>
            <w:vAlign w:val="center"/>
          </w:tcPr>
          <w:p w14:paraId="5BCF06EA"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65.5 (15.8)</w:t>
            </w:r>
          </w:p>
        </w:tc>
        <w:tc>
          <w:tcPr>
            <w:tcW w:w="3023" w:type="dxa"/>
            <w:shd w:val="clear" w:color="auto" w:fill="FFFFFF"/>
            <w:tcMar>
              <w:top w:w="75" w:type="dxa"/>
              <w:left w:w="120" w:type="dxa"/>
              <w:bottom w:w="75" w:type="dxa"/>
              <w:right w:w="0" w:type="dxa"/>
            </w:tcMar>
            <w:vAlign w:val="center"/>
          </w:tcPr>
          <w:p w14:paraId="304931CD" w14:textId="77777777" w:rsidR="00252FA6" w:rsidRDefault="00000000">
            <w:pPr>
              <w:widowControl/>
              <w:spacing w:line="188" w:lineRule="atLeast"/>
              <w:jc w:val="left"/>
              <w:rPr>
                <w:rFonts w:ascii="Times New Roman" w:eastAsia="Segoe UI" w:hAnsi="Times New Roman" w:cs="Times New Roman"/>
                <w:color w:val="000000"/>
                <w:szCs w:val="21"/>
              </w:rPr>
            </w:pPr>
            <w:r>
              <w:rPr>
                <w:rFonts w:ascii="Times New Roman" w:eastAsia="Segoe UI" w:hAnsi="Times New Roman" w:cs="Times New Roman"/>
                <w:color w:val="000000"/>
                <w:kern w:val="0"/>
                <w:szCs w:val="21"/>
                <w:lang w:bidi="ar"/>
              </w:rPr>
              <w:t>72.2 (14.7)</w:t>
            </w:r>
          </w:p>
        </w:tc>
      </w:tr>
      <w:tr w:rsidR="00252FA6" w14:paraId="6C3CD20A" w14:textId="77777777">
        <w:trPr>
          <w:trHeight w:val="463"/>
        </w:trPr>
        <w:tc>
          <w:tcPr>
            <w:tcW w:w="1621" w:type="dxa"/>
            <w:shd w:val="clear" w:color="auto" w:fill="FFFFFF"/>
            <w:tcMar>
              <w:top w:w="75" w:type="dxa"/>
              <w:left w:w="0" w:type="dxa"/>
              <w:bottom w:w="75" w:type="dxa"/>
              <w:right w:w="120" w:type="dxa"/>
            </w:tcMar>
            <w:vAlign w:val="center"/>
          </w:tcPr>
          <w:p w14:paraId="6F1001D7" w14:textId="77777777" w:rsidR="00252FA6" w:rsidRDefault="00000000">
            <w:pPr>
              <w:widowControl/>
              <w:spacing w:line="188" w:lineRule="atLeast"/>
              <w:jc w:val="left"/>
              <w:rPr>
                <w:rFonts w:ascii="Times New Roman" w:eastAsia="Segoe UI" w:hAnsi="Times New Roman" w:cs="Times New Roman"/>
                <w:color w:val="000000"/>
                <w:szCs w:val="21"/>
              </w:rPr>
            </w:pPr>
            <w:r>
              <w:rPr>
                <w:rStyle w:val="Strong"/>
                <w:rFonts w:ascii="Times New Roman" w:eastAsia="Segoe UI" w:hAnsi="Times New Roman" w:cs="Times New Roman"/>
                <w:b w:val="0"/>
                <w:bCs/>
                <w:color w:val="000000"/>
                <w:kern w:val="0"/>
                <w:szCs w:val="21"/>
                <w:lang w:bidi="ar"/>
              </w:rPr>
              <w:t>Total</w:t>
            </w:r>
          </w:p>
        </w:tc>
        <w:tc>
          <w:tcPr>
            <w:tcW w:w="3635" w:type="dxa"/>
            <w:shd w:val="clear" w:color="auto" w:fill="FFFFFF"/>
            <w:tcMar>
              <w:top w:w="75" w:type="dxa"/>
              <w:left w:w="120" w:type="dxa"/>
              <w:bottom w:w="75" w:type="dxa"/>
              <w:right w:w="120" w:type="dxa"/>
            </w:tcMar>
            <w:vAlign w:val="center"/>
          </w:tcPr>
          <w:p w14:paraId="5423935C" w14:textId="77777777" w:rsidR="00252FA6" w:rsidRDefault="00000000">
            <w:pPr>
              <w:widowControl/>
              <w:spacing w:line="188" w:lineRule="atLeast"/>
              <w:jc w:val="left"/>
              <w:rPr>
                <w:rFonts w:ascii="Times New Roman" w:eastAsia="Segoe UI" w:hAnsi="Times New Roman" w:cs="Times New Roman"/>
                <w:color w:val="000000"/>
                <w:szCs w:val="21"/>
              </w:rPr>
            </w:pPr>
            <w:r>
              <w:rPr>
                <w:rStyle w:val="Strong"/>
                <w:rFonts w:ascii="Times New Roman" w:eastAsia="Segoe UI" w:hAnsi="Times New Roman" w:cs="Times New Roman"/>
                <w:b w:val="0"/>
                <w:bCs/>
                <w:color w:val="000000"/>
                <w:kern w:val="0"/>
                <w:szCs w:val="21"/>
                <w:lang w:bidi="ar"/>
              </w:rPr>
              <w:t>58.1 (18.9)</w:t>
            </w:r>
          </w:p>
        </w:tc>
        <w:tc>
          <w:tcPr>
            <w:tcW w:w="3023" w:type="dxa"/>
            <w:shd w:val="clear" w:color="auto" w:fill="FFFFFF"/>
            <w:tcMar>
              <w:top w:w="75" w:type="dxa"/>
              <w:left w:w="120" w:type="dxa"/>
              <w:bottom w:w="75" w:type="dxa"/>
              <w:right w:w="0" w:type="dxa"/>
            </w:tcMar>
            <w:vAlign w:val="center"/>
          </w:tcPr>
          <w:p w14:paraId="73D923BC" w14:textId="77777777" w:rsidR="00252FA6" w:rsidRDefault="00000000">
            <w:pPr>
              <w:widowControl/>
              <w:spacing w:line="188" w:lineRule="atLeast"/>
              <w:jc w:val="left"/>
              <w:rPr>
                <w:rFonts w:ascii="Times New Roman" w:eastAsia="Segoe UI" w:hAnsi="Times New Roman" w:cs="Times New Roman"/>
                <w:color w:val="000000"/>
                <w:szCs w:val="21"/>
              </w:rPr>
            </w:pPr>
            <w:r>
              <w:rPr>
                <w:rStyle w:val="Strong"/>
                <w:rFonts w:ascii="Times New Roman" w:eastAsia="Segoe UI" w:hAnsi="Times New Roman" w:cs="Times New Roman"/>
                <w:b w:val="0"/>
                <w:bCs/>
                <w:color w:val="000000"/>
                <w:kern w:val="0"/>
                <w:szCs w:val="21"/>
                <w:lang w:bidi="ar"/>
              </w:rPr>
              <w:t>57.5 (21.0)</w:t>
            </w:r>
          </w:p>
        </w:tc>
      </w:tr>
    </w:tbl>
    <w:p w14:paraId="7452B574" w14:textId="77777777" w:rsidR="00252FA6" w:rsidRDefault="00000000">
      <w:pPr>
        <w:rPr>
          <w:rFonts w:ascii="Times New Roman" w:hAnsi="Times New Roman" w:cs="Times New Roman"/>
          <w:szCs w:val="21"/>
        </w:rPr>
      </w:pPr>
      <w:r>
        <w:rPr>
          <w:rFonts w:ascii="Times New Roman" w:hAnsi="Times New Roman" w:cs="Times New Roman"/>
          <w:b/>
          <w:bCs/>
          <w:szCs w:val="21"/>
        </w:rPr>
        <w:t>Note: </w:t>
      </w:r>
      <w:r>
        <w:rPr>
          <w:rFonts w:ascii="Times New Roman" w:hAnsi="Times New Roman" w:cs="Times New Roman"/>
          <w:szCs w:val="21"/>
        </w:rPr>
        <w:t>These accuracy values are descriptive only and are not adjusted for item difficulty, discrimination, or guessing parameters. They cannot be interpreted as valid indicators of resident competency in rare ECG patterns. No statistical tests comparing categories or training years were performed on these data, as such comparisons would be methodologically unsupported in the absence of item calibration.</w:t>
      </w:r>
    </w:p>
    <w:p w14:paraId="24080BAB" w14:textId="77777777" w:rsidR="00252FA6" w:rsidRDefault="00000000">
      <w:pPr>
        <w:rPr>
          <w:rFonts w:ascii="Times New Roman" w:hAnsi="Times New Roman" w:cs="Times New Roman"/>
          <w:b/>
          <w:bCs/>
          <w:szCs w:val="21"/>
        </w:rPr>
      </w:pPr>
      <w:r>
        <w:rPr>
          <w:rFonts w:ascii="Times New Roman" w:hAnsi="Times New Roman" w:cs="Times New Roman"/>
          <w:b/>
          <w:bCs/>
          <w:szCs w:val="21"/>
        </w:rPr>
        <w:lastRenderedPageBreak/>
        <w:t>Content of Categories C and D</w:t>
      </w:r>
    </w:p>
    <w:p w14:paraId="63B46195" w14:textId="77777777" w:rsidR="00252FA6" w:rsidRDefault="00000000">
      <w:pPr>
        <w:rPr>
          <w:rFonts w:ascii="Times New Roman" w:hAnsi="Times New Roman" w:cs="Times New Roman"/>
          <w:szCs w:val="21"/>
        </w:rPr>
      </w:pPr>
      <w:r>
        <w:rPr>
          <w:rFonts w:ascii="Times New Roman" w:hAnsi="Times New Roman" w:cs="Times New Roman"/>
          <w:szCs w:val="21"/>
        </w:rPr>
        <w:t>For transparency, the ECG findings included in Categories C and D are listed below. These were classified through the expert consensus process described in the main manuscript.</w:t>
      </w:r>
    </w:p>
    <w:p w14:paraId="1A106F64" w14:textId="77777777" w:rsidR="00252FA6" w:rsidRDefault="00000000">
      <w:pPr>
        <w:numPr>
          <w:ilvl w:val="0"/>
          <w:numId w:val="1"/>
        </w:numPr>
        <w:rPr>
          <w:rFonts w:ascii="Times New Roman" w:hAnsi="Times New Roman" w:cs="Times New Roman"/>
          <w:szCs w:val="21"/>
        </w:rPr>
      </w:pPr>
      <w:r>
        <w:rPr>
          <w:rFonts w:ascii="Times New Roman" w:hAnsi="Times New Roman" w:cs="Times New Roman"/>
          <w:b/>
          <w:bCs/>
          <w:szCs w:val="21"/>
        </w:rPr>
        <w:t>Category C (Rare Emergencies):</w:t>
      </w:r>
      <w:r>
        <w:rPr>
          <w:rFonts w:ascii="Times New Roman" w:hAnsi="Times New Roman" w:cs="Times New Roman"/>
          <w:szCs w:val="21"/>
        </w:rPr>
        <w:t> Patterns representing life-threatening but infrequently encountered conditions. Examples: Brugada pattern, arrhythmogenic right ventricular cardiomyopathy, hyperkalemia-related ECG changes. These require prompt recognition for emergency management but are uncommon in general internal medicine practice.</w:t>
      </w:r>
    </w:p>
    <w:p w14:paraId="038E1624" w14:textId="77777777" w:rsidR="00252FA6" w:rsidRDefault="00000000">
      <w:pPr>
        <w:numPr>
          <w:ilvl w:val="0"/>
          <w:numId w:val="1"/>
        </w:numPr>
        <w:rPr>
          <w:rFonts w:ascii="Times New Roman" w:hAnsi="Times New Roman" w:cs="Times New Roman"/>
          <w:szCs w:val="21"/>
        </w:rPr>
      </w:pPr>
      <w:r>
        <w:rPr>
          <w:rFonts w:ascii="Times New Roman" w:hAnsi="Times New Roman" w:cs="Times New Roman"/>
          <w:b/>
          <w:bCs/>
          <w:szCs w:val="21"/>
        </w:rPr>
        <w:t>Category D (Rare Non-Emergencies):</w:t>
      </w:r>
      <w:r>
        <w:rPr>
          <w:rFonts w:ascii="Times New Roman" w:hAnsi="Times New Roman" w:cs="Times New Roman"/>
          <w:szCs w:val="21"/>
        </w:rPr>
        <w:t> Patterns that are both infrequent and non-urgent. Examples: left posterior fascicular block, dextrocardia, certain electrolyte abnormality patterns. These do not typically require immediate intervention and are often encountered in specialist consultation.</w:t>
      </w:r>
    </w:p>
    <w:p w14:paraId="7CF40923" w14:textId="77777777" w:rsidR="00252FA6" w:rsidRDefault="00000000">
      <w:pPr>
        <w:rPr>
          <w:rFonts w:ascii="Times New Roman" w:hAnsi="Times New Roman" w:cs="Times New Roman"/>
          <w:b/>
          <w:bCs/>
          <w:szCs w:val="21"/>
        </w:rPr>
      </w:pPr>
      <w:r>
        <w:rPr>
          <w:rFonts w:ascii="Times New Roman" w:hAnsi="Times New Roman" w:cs="Times New Roman"/>
          <w:b/>
          <w:bCs/>
          <w:szCs w:val="21"/>
        </w:rPr>
        <w:t>Item-Level Observation (Reported Solely for Completeness)</w:t>
      </w:r>
    </w:p>
    <w:p w14:paraId="390F8E68" w14:textId="77777777" w:rsidR="00252FA6" w:rsidRDefault="00000000">
      <w:pPr>
        <w:rPr>
          <w:rFonts w:ascii="Times New Roman" w:hAnsi="Times New Roman" w:cs="Times New Roman"/>
          <w:szCs w:val="21"/>
        </w:rPr>
      </w:pPr>
      <w:r>
        <w:rPr>
          <w:rFonts w:ascii="Times New Roman" w:hAnsi="Times New Roman" w:cs="Times New Roman"/>
          <w:szCs w:val="21"/>
        </w:rPr>
        <w:t>Among uncalibrated items in Categories C and D, the lowest descriptive raw accuracy values were observed for Brugada pattern (Category C: 32.2%, 51/158) and left posterior fascicular block (Category D: 29.6%, 47/158). These values reflect a confound of trainee ability and intrinsic item challenge; they should not be interpreted as evidence of knowledge gaps in these specific diagnoses, as the items may have been inherently more difficult. This observation is reported for completeness and may inform hypotheses for future calibrated research.</w:t>
      </w:r>
    </w:p>
    <w:p w14:paraId="24D70E04" w14:textId="77777777" w:rsidR="00252FA6" w:rsidRDefault="00000000">
      <w:pPr>
        <w:rPr>
          <w:rFonts w:ascii="Times New Roman" w:hAnsi="Times New Roman" w:cs="Times New Roman"/>
          <w:b/>
          <w:bCs/>
          <w:szCs w:val="21"/>
        </w:rPr>
      </w:pPr>
      <w:r>
        <w:rPr>
          <w:rFonts w:ascii="Times New Roman" w:hAnsi="Times New Roman" w:cs="Times New Roman"/>
          <w:b/>
          <w:bCs/>
          <w:szCs w:val="21"/>
        </w:rPr>
        <w:t>Implications for Future Research</w:t>
      </w:r>
    </w:p>
    <w:p w14:paraId="694167F2" w14:textId="77777777" w:rsidR="00252FA6" w:rsidRDefault="00000000">
      <w:pPr>
        <w:rPr>
          <w:rFonts w:ascii="Times New Roman" w:hAnsi="Times New Roman" w:cs="Times New Roman"/>
          <w:szCs w:val="21"/>
        </w:rPr>
      </w:pPr>
      <w:r>
        <w:rPr>
          <w:rFonts w:ascii="Times New Roman" w:hAnsi="Times New Roman" w:cs="Times New Roman"/>
          <w:szCs w:val="21"/>
        </w:rPr>
        <w:t>As stated in the main manuscript, future studies should employ formal psychometric models (e.g., Rasch analysis, Item Response Theory) to calibrate all examination items across the ABCD framework. Once calibrated, Category C and D performance can be meaningfully integrated into the competency assessment. Until then, the data in this file should be regarded solely as documentation of content coverage.</w:t>
      </w:r>
    </w:p>
    <w:p w14:paraId="0D3DAD79" w14:textId="77777777" w:rsidR="00252FA6" w:rsidRDefault="00000000">
      <w:pPr>
        <w:rPr>
          <w:rFonts w:ascii="Times New Roman" w:hAnsi="Times New Roman" w:cs="Times New Roman"/>
          <w:b/>
          <w:bCs/>
          <w:szCs w:val="21"/>
        </w:rPr>
      </w:pPr>
      <w:r>
        <w:rPr>
          <w:rFonts w:ascii="Times New Roman" w:hAnsi="Times New Roman" w:cs="Times New Roman"/>
          <w:b/>
          <w:bCs/>
          <w:szCs w:val="21"/>
        </w:rPr>
        <w:t>Reference to Main Manuscript</w:t>
      </w:r>
    </w:p>
    <w:p w14:paraId="1234A66B" w14:textId="77777777" w:rsidR="00252FA6" w:rsidRDefault="00000000">
      <w:pPr>
        <w:rPr>
          <w:rFonts w:ascii="Times New Roman" w:hAnsi="Times New Roman" w:cs="Times New Roman"/>
          <w:szCs w:val="21"/>
        </w:rPr>
      </w:pPr>
      <w:r>
        <w:rPr>
          <w:rFonts w:ascii="Times New Roman" w:hAnsi="Times New Roman" w:cs="Times New Roman"/>
          <w:szCs w:val="21"/>
        </w:rPr>
        <w:t>Please refer to the Methods section ("Assessment Tool and Content") and the Limitations section of the main manuscript for a detailed discussion of the two-tiered analytical approach and the interpretive constraints surrounding Categories C and D.</w:t>
      </w:r>
    </w:p>
    <w:p w14:paraId="08E117D6" w14:textId="77777777" w:rsidR="00252FA6" w:rsidRDefault="00252FA6"/>
    <w:p w14:paraId="3E5C32BA" w14:textId="77777777" w:rsidR="00252FA6" w:rsidRDefault="00252FA6"/>
    <w:p w14:paraId="7212D612" w14:textId="77777777" w:rsidR="00252FA6" w:rsidRDefault="00252FA6"/>
    <w:p w14:paraId="57AB5BD6" w14:textId="77777777" w:rsidR="00252FA6" w:rsidRDefault="00252FA6"/>
    <w:p w14:paraId="63EEFEC6" w14:textId="77777777" w:rsidR="00252FA6" w:rsidRDefault="00252FA6"/>
    <w:p w14:paraId="62B0F08F" w14:textId="77777777" w:rsidR="00252FA6" w:rsidRDefault="00252FA6"/>
    <w:p w14:paraId="390976BD" w14:textId="77777777" w:rsidR="00252FA6" w:rsidRDefault="00252FA6"/>
    <w:p w14:paraId="3B1D13DE" w14:textId="77777777" w:rsidR="00252FA6" w:rsidRDefault="00252FA6"/>
    <w:p w14:paraId="658FF201" w14:textId="77777777" w:rsidR="00252FA6" w:rsidRDefault="00252FA6"/>
    <w:p w14:paraId="5E43FFB5" w14:textId="77777777" w:rsidR="00252FA6" w:rsidRDefault="00252FA6"/>
    <w:p w14:paraId="71B59971" w14:textId="77777777" w:rsidR="00252FA6" w:rsidRDefault="00252FA6"/>
    <w:p w14:paraId="5ECC8A52" w14:textId="77777777" w:rsidR="00252FA6" w:rsidRDefault="00252FA6"/>
    <w:p w14:paraId="67E358CF" w14:textId="77777777" w:rsidR="00252FA6" w:rsidRDefault="00252FA6"/>
    <w:p w14:paraId="17D2E20E" w14:textId="77777777" w:rsidR="00252FA6" w:rsidRDefault="00252FA6"/>
    <w:p w14:paraId="1036F94C" w14:textId="77777777" w:rsidR="00252FA6" w:rsidRDefault="00252FA6"/>
    <w:p w14:paraId="280693A8" w14:textId="77777777" w:rsidR="00252FA6" w:rsidRDefault="00252FA6"/>
    <w:p w14:paraId="1F5B4C9B" w14:textId="49B2A6CB" w:rsidR="00252FA6" w:rsidRDefault="00000000">
      <w:pPr>
        <w:rPr>
          <w:rFonts w:ascii="Times New Roman" w:hAnsi="Times New Roman" w:cs="Times New Roman"/>
          <w:b/>
          <w:bCs/>
          <w:szCs w:val="21"/>
        </w:rPr>
      </w:pPr>
      <w:r>
        <w:rPr>
          <w:rFonts w:ascii="Times New Roman" w:hAnsi="Times New Roman" w:cs="Times New Roman"/>
          <w:b/>
          <w:bCs/>
          <w:szCs w:val="21"/>
        </w:rPr>
        <w:lastRenderedPageBreak/>
        <w:t xml:space="preserve">Supplementary </w:t>
      </w:r>
      <w:r>
        <w:rPr>
          <w:rFonts w:ascii="Times New Roman" w:hAnsi="Times New Roman" w:cs="Times New Roman" w:hint="eastAsia"/>
          <w:b/>
          <w:bCs/>
          <w:szCs w:val="21"/>
        </w:rPr>
        <w:t xml:space="preserve">Figure </w:t>
      </w:r>
      <w:r w:rsidR="00D06EA2">
        <w:rPr>
          <w:rFonts w:ascii="Times New Roman" w:hAnsi="Times New Roman" w:cs="Times New Roman"/>
          <w:b/>
          <w:bCs/>
          <w:szCs w:val="21"/>
        </w:rPr>
        <w:t>1</w:t>
      </w:r>
      <w:r>
        <w:rPr>
          <w:rFonts w:ascii="Times New Roman" w:hAnsi="Times New Roman" w:cs="Times New Roman"/>
          <w:b/>
          <w:bCs/>
          <w:szCs w:val="21"/>
        </w:rPr>
        <w:t>. Category A Performance Across Multiple Educational Thresholds by Training Year</w:t>
      </w:r>
    </w:p>
    <w:p w14:paraId="0C968F1C" w14:textId="77777777" w:rsidR="00252FA6" w:rsidRDefault="00252FA6">
      <w:pPr>
        <w:rPr>
          <w:rFonts w:ascii="Times New Roman" w:hAnsi="Times New Roman" w:cs="Times New Roman"/>
          <w:b/>
          <w:bCs/>
          <w:szCs w:val="21"/>
        </w:rPr>
      </w:pPr>
    </w:p>
    <w:p w14:paraId="06FCCC83" w14:textId="77777777" w:rsidR="00252FA6" w:rsidRDefault="00000000">
      <w:pPr>
        <w:rPr>
          <w:rFonts w:ascii="Times New Roman" w:hAnsi="Times New Roman" w:cs="Times New Roman"/>
          <w:b/>
          <w:bCs/>
          <w:szCs w:val="21"/>
        </w:rPr>
      </w:pPr>
      <w:r>
        <w:rPr>
          <w:noProof/>
        </w:rPr>
        <w:drawing>
          <wp:inline distT="0" distB="0" distL="114300" distR="114300" wp14:anchorId="01F1532A" wp14:editId="2210170D">
            <wp:extent cx="4821555" cy="2752090"/>
            <wp:effectExtent l="4445" t="5080" r="12700"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3E7EEE" w14:textId="77777777" w:rsidR="00252FA6" w:rsidRDefault="00252FA6"/>
    <w:p w14:paraId="179832ED" w14:textId="77777777" w:rsidR="00252FA6" w:rsidRDefault="00252FA6">
      <w:pPr>
        <w:rPr>
          <w:b/>
          <w:bCs/>
        </w:rPr>
      </w:pPr>
    </w:p>
    <w:p w14:paraId="44E665FF" w14:textId="77777777" w:rsidR="00252FA6" w:rsidRDefault="00252FA6">
      <w:pPr>
        <w:rPr>
          <w:b/>
          <w:bCs/>
        </w:rPr>
      </w:pPr>
    </w:p>
    <w:p w14:paraId="55E3AE71" w14:textId="13126827" w:rsidR="00252FA6" w:rsidRDefault="00000000">
      <w:pPr>
        <w:rPr>
          <w:b/>
          <w:bCs/>
        </w:rPr>
      </w:pPr>
      <w:r>
        <w:rPr>
          <w:rFonts w:ascii="Times New Roman" w:hAnsi="Times New Roman" w:cs="Times New Roman"/>
          <w:b/>
          <w:bCs/>
          <w:szCs w:val="21"/>
        </w:rPr>
        <w:t>Supplementary Fi</w:t>
      </w:r>
      <w:r>
        <w:rPr>
          <w:rFonts w:ascii="Times New Roman" w:hAnsi="Times New Roman" w:cs="Times New Roman" w:hint="eastAsia"/>
          <w:b/>
          <w:bCs/>
          <w:szCs w:val="21"/>
        </w:rPr>
        <w:t>gure</w:t>
      </w:r>
      <w:r>
        <w:rPr>
          <w:rFonts w:ascii="Times New Roman" w:hAnsi="Times New Roman" w:cs="Times New Roman"/>
          <w:b/>
          <w:bCs/>
          <w:szCs w:val="21"/>
        </w:rPr>
        <w:t xml:space="preserve"> </w:t>
      </w:r>
      <w:r w:rsidR="00D06EA2">
        <w:rPr>
          <w:rFonts w:ascii="Times New Roman" w:hAnsi="Times New Roman" w:cs="Times New Roman"/>
          <w:b/>
          <w:bCs/>
          <w:szCs w:val="21"/>
        </w:rPr>
        <w:t>2</w:t>
      </w:r>
      <w:r>
        <w:rPr>
          <w:rFonts w:ascii="Times New Roman" w:hAnsi="Times New Roman" w:cs="Times New Roman"/>
          <w:b/>
          <w:bCs/>
          <w:szCs w:val="21"/>
        </w:rPr>
        <w:t>. Distribution of Category A Scores by Training Year</w:t>
      </w:r>
    </w:p>
    <w:p w14:paraId="1AA817D8" w14:textId="77777777" w:rsidR="00252FA6" w:rsidRDefault="00000000">
      <w:pPr>
        <w:rPr>
          <w:b/>
          <w:bCs/>
        </w:rPr>
      </w:pPr>
      <w:r>
        <w:rPr>
          <w:noProof/>
        </w:rPr>
        <w:drawing>
          <wp:inline distT="0" distB="0" distL="114300" distR="114300" wp14:anchorId="5E510851" wp14:editId="65B8FDEA">
            <wp:extent cx="5269865" cy="3004820"/>
            <wp:effectExtent l="4445" t="4445" r="12065"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A7776F" w14:textId="77777777" w:rsidR="00252FA6" w:rsidRDefault="00252FA6"/>
    <w:p w14:paraId="5C9DBF7B" w14:textId="77777777" w:rsidR="00252FA6" w:rsidRDefault="00252FA6"/>
    <w:p w14:paraId="2AC7A993" w14:textId="77777777" w:rsidR="00252FA6" w:rsidRDefault="00252FA6"/>
    <w:p w14:paraId="48C148B7" w14:textId="77777777" w:rsidR="00252FA6" w:rsidRDefault="00252FA6"/>
    <w:p w14:paraId="3A0F65EE" w14:textId="77777777" w:rsidR="00252FA6" w:rsidRDefault="00252FA6">
      <w:pPr>
        <w:rPr>
          <w:rFonts w:ascii="Times New Roman" w:hAnsi="Times New Roman" w:cs="Times New Roman"/>
          <w:b/>
          <w:bCs/>
          <w:szCs w:val="21"/>
        </w:rPr>
      </w:pPr>
    </w:p>
    <w:p w14:paraId="7BC61FF1" w14:textId="77777777" w:rsidR="00252FA6" w:rsidRDefault="00252FA6">
      <w:pPr>
        <w:rPr>
          <w:rFonts w:ascii="Times New Roman" w:hAnsi="Times New Roman" w:cs="Times New Roman"/>
          <w:b/>
          <w:bCs/>
          <w:szCs w:val="21"/>
        </w:rPr>
      </w:pPr>
    </w:p>
    <w:p w14:paraId="7AC46180" w14:textId="77777777" w:rsidR="00252FA6" w:rsidRDefault="00252FA6">
      <w:pPr>
        <w:ind w:firstLineChars="200" w:firstLine="420"/>
        <w:rPr>
          <w:rFonts w:ascii="Times New Roman" w:hAnsi="Times New Roman" w:cs="Times New Roman"/>
          <w:szCs w:val="21"/>
        </w:rPr>
      </w:pPr>
    </w:p>
    <w:sectPr w:rsidR="00252FA6">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9BC3" w14:textId="77777777" w:rsidR="00CF511B" w:rsidRDefault="00CF511B" w:rsidP="00D06EA2">
      <w:r>
        <w:separator/>
      </w:r>
    </w:p>
  </w:endnote>
  <w:endnote w:type="continuationSeparator" w:id="0">
    <w:p w14:paraId="48AF9A1F" w14:textId="77777777" w:rsidR="00CF511B" w:rsidRDefault="00CF511B" w:rsidP="00D0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6AD2" w14:textId="3EC44B4F" w:rsidR="00D06EA2" w:rsidRDefault="00D06EA2">
    <w:pPr>
      <w:pStyle w:val="Footer"/>
    </w:pPr>
    <w:r>
      <w:rPr>
        <w:noProof/>
      </w:rPr>
      <mc:AlternateContent>
        <mc:Choice Requires="wps">
          <w:drawing>
            <wp:anchor distT="0" distB="0" distL="0" distR="0" simplePos="0" relativeHeight="251659264" behindDoc="0" locked="0" layoutInCell="1" allowOverlap="1" wp14:anchorId="0B89E953" wp14:editId="30E0ACEE">
              <wp:simplePos x="635" y="635"/>
              <wp:positionH relativeFrom="page">
                <wp:align>left</wp:align>
              </wp:positionH>
              <wp:positionV relativeFrom="page">
                <wp:align>bottom</wp:align>
              </wp:positionV>
              <wp:extent cx="2077085" cy="324485"/>
              <wp:effectExtent l="0" t="0" r="18415" b="0"/>
              <wp:wrapNone/>
              <wp:docPr id="26543834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802B878" w14:textId="0B6B90BD" w:rsidR="00D06EA2" w:rsidRPr="00D06EA2" w:rsidRDefault="00D06EA2" w:rsidP="00D06EA2">
                          <w:pPr>
                            <w:rPr>
                              <w:rFonts w:ascii="Rockwell" w:eastAsia="Rockwell" w:hAnsi="Rockwell" w:cs="Rockwell"/>
                              <w:noProof/>
                              <w:color w:val="0078D7"/>
                              <w:sz w:val="18"/>
                              <w:szCs w:val="18"/>
                            </w:rPr>
                          </w:pPr>
                          <w:r w:rsidRPr="00D06EA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89E953"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802B878" w14:textId="0B6B90BD" w:rsidR="00D06EA2" w:rsidRPr="00D06EA2" w:rsidRDefault="00D06EA2" w:rsidP="00D06EA2">
                    <w:pPr>
                      <w:rPr>
                        <w:rFonts w:ascii="Rockwell" w:eastAsia="Rockwell" w:hAnsi="Rockwell" w:cs="Rockwell"/>
                        <w:noProof/>
                        <w:color w:val="0078D7"/>
                        <w:sz w:val="18"/>
                        <w:szCs w:val="18"/>
                      </w:rPr>
                    </w:pPr>
                    <w:r w:rsidRPr="00D06EA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2F2E" w14:textId="40B3B2AA" w:rsidR="00D06EA2" w:rsidRDefault="00D06EA2">
    <w:pPr>
      <w:pStyle w:val="Footer"/>
    </w:pPr>
    <w:r>
      <w:rPr>
        <w:noProof/>
      </w:rPr>
      <mc:AlternateContent>
        <mc:Choice Requires="wps">
          <w:drawing>
            <wp:anchor distT="0" distB="0" distL="0" distR="0" simplePos="0" relativeHeight="251660288" behindDoc="0" locked="0" layoutInCell="1" allowOverlap="1" wp14:anchorId="48DA01CB" wp14:editId="79E7AEEE">
              <wp:simplePos x="1143000" y="9896475"/>
              <wp:positionH relativeFrom="page">
                <wp:align>left</wp:align>
              </wp:positionH>
              <wp:positionV relativeFrom="page">
                <wp:align>bottom</wp:align>
              </wp:positionV>
              <wp:extent cx="2077085" cy="324485"/>
              <wp:effectExtent l="0" t="0" r="18415" b="0"/>
              <wp:wrapNone/>
              <wp:docPr id="16109091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A5B4304" w14:textId="1A26E425" w:rsidR="00D06EA2" w:rsidRPr="00D06EA2" w:rsidRDefault="00D06EA2" w:rsidP="00D06EA2">
                          <w:pPr>
                            <w:rPr>
                              <w:rFonts w:ascii="Rockwell" w:eastAsia="Rockwell" w:hAnsi="Rockwell" w:cs="Rockwell"/>
                              <w:noProof/>
                              <w:color w:val="0078D7"/>
                              <w:sz w:val="18"/>
                              <w:szCs w:val="18"/>
                            </w:rPr>
                          </w:pPr>
                          <w:r w:rsidRPr="00D06EA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DA01CB"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7A5B4304" w14:textId="1A26E425" w:rsidR="00D06EA2" w:rsidRPr="00D06EA2" w:rsidRDefault="00D06EA2" w:rsidP="00D06EA2">
                    <w:pPr>
                      <w:rPr>
                        <w:rFonts w:ascii="Rockwell" w:eastAsia="Rockwell" w:hAnsi="Rockwell" w:cs="Rockwell"/>
                        <w:noProof/>
                        <w:color w:val="0078D7"/>
                        <w:sz w:val="18"/>
                        <w:szCs w:val="18"/>
                      </w:rPr>
                    </w:pPr>
                    <w:r w:rsidRPr="00D06EA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2FB1" w14:textId="0C14A097" w:rsidR="00D06EA2" w:rsidRDefault="00D06EA2">
    <w:pPr>
      <w:pStyle w:val="Footer"/>
    </w:pPr>
    <w:r>
      <w:rPr>
        <w:noProof/>
      </w:rPr>
      <mc:AlternateContent>
        <mc:Choice Requires="wps">
          <w:drawing>
            <wp:anchor distT="0" distB="0" distL="0" distR="0" simplePos="0" relativeHeight="251658240" behindDoc="0" locked="0" layoutInCell="1" allowOverlap="1" wp14:anchorId="0E618498" wp14:editId="19251FB8">
              <wp:simplePos x="635" y="635"/>
              <wp:positionH relativeFrom="page">
                <wp:align>left</wp:align>
              </wp:positionH>
              <wp:positionV relativeFrom="page">
                <wp:align>bottom</wp:align>
              </wp:positionV>
              <wp:extent cx="2077085" cy="324485"/>
              <wp:effectExtent l="0" t="0" r="18415" b="0"/>
              <wp:wrapNone/>
              <wp:docPr id="7787910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AB5E542" w14:textId="5F290A2A" w:rsidR="00D06EA2" w:rsidRPr="00D06EA2" w:rsidRDefault="00D06EA2" w:rsidP="00D06EA2">
                          <w:pPr>
                            <w:rPr>
                              <w:rFonts w:ascii="Rockwell" w:eastAsia="Rockwell" w:hAnsi="Rockwell" w:cs="Rockwell"/>
                              <w:noProof/>
                              <w:color w:val="0078D7"/>
                              <w:sz w:val="18"/>
                              <w:szCs w:val="18"/>
                            </w:rPr>
                          </w:pPr>
                          <w:r w:rsidRPr="00D06EA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618498"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6AB5E542" w14:textId="5F290A2A" w:rsidR="00D06EA2" w:rsidRPr="00D06EA2" w:rsidRDefault="00D06EA2" w:rsidP="00D06EA2">
                    <w:pPr>
                      <w:rPr>
                        <w:rFonts w:ascii="Rockwell" w:eastAsia="Rockwell" w:hAnsi="Rockwell" w:cs="Rockwell"/>
                        <w:noProof/>
                        <w:color w:val="0078D7"/>
                        <w:sz w:val="18"/>
                        <w:szCs w:val="18"/>
                      </w:rPr>
                    </w:pPr>
                    <w:r w:rsidRPr="00D06EA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E66A" w14:textId="77777777" w:rsidR="00CF511B" w:rsidRDefault="00CF511B" w:rsidP="00D06EA2">
      <w:r>
        <w:separator/>
      </w:r>
    </w:p>
  </w:footnote>
  <w:footnote w:type="continuationSeparator" w:id="0">
    <w:p w14:paraId="27051B98" w14:textId="77777777" w:rsidR="00CF511B" w:rsidRDefault="00CF511B" w:rsidP="00D06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A335"/>
    <w:multiLevelType w:val="singleLevel"/>
    <w:tmpl w:val="D801A335"/>
    <w:lvl w:ilvl="0">
      <w:start w:val="1"/>
      <w:numFmt w:val="bullet"/>
      <w:lvlText w:val=""/>
      <w:lvlJc w:val="left"/>
      <w:pPr>
        <w:ind w:left="420" w:hanging="420"/>
      </w:pPr>
      <w:rPr>
        <w:rFonts w:ascii="Wingdings" w:hAnsi="Wingdings" w:hint="default"/>
      </w:rPr>
    </w:lvl>
  </w:abstractNum>
  <w:num w:numId="1" w16cid:durableId="113190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FA6"/>
    <w:rsid w:val="00252FA6"/>
    <w:rsid w:val="0089754F"/>
    <w:rsid w:val="00CF511B"/>
    <w:rsid w:val="00D06EA2"/>
    <w:rsid w:val="02EE4413"/>
    <w:rsid w:val="0B912199"/>
    <w:rsid w:val="0BB04180"/>
    <w:rsid w:val="0C6130D0"/>
    <w:rsid w:val="0C970E9C"/>
    <w:rsid w:val="0CE95B9C"/>
    <w:rsid w:val="0D046532"/>
    <w:rsid w:val="10440465"/>
    <w:rsid w:val="10F863AD"/>
    <w:rsid w:val="14103A0E"/>
    <w:rsid w:val="142B6A9A"/>
    <w:rsid w:val="208B6143"/>
    <w:rsid w:val="243A0633"/>
    <w:rsid w:val="285443B9"/>
    <w:rsid w:val="2DAD0498"/>
    <w:rsid w:val="34DB7FA5"/>
    <w:rsid w:val="41CC16BC"/>
    <w:rsid w:val="464B2E43"/>
    <w:rsid w:val="4A413C1A"/>
    <w:rsid w:val="51F6353C"/>
    <w:rsid w:val="51FB0B52"/>
    <w:rsid w:val="57BD0D84"/>
    <w:rsid w:val="5A0D7499"/>
    <w:rsid w:val="5C9D2F32"/>
    <w:rsid w:val="5CFF3BED"/>
    <w:rsid w:val="5D4930BA"/>
    <w:rsid w:val="63C31982"/>
    <w:rsid w:val="6F2A2D4B"/>
    <w:rsid w:val="6F60676D"/>
    <w:rsid w:val="70673B2B"/>
    <w:rsid w:val="7AB2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83E4"/>
  <w15:docId w15:val="{D434C4AD-62D4-4F6C-9F3D-FEDC048A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 w:type="character" w:styleId="Strong">
    <w:name w:val="Strong"/>
    <w:basedOn w:val="DefaultParagraphFont"/>
    <w:qFormat/>
    <w:rPr>
      <w:b/>
    </w:rPr>
  </w:style>
  <w:style w:type="character" w:styleId="Emphasis">
    <w:name w:val="Emphasis"/>
    <w:basedOn w:val="DefaultParagraphFont"/>
    <w:qFormat/>
    <w:rPr>
      <w:i/>
    </w:rPr>
  </w:style>
  <w:style w:type="paragraph" w:styleId="Footer">
    <w:name w:val="footer"/>
    <w:basedOn w:val="Normal"/>
    <w:link w:val="FooterChar"/>
    <w:rsid w:val="00D06EA2"/>
    <w:pPr>
      <w:tabs>
        <w:tab w:val="center" w:pos="4513"/>
        <w:tab w:val="right" w:pos="9026"/>
      </w:tabs>
    </w:pPr>
  </w:style>
  <w:style w:type="character" w:customStyle="1" w:styleId="FooterChar">
    <w:name w:val="Footer Char"/>
    <w:basedOn w:val="DefaultParagraphFont"/>
    <w:link w:val="Footer"/>
    <w:rsid w:val="00D06EA2"/>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xiaoma\Desktop\&#25945;&#23398;&#35770;&#25991;%20%20&#25237;&#31295;&#20013;\2025.12%20&#20869;&#31185;&#20303;&#38498;&#21307;&#24072;&#35268;&#33539;&#21270;&#22521;&#35757;&#20013;&#24515;&#30005;&#22270;&#21028;&#35835;&#33021;&#21147;&#20998;&#23618;&#35780;&#20272;&#19982;&#25945;&#23398;&#21551;&#31034;&#65288;11.8%20&#24050;&#25237;&#31295;&#23725;&#21335;&#24515;&#34880;&#31649;&#30149;&#26434;&#24535;&#65289;\&#31532;5&#27425;&#25237;&#31295;\&#21407;&#22987;&#25968;&#2545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iaoma\Desktop\&#25945;&#23398;&#35770;&#25991;%20%20&#25237;&#31295;&#20013;\2025.12%20&#20869;&#31185;&#20303;&#38498;&#21307;&#24072;&#35268;&#33539;&#21270;&#22521;&#35757;&#20013;&#24515;&#30005;&#22270;&#21028;&#35835;&#33021;&#21147;&#20998;&#23618;&#35780;&#20272;&#19982;&#25945;&#23398;&#21551;&#31034;&#65288;11.8%20&#24050;&#25237;&#31295;&#23725;&#21335;&#24515;&#34880;&#31649;&#30149;&#26434;&#24535;&#65289;\&#31532;5&#27425;&#25237;&#31295;\&#21407;&#22987;&#25968;&#2545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'[原始数据.xlsx]Fig S2'!$A$4</c:f>
              <c:strCache>
                <c:ptCount val="1"/>
                <c:pt idx="0">
                  <c:v>≤70% correct</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'[原始数据.xlsx]Fig S2'!$B$1:$D$1</c:f>
              <c:strCache>
                <c:ptCount val="3"/>
                <c:pt idx="0">
                  <c:v>PGY-1</c:v>
                </c:pt>
                <c:pt idx="1">
                  <c:v>PGY-2</c:v>
                </c:pt>
                <c:pt idx="2">
                  <c:v>PGY-3</c:v>
                </c:pt>
              </c:strCache>
            </c:strRef>
          </c:cat>
          <c:val>
            <c:numRef>
              <c:f>'[原始数据.xlsx]Fig S2'!$B$4:$D$4</c:f>
              <c:numCache>
                <c:formatCode>General</c:formatCode>
                <c:ptCount val="3"/>
                <c:pt idx="0" formatCode="0.0_ ">
                  <c:v>34</c:v>
                </c:pt>
                <c:pt idx="1">
                  <c:v>1.5</c:v>
                </c:pt>
                <c:pt idx="2">
                  <c:v>0</c:v>
                </c:pt>
              </c:numCache>
            </c:numRef>
          </c:val>
          <c:extLst>
            <c:ext xmlns:c16="http://schemas.microsoft.com/office/drawing/2014/chart" uri="{C3380CC4-5D6E-409C-BE32-E72D297353CC}">
              <c16:uniqueId val="{00000000-98CA-4E44-836C-69C963B7FDFC}"/>
            </c:ext>
          </c:extLst>
        </c:ser>
        <c:ser>
          <c:idx val="3"/>
          <c:order val="3"/>
          <c:tx>
            <c:strRef>
              <c:f>'[原始数据.xlsx]Fig S2'!$A$5</c:f>
              <c:strCache>
                <c:ptCount val="1"/>
                <c:pt idx="0">
                  <c:v>≥90% correct</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'[原始数据.xlsx]Fig S2'!$B$1:$D$1</c:f>
              <c:strCache>
                <c:ptCount val="3"/>
                <c:pt idx="0">
                  <c:v>PGY-1</c:v>
                </c:pt>
                <c:pt idx="1">
                  <c:v>PGY-2</c:v>
                </c:pt>
                <c:pt idx="2">
                  <c:v>PGY-3</c:v>
                </c:pt>
              </c:strCache>
            </c:strRef>
          </c:cat>
          <c:val>
            <c:numRef>
              <c:f>'[原始数据.xlsx]Fig S2'!$B$5:$D$5</c:f>
              <c:numCache>
                <c:formatCode>General</c:formatCode>
                <c:ptCount val="3"/>
                <c:pt idx="0" formatCode="0.0_ ">
                  <c:v>30.2</c:v>
                </c:pt>
                <c:pt idx="1">
                  <c:v>58.2</c:v>
                </c:pt>
                <c:pt idx="2">
                  <c:v>94.7</c:v>
                </c:pt>
              </c:numCache>
            </c:numRef>
          </c:val>
          <c:extLst>
            <c:ext xmlns:c16="http://schemas.microsoft.com/office/drawing/2014/chart" uri="{C3380CC4-5D6E-409C-BE32-E72D297353CC}">
              <c16:uniqueId val="{00000001-98CA-4E44-836C-69C963B7FDFC}"/>
            </c:ext>
          </c:extLst>
        </c:ser>
        <c:ser>
          <c:idx val="4"/>
          <c:order val="4"/>
          <c:tx>
            <c:strRef>
              <c:f>'[原始数据.xlsx]Fig S2'!$A$6</c:f>
              <c:strCache>
                <c:ptCount val="1"/>
                <c:pt idx="0">
                  <c:v>100% correct</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'[原始数据.xlsx]Fig S2'!$B$1:$D$1</c:f>
              <c:strCache>
                <c:ptCount val="3"/>
                <c:pt idx="0">
                  <c:v>PGY-1</c:v>
                </c:pt>
                <c:pt idx="1">
                  <c:v>PGY-2</c:v>
                </c:pt>
                <c:pt idx="2">
                  <c:v>PGY-3</c:v>
                </c:pt>
              </c:strCache>
            </c:strRef>
          </c:cat>
          <c:val>
            <c:numRef>
              <c:f>'[原始数据.xlsx]Fig S2'!$B$6:$D$6</c:f>
              <c:numCache>
                <c:formatCode>General</c:formatCode>
                <c:ptCount val="3"/>
                <c:pt idx="0" formatCode="0.0_ ">
                  <c:v>5.7</c:v>
                </c:pt>
                <c:pt idx="1">
                  <c:v>14.9</c:v>
                </c:pt>
                <c:pt idx="2">
                  <c:v>34.200000000000003</c:v>
                </c:pt>
              </c:numCache>
            </c:numRef>
          </c:val>
          <c:extLst>
            <c:ext xmlns:c16="http://schemas.microsoft.com/office/drawing/2014/chart" uri="{C3380CC4-5D6E-409C-BE32-E72D297353CC}">
              <c16:uniqueId val="{00000002-98CA-4E44-836C-69C963B7FDFC}"/>
            </c:ext>
          </c:extLst>
        </c:ser>
        <c:dLbls>
          <c:showLegendKey val="0"/>
          <c:showVal val="1"/>
          <c:showCatName val="0"/>
          <c:showSerName val="0"/>
          <c:showPercent val="0"/>
          <c:showBubbleSize val="0"/>
        </c:dLbls>
        <c:gapWidth val="246"/>
        <c:overlap val="-28"/>
        <c:axId val="796502397"/>
        <c:axId val="377591138"/>
        <c:extLst>
          <c:ext xmlns:c15="http://schemas.microsoft.com/office/drawing/2012/chart" uri="{02D57815-91ED-43cb-92C2-25804820EDAC}">
            <c15:filteredBarSeries>
              <c15:ser>
                <c:idx val="0"/>
                <c:order val="0"/>
                <c:tx>
                  <c:strRef>
                    <c:extLst>
                      <c:ext uri="{02D57815-91ED-43cb-92C2-25804820EDAC}">
                        <c15:formulaRef>
                          <c15:sqref>'[原始数据.xlsx]Fig S2'!$A$2</c15:sqref>
                        </c15:formulaRef>
                      </c:ext>
                    </c:extLst>
                    <c:strCache>
                      <c:ptCount val="1"/>
                      <c:pt idx="0">
                        <c:v>≥6</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'[原始数据.xlsx]Fig S2'!$B$1:$D$1</c15:sqref>
                        </c15:formulaRef>
                      </c:ext>
                    </c:extLst>
                    <c:strCache>
                      <c:ptCount val="3"/>
                      <c:pt idx="0">
                        <c:v>PGY-1</c:v>
                      </c:pt>
                      <c:pt idx="1">
                        <c:v>PGY-2</c:v>
                      </c:pt>
                      <c:pt idx="2">
                        <c:v>PGY-3</c:v>
                      </c:pt>
                    </c:strCache>
                  </c:strRef>
                </c:cat>
                <c:val>
                  <c:numRef>
                    <c:extLst>
                      <c:ext uri="{02D57815-91ED-43cb-92C2-25804820EDAC}">
                        <c15:formulaRef>
                          <c15:sqref>{94.3,100,100}</c15:sqref>
                        </c15:formulaRef>
                      </c:ext>
                    </c:extLst>
                    <c:numCache>
                      <c:formatCode>General</c:formatCode>
                      <c:ptCount val="3"/>
                      <c:pt idx="0" formatCode="0.0_ ">
                        <c:v>94.3</c:v>
                      </c:pt>
                      <c:pt idx="1">
                        <c:v>100</c:v>
                      </c:pt>
                      <c:pt idx="2">
                        <c:v>100</c:v>
                      </c:pt>
                    </c:numCache>
                  </c:numRef>
                </c:val>
                <c:extLst>
                  <c:ext xmlns:c16="http://schemas.microsoft.com/office/drawing/2014/chart" uri="{C3380CC4-5D6E-409C-BE32-E72D297353CC}">
                    <c16:uniqueId val="{00000003-98CA-4E44-836C-69C963B7FDF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'[原始数据.xlsx]Fig S2'!$A$3</c15:sqref>
                        </c15:formulaRef>
                      </c:ext>
                    </c:extLst>
                    <c:strCache>
                      <c:ptCount val="1"/>
                      <c:pt idx="0">
                        <c:v>≥7</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'[原始数据.xlsx]Fig S2'!$B$1:$D$1</c15:sqref>
                        </c15:formulaRef>
                      </c:ext>
                    </c:extLst>
                    <c:strCache>
                      <c:ptCount val="3"/>
                      <c:pt idx="0">
                        <c:v>PGY-1</c:v>
                      </c:pt>
                      <c:pt idx="1">
                        <c:v>PGY-2</c:v>
                      </c:pt>
                      <c:pt idx="2">
                        <c:v>PGY-3</c:v>
                      </c:pt>
                    </c:strCache>
                  </c:strRef>
                </c:cat>
                <c:val>
                  <c:numRef>
                    <c:extLst xmlns:c15="http://schemas.microsoft.com/office/drawing/2012/chart">
                      <c:ext xmlns:c15="http://schemas.microsoft.com/office/drawing/2012/chart" uri="{02D57815-91ED-43cb-92C2-25804820EDAC}">
                        <c15:formulaRef>
                          <c15:sqref>{88.7,100,100}</c15:sqref>
                        </c15:formulaRef>
                      </c:ext>
                    </c:extLst>
                    <c:numCache>
                      <c:formatCode>General</c:formatCode>
                      <c:ptCount val="3"/>
                      <c:pt idx="0" formatCode="0.0_ ">
                        <c:v>88.7</c:v>
                      </c:pt>
                      <c:pt idx="1">
                        <c:v>100</c:v>
                      </c:pt>
                      <c:pt idx="2">
                        <c:v>100</c:v>
                      </c:pt>
                    </c:numCache>
                  </c:numRef>
                </c:val>
                <c:extLst xmlns:c15="http://schemas.microsoft.com/office/drawing/2012/chart">
                  <c:ext xmlns:c16="http://schemas.microsoft.com/office/drawing/2014/chart" uri="{C3380CC4-5D6E-409C-BE32-E72D297353CC}">
                    <c16:uniqueId val="{00000004-98CA-4E44-836C-69C963B7FDFC}"/>
                  </c:ext>
                </c:extLst>
              </c15:ser>
            </c15:filteredBarSeries>
          </c:ext>
        </c:extLst>
      </c:barChart>
      <c:catAx>
        <c:axId val="79650239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NZ"/>
                  <a:t>Training Year</a:t>
                </a:r>
              </a:p>
            </c:rich>
          </c:tx>
          <c:overlay val="0"/>
          <c:spPr>
            <a:noFill/>
            <a:ln>
              <a:noFill/>
            </a:ln>
            <a:effectLst/>
          </c:spPr>
          <c:txPr>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77591138"/>
        <c:crosses val="autoZero"/>
        <c:auto val="1"/>
        <c:lblAlgn val="ctr"/>
        <c:lblOffset val="100"/>
        <c:noMultiLvlLbl val="0"/>
      </c:catAx>
      <c:valAx>
        <c:axId val="377591138"/>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NZ"/>
                  <a:t>Percentage of Residents (%)</a:t>
                </a:r>
              </a:p>
              <a:p>
                <a:pPr defTabSz="914400">
                  <a:defRPr/>
                </a:pPr>
                <a:endParaRPr lang="en-NZ"/>
              </a:p>
            </c:rich>
          </c:tx>
          <c:overlay val="0"/>
          <c:spPr>
            <a:noFill/>
            <a:ln>
              <a:noFill/>
            </a:ln>
            <a:effectLst/>
          </c:spPr>
          <c:txPr>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endParaRPr lang="en-US"/>
            </a:p>
          </c:txPr>
        </c:title>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96502397"/>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2e5f090-409c-42ce-9c3c-3227eda9e0e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'[原始数据.xlsx]Fig S3'!$B$1</c:f>
              <c:strCache>
                <c:ptCount val="1"/>
                <c:pt idx="0">
                  <c:v>PGY-1</c:v>
                </c:pt>
              </c:strCache>
            </c:strRef>
          </c:tx>
          <c:spPr>
            <a:solidFill>
              <a:schemeClr val="accent1"/>
            </a:solidFill>
            <a:ln>
              <a:noFill/>
            </a:ln>
            <a:effectLst/>
          </c:spPr>
          <c:invertIfNegative val="0"/>
          <c:cat>
            <c:numRef>
              <c:f>'[原始数据.xlsx]Fig S3'!$A$2:$A$12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'[原始数据.xlsx]Fig S3'!$B$2:$B$12</c:f>
              <c:numCache>
                <c:formatCode>General</c:formatCode>
                <c:ptCount val="11"/>
                <c:pt idx="0">
                  <c:v>0</c:v>
                </c:pt>
                <c:pt idx="1">
                  <c:v>0</c:v>
                </c:pt>
                <c:pt idx="2">
                  <c:v>0</c:v>
                </c:pt>
                <c:pt idx="3">
                  <c:v>0</c:v>
                </c:pt>
                <c:pt idx="4">
                  <c:v>0</c:v>
                </c:pt>
                <c:pt idx="5">
                  <c:v>0</c:v>
                </c:pt>
                <c:pt idx="6">
                  <c:v>3</c:v>
                </c:pt>
                <c:pt idx="7">
                  <c:v>15</c:v>
                </c:pt>
                <c:pt idx="8">
                  <c:v>19</c:v>
                </c:pt>
                <c:pt idx="9">
                  <c:v>13</c:v>
                </c:pt>
                <c:pt idx="10">
                  <c:v>3</c:v>
                </c:pt>
              </c:numCache>
            </c:numRef>
          </c:val>
          <c:extLst>
            <c:ext xmlns:c16="http://schemas.microsoft.com/office/drawing/2014/chart" uri="{C3380CC4-5D6E-409C-BE32-E72D297353CC}">
              <c16:uniqueId val="{00000000-0CED-4089-85C0-F490E96554F0}"/>
            </c:ext>
          </c:extLst>
        </c:ser>
        <c:ser>
          <c:idx val="2"/>
          <c:order val="2"/>
          <c:tx>
            <c:strRef>
              <c:f>'[原始数据.xlsx]Fig S3'!$C$1</c:f>
              <c:strCache>
                <c:ptCount val="1"/>
                <c:pt idx="0">
                  <c:v>PGY-2</c:v>
                </c:pt>
              </c:strCache>
            </c:strRef>
          </c:tx>
          <c:spPr>
            <a:solidFill>
              <a:schemeClr val="accent2"/>
            </a:solidFill>
            <a:ln>
              <a:noFill/>
            </a:ln>
            <a:effectLst/>
          </c:spPr>
          <c:invertIfNegative val="0"/>
          <c:cat>
            <c:numRef>
              <c:f>'[原始数据.xlsx]Fig S3'!$A$2:$A$12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'[原始数据.xlsx]Fig S3'!$C$2:$C$12</c:f>
              <c:numCache>
                <c:formatCode>General</c:formatCode>
                <c:ptCount val="11"/>
                <c:pt idx="0">
                  <c:v>0</c:v>
                </c:pt>
                <c:pt idx="1">
                  <c:v>0</c:v>
                </c:pt>
                <c:pt idx="2">
                  <c:v>0</c:v>
                </c:pt>
                <c:pt idx="3">
                  <c:v>0</c:v>
                </c:pt>
                <c:pt idx="4">
                  <c:v>0</c:v>
                </c:pt>
                <c:pt idx="5">
                  <c:v>0</c:v>
                </c:pt>
                <c:pt idx="6">
                  <c:v>0</c:v>
                </c:pt>
                <c:pt idx="7">
                  <c:v>1</c:v>
                </c:pt>
                <c:pt idx="8">
                  <c:v>27</c:v>
                </c:pt>
                <c:pt idx="9">
                  <c:v>29</c:v>
                </c:pt>
                <c:pt idx="10">
                  <c:v>10</c:v>
                </c:pt>
              </c:numCache>
            </c:numRef>
          </c:val>
          <c:extLst>
            <c:ext xmlns:c16="http://schemas.microsoft.com/office/drawing/2014/chart" uri="{C3380CC4-5D6E-409C-BE32-E72D297353CC}">
              <c16:uniqueId val="{00000001-0CED-4089-85C0-F490E96554F0}"/>
            </c:ext>
          </c:extLst>
        </c:ser>
        <c:ser>
          <c:idx val="3"/>
          <c:order val="3"/>
          <c:tx>
            <c:strRef>
              <c:f>'[原始数据.xlsx]Fig S3'!$D$1</c:f>
              <c:strCache>
                <c:ptCount val="1"/>
                <c:pt idx="0">
                  <c:v>PGY-3</c:v>
                </c:pt>
              </c:strCache>
            </c:strRef>
          </c:tx>
          <c:spPr>
            <a:solidFill>
              <a:schemeClr val="accent3"/>
            </a:solidFill>
            <a:ln>
              <a:noFill/>
            </a:ln>
            <a:effectLst/>
          </c:spPr>
          <c:invertIfNegative val="0"/>
          <c:cat>
            <c:numRef>
              <c:f>'[原始数据.xlsx]Fig S3'!$A$2:$A$12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'[原始数据.xlsx]Fig S3'!$D$2:$D$12</c:f>
              <c:numCache>
                <c:formatCode>General</c:formatCode>
                <c:ptCount val="11"/>
                <c:pt idx="0">
                  <c:v>0</c:v>
                </c:pt>
                <c:pt idx="1">
                  <c:v>0</c:v>
                </c:pt>
                <c:pt idx="2">
                  <c:v>0</c:v>
                </c:pt>
                <c:pt idx="3">
                  <c:v>0</c:v>
                </c:pt>
                <c:pt idx="4">
                  <c:v>0</c:v>
                </c:pt>
                <c:pt idx="5">
                  <c:v>0</c:v>
                </c:pt>
                <c:pt idx="6">
                  <c:v>0</c:v>
                </c:pt>
                <c:pt idx="7">
                  <c:v>0</c:v>
                </c:pt>
                <c:pt idx="8">
                  <c:v>2</c:v>
                </c:pt>
                <c:pt idx="9">
                  <c:v>23</c:v>
                </c:pt>
                <c:pt idx="10">
                  <c:v>13</c:v>
                </c:pt>
              </c:numCache>
            </c:numRef>
          </c:val>
          <c:extLst>
            <c:ext xmlns:c16="http://schemas.microsoft.com/office/drawing/2014/chart" uri="{C3380CC4-5D6E-409C-BE32-E72D297353CC}">
              <c16:uniqueId val="{00000002-0CED-4089-85C0-F490E96554F0}"/>
            </c:ext>
          </c:extLst>
        </c:ser>
        <c:dLbls>
          <c:showLegendKey val="0"/>
          <c:showVal val="0"/>
          <c:showCatName val="0"/>
          <c:showSerName val="0"/>
          <c:showPercent val="0"/>
          <c:showBubbleSize val="0"/>
        </c:dLbls>
        <c:gapWidth val="246"/>
        <c:axId val="695459175"/>
        <c:axId val="345216606"/>
        <c:extLst>
          <c:ext xmlns:c15="http://schemas.microsoft.com/office/drawing/2012/chart" uri="{02D57815-91ED-43cb-92C2-25804820EDAC}">
            <c15:filteredBarSeries>
              <c15:ser>
                <c:idx val="0"/>
                <c:order val="0"/>
                <c:tx>
                  <c:strRef>
                    <c:extLst>
                      <c:ext uri="{02D57815-91ED-43cb-92C2-25804820EDAC}">
                        <c15:formulaRef>
                          <c15:sqref>'[原始数据.xlsx]Fig S3'!$A$1</c15:sqref>
                        </c15:formulaRef>
                      </c:ext>
                    </c:extLst>
                    <c:strCache>
                      <c:ptCount val="1"/>
                      <c:pt idx="0">
                        <c:v>答对题数</c:v>
                      </c:pt>
                    </c:strCache>
                  </c:strRef>
                </c:tx>
                <c:spPr>
                  <a:solidFill>
                    <a:schemeClr val="accent1"/>
                  </a:solidFill>
                  <a:ln>
                    <a:noFill/>
                  </a:ln>
                  <a:effectLst/>
                </c:spPr>
                <c:invertIfNegative val="0"/>
                <c:cat>
                  <c:numRef>
                    <c:extLst>
                      <c:ext uri="{02D57815-91ED-43cb-92C2-25804820EDAC}">
                        <c15:formulaRef>
                          <c15:sqref>'[原始数据.xlsx]Fig S3'!$A$2:$A$12</c15:sqref>
                        </c15:formulaRef>
                      </c:ext>
                    </c:extLst>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extLst>
                      <c:ext uri="{02D57815-91ED-43cb-92C2-25804820EDAC}">
                        <c15:formulaRef>
                          <c15:sqref>{0,1,2,3,4,5,6,7,8,9,10}</c15:sqref>
                        </c15:formulaRef>
                      </c:ext>
                    </c:extLst>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val>
                <c:extLst>
                  <c:ext xmlns:c16="http://schemas.microsoft.com/office/drawing/2014/chart" uri="{C3380CC4-5D6E-409C-BE32-E72D297353CC}">
                    <c16:uniqueId val="{00000003-0CED-4089-85C0-F490E96554F0}"/>
                  </c:ext>
                </c:extLst>
              </c15:ser>
            </c15:filteredBarSeries>
          </c:ext>
        </c:extLst>
      </c:barChart>
      <c:catAx>
        <c:axId val="69545917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NZ"/>
                  <a:t>Number of Correct Answers (out of 10)</a:t>
                </a:r>
              </a:p>
            </c:rich>
          </c:tx>
          <c:overlay val="0"/>
          <c:spPr>
            <a:noFill/>
            <a:ln>
              <a:noFill/>
            </a:ln>
            <a:effectLst/>
          </c:spPr>
          <c:txPr>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45216606"/>
        <c:crosses val="autoZero"/>
        <c:auto val="1"/>
        <c:lblAlgn val="ctr"/>
        <c:lblOffset val="100"/>
        <c:noMultiLvlLbl val="0"/>
      </c:catAx>
      <c:valAx>
        <c:axId val="34521660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NZ"/>
                  <a:t>Number of Residents</a:t>
                </a:r>
              </a:p>
            </c:rich>
          </c:tx>
          <c:overlay val="0"/>
          <c:spPr>
            <a:noFill/>
            <a:ln>
              <a:noFill/>
            </a:ln>
            <a:effectLst/>
          </c:spPr>
          <c:txPr>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69545917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c860bd7-d0e2-419f-b7d1-a4e52ec496fd}"/>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xiaoma</dc:creator>
  <cp:lastModifiedBy>Buchanan, Grace</cp:lastModifiedBy>
  <cp:revision>2</cp:revision>
  <dcterms:created xsi:type="dcterms:W3CDTF">2026-04-09T12:18:00Z</dcterms:created>
  <dcterms:modified xsi:type="dcterms:W3CDTF">2026-06-28T22:52:00Z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eyJoZGlkIjoiMzEwNTM5NzYwMDRjMzkwZTVkZjY2ODkwMGIxNGU0OTUiLCJ1c2VySWQiOiI0NTYyNDgyNDkifQ==</vt:lpwstr>
  </property>
  <property fmtid="{D5CDD505-2E9C-101B-9397-08002B2CF9AE}" pid="4" name="ICV">
    <vt:lpwstr>9F822FE6936C44E1ADFB6D28FD37227D_12</vt:lpwstr>
  </property>
  <property fmtid="{D5CDD505-2E9C-101B-9397-08002B2CF9AE}" pid="5" name="ClassificationContentMarkingFooterShapeIds">
    <vt:lpwstr>4a4573c,fd24484,600485e5</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2026-06-28T22:52:11Z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65baa78b-78fc-4424-9e3f-efbd6077abb5</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