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942A" w14:textId="2A673FD8" w:rsidR="00EB7236" w:rsidRDefault="00EB7236" w:rsidP="00FA1CE6">
      <w:pPr>
        <w:spacing w:before="100" w:beforeAutospacing="1" w:after="0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OLE_LINK6"/>
      <w:bookmarkStart w:id="1" w:name="OLE_LINK1"/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Supplementary Table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</w:p>
    <w:p w14:paraId="09407F48" w14:textId="544E145A" w:rsidR="00FA1CE6" w:rsidRPr="00A33714" w:rsidRDefault="00FA1CE6" w:rsidP="00FA1CE6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Supplementary Table 1</w:t>
      </w:r>
      <w:bookmarkEnd w:id="0"/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A33714">
        <w:rPr>
          <w:rFonts w:ascii="Times New Roman" w:hAnsi="Times New Roman" w:cs="Times New Roman" w:hint="eastAsia"/>
          <w:sz w:val="21"/>
          <w:szCs w:val="21"/>
        </w:rPr>
        <w:t xml:space="preserve"> </w:t>
      </w:r>
      <w:bookmarkEnd w:id="1"/>
      <w:r w:rsidRPr="00A33714">
        <w:rPr>
          <w:rFonts w:ascii="Times New Roman" w:hAnsi="Times New Roman" w:cs="Times New Roman" w:hint="eastAsia"/>
          <w:sz w:val="21"/>
          <w:szCs w:val="21"/>
        </w:rPr>
        <w:t>AKI Risk with a Univariate Analysis.</w:t>
      </w:r>
      <w:r w:rsidRPr="00A33714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af2"/>
        <w:tblW w:w="6809" w:type="dxa"/>
        <w:jc w:val="center"/>
        <w:tblLook w:val="04A0" w:firstRow="1" w:lastRow="0" w:firstColumn="1" w:lastColumn="0" w:noHBand="0" w:noVBand="1"/>
      </w:tblPr>
      <w:tblGrid>
        <w:gridCol w:w="2273"/>
        <w:gridCol w:w="2126"/>
        <w:gridCol w:w="1276"/>
        <w:gridCol w:w="1134"/>
      </w:tblGrid>
      <w:tr w:rsidR="00FA1CE6" w:rsidRPr="00A33714" w14:paraId="5DED947E" w14:textId="77777777" w:rsidTr="00EA4251">
        <w:trPr>
          <w:jc w:val="center"/>
        </w:trPr>
        <w:tc>
          <w:tcPr>
            <w:tcW w:w="2273" w:type="dxa"/>
          </w:tcPr>
          <w:p w14:paraId="0A5F9B77" w14:textId="77777777" w:rsidR="00FA1CE6" w:rsidRPr="00A33714" w:rsidRDefault="00FA1CE6" w:rsidP="00EA4251">
            <w:pPr>
              <w:spacing w:after="100" w:afterAutospacing="1" w:line="276" w:lineRule="auto"/>
              <w:rPr>
                <w:b/>
                <w:bCs/>
                <w:sz w:val="16"/>
                <w:szCs w:val="16"/>
              </w:rPr>
            </w:pPr>
            <w:bookmarkStart w:id="2" w:name="_Hlk216020282"/>
            <w:r w:rsidRPr="00A33714">
              <w:rPr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126" w:type="dxa"/>
          </w:tcPr>
          <w:p w14:paraId="10DBE173" w14:textId="77777777" w:rsidR="00FA1CE6" w:rsidRPr="00A33714" w:rsidRDefault="00FA1CE6" w:rsidP="00EA4251">
            <w:pPr>
              <w:spacing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A33714">
              <w:rPr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1276" w:type="dxa"/>
          </w:tcPr>
          <w:p w14:paraId="5E64BB9D" w14:textId="77777777" w:rsidR="00FA1CE6" w:rsidRPr="00A33714" w:rsidRDefault="00FA1CE6" w:rsidP="00EA4251">
            <w:pPr>
              <w:spacing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A33714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134" w:type="dxa"/>
          </w:tcPr>
          <w:p w14:paraId="597E50C6" w14:textId="77777777" w:rsidR="00FA1CE6" w:rsidRPr="00A33714" w:rsidRDefault="00FA1CE6" w:rsidP="00EA4251">
            <w:pPr>
              <w:spacing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A33714">
              <w:rPr>
                <w:b/>
                <w:bCs/>
                <w:i/>
                <w:iCs/>
                <w:sz w:val="16"/>
                <w:szCs w:val="16"/>
              </w:rPr>
              <w:t>p</w:t>
            </w:r>
            <w:r w:rsidRPr="00A33714">
              <w:rPr>
                <w:b/>
                <w:bCs/>
                <w:sz w:val="16"/>
                <w:szCs w:val="16"/>
              </w:rPr>
              <w:t>-Value</w:t>
            </w:r>
          </w:p>
        </w:tc>
      </w:tr>
      <w:tr w:rsidR="00FA1CE6" w:rsidRPr="00A33714" w14:paraId="4E67D6F9" w14:textId="77777777" w:rsidTr="00EA4251">
        <w:trPr>
          <w:jc w:val="center"/>
        </w:trPr>
        <w:tc>
          <w:tcPr>
            <w:tcW w:w="2273" w:type="dxa"/>
          </w:tcPr>
          <w:p w14:paraId="7E669A6F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bookmarkStart w:id="3" w:name="_Hlk216345165"/>
            <w:r w:rsidRPr="00A33714">
              <w:rPr>
                <w:rFonts w:hint="eastAsia"/>
                <w:sz w:val="16"/>
                <w:szCs w:val="16"/>
              </w:rPr>
              <w:t>Age</w:t>
            </w:r>
          </w:p>
        </w:tc>
        <w:tc>
          <w:tcPr>
            <w:tcW w:w="2126" w:type="dxa"/>
            <w:shd w:val="clear" w:color="auto" w:fill="FFFFFF"/>
          </w:tcPr>
          <w:p w14:paraId="413F8D6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1.00</w:t>
            </w:r>
            <w:r w:rsidRPr="00A33714">
              <w:rPr>
                <w:rFonts w:hint="eastAsia"/>
                <w:sz w:val="16"/>
                <w:szCs w:val="16"/>
              </w:rPr>
              <w:t xml:space="preserve">1 </w:t>
            </w:r>
            <w:r w:rsidRPr="00A33714">
              <w:rPr>
                <w:sz w:val="16"/>
                <w:szCs w:val="16"/>
              </w:rPr>
              <w:t>(0.99</w:t>
            </w:r>
            <w:r w:rsidRPr="00A33714">
              <w:rPr>
                <w:rFonts w:hint="eastAsia"/>
                <w:sz w:val="16"/>
                <w:szCs w:val="16"/>
              </w:rPr>
              <w:t>5</w:t>
            </w:r>
            <w:r w:rsidRPr="00A33714">
              <w:rPr>
                <w:sz w:val="16"/>
                <w:szCs w:val="16"/>
              </w:rPr>
              <w:t>–1.0</w:t>
            </w:r>
            <w:r w:rsidRPr="00A33714">
              <w:rPr>
                <w:rFonts w:hint="eastAsia"/>
                <w:sz w:val="16"/>
                <w:szCs w:val="16"/>
              </w:rPr>
              <w:t>08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3E20BD00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.00</w:t>
            </w:r>
            <w:r w:rsidRPr="00A3371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08FF8A43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672</w:t>
            </w:r>
          </w:p>
        </w:tc>
      </w:tr>
      <w:tr w:rsidR="00FA1CE6" w:rsidRPr="00A33714" w14:paraId="0F869AC0" w14:textId="77777777" w:rsidTr="00EA4251">
        <w:trPr>
          <w:jc w:val="center"/>
        </w:trPr>
        <w:tc>
          <w:tcPr>
            <w:tcW w:w="2273" w:type="dxa"/>
          </w:tcPr>
          <w:p w14:paraId="00AEF5DD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Gender</w:t>
            </w:r>
          </w:p>
        </w:tc>
        <w:tc>
          <w:tcPr>
            <w:tcW w:w="2126" w:type="dxa"/>
            <w:shd w:val="clear" w:color="auto" w:fill="FFFFFF"/>
          </w:tcPr>
          <w:p w14:paraId="531AC5D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.8</w:t>
            </w:r>
            <w:r w:rsidRPr="00A33714">
              <w:rPr>
                <w:rFonts w:hint="eastAsia"/>
                <w:sz w:val="16"/>
                <w:szCs w:val="16"/>
              </w:rPr>
              <w:t xml:space="preserve">27 </w:t>
            </w:r>
            <w:r w:rsidRPr="00A33714">
              <w:rPr>
                <w:sz w:val="16"/>
                <w:szCs w:val="16"/>
              </w:rPr>
              <w:t>(0.6</w:t>
            </w:r>
            <w:r w:rsidRPr="00A33714">
              <w:rPr>
                <w:rFonts w:hint="eastAsia"/>
                <w:sz w:val="16"/>
                <w:szCs w:val="16"/>
              </w:rPr>
              <w:t>69</w:t>
            </w:r>
            <w:r w:rsidRPr="00A33714">
              <w:rPr>
                <w:sz w:val="16"/>
                <w:szCs w:val="16"/>
              </w:rPr>
              <w:t>–1.</w:t>
            </w:r>
            <w:r w:rsidRPr="00A33714">
              <w:rPr>
                <w:rFonts w:hint="eastAsia"/>
                <w:sz w:val="16"/>
                <w:szCs w:val="16"/>
              </w:rPr>
              <w:t>022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4525EAC2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–0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190</w:t>
            </w:r>
          </w:p>
        </w:tc>
        <w:tc>
          <w:tcPr>
            <w:tcW w:w="1134" w:type="dxa"/>
            <w:shd w:val="clear" w:color="auto" w:fill="FFFFFF"/>
          </w:tcPr>
          <w:p w14:paraId="5AABE53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827</w:t>
            </w:r>
          </w:p>
        </w:tc>
      </w:tr>
      <w:tr w:rsidR="00FA1CE6" w:rsidRPr="00A33714" w14:paraId="67854B77" w14:textId="77777777" w:rsidTr="00EA4251">
        <w:trPr>
          <w:jc w:val="center"/>
        </w:trPr>
        <w:tc>
          <w:tcPr>
            <w:tcW w:w="2273" w:type="dxa"/>
          </w:tcPr>
          <w:p w14:paraId="39EB6AB4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Diabetes Mellitus</w:t>
            </w:r>
          </w:p>
        </w:tc>
        <w:tc>
          <w:tcPr>
            <w:tcW w:w="2126" w:type="dxa"/>
            <w:shd w:val="clear" w:color="auto" w:fill="FFFFFF"/>
          </w:tcPr>
          <w:p w14:paraId="176942A6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0.764 (0.558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1.045)</w:t>
            </w:r>
          </w:p>
        </w:tc>
        <w:tc>
          <w:tcPr>
            <w:tcW w:w="1276" w:type="dxa"/>
            <w:shd w:val="clear" w:color="auto" w:fill="FFFFFF"/>
          </w:tcPr>
          <w:p w14:paraId="3C2EAA2E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0.270</w:t>
            </w:r>
          </w:p>
        </w:tc>
        <w:tc>
          <w:tcPr>
            <w:tcW w:w="1134" w:type="dxa"/>
            <w:shd w:val="clear" w:color="auto" w:fill="FFFFFF"/>
          </w:tcPr>
          <w:p w14:paraId="65437250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0.092</w:t>
            </w:r>
          </w:p>
        </w:tc>
      </w:tr>
      <w:tr w:rsidR="00FA1CE6" w:rsidRPr="00A33714" w14:paraId="10445C74" w14:textId="77777777" w:rsidTr="00EA4251">
        <w:trPr>
          <w:jc w:val="center"/>
        </w:trPr>
        <w:tc>
          <w:tcPr>
            <w:tcW w:w="2273" w:type="dxa"/>
          </w:tcPr>
          <w:p w14:paraId="7FACFD5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Hyperuricemia</w:t>
            </w:r>
          </w:p>
        </w:tc>
        <w:tc>
          <w:tcPr>
            <w:tcW w:w="2126" w:type="dxa"/>
            <w:shd w:val="clear" w:color="auto" w:fill="FFFFFF"/>
          </w:tcPr>
          <w:p w14:paraId="2A805FD4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1.387 (1.041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1.847)</w:t>
            </w:r>
          </w:p>
        </w:tc>
        <w:tc>
          <w:tcPr>
            <w:tcW w:w="1276" w:type="dxa"/>
            <w:shd w:val="clear" w:color="auto" w:fill="FFFFFF"/>
          </w:tcPr>
          <w:p w14:paraId="19E924DB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0.327</w:t>
            </w:r>
          </w:p>
        </w:tc>
        <w:tc>
          <w:tcPr>
            <w:tcW w:w="1134" w:type="dxa"/>
            <w:shd w:val="clear" w:color="auto" w:fill="FFFFFF"/>
          </w:tcPr>
          <w:p w14:paraId="20379B0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0.025</w:t>
            </w:r>
          </w:p>
        </w:tc>
      </w:tr>
      <w:tr w:rsidR="00FA1CE6" w:rsidRPr="00A33714" w14:paraId="26758E5F" w14:textId="77777777" w:rsidTr="00EA4251">
        <w:trPr>
          <w:jc w:val="center"/>
        </w:trPr>
        <w:tc>
          <w:tcPr>
            <w:tcW w:w="2273" w:type="dxa"/>
          </w:tcPr>
          <w:p w14:paraId="299B84FD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Cardiac Dysfunction</w:t>
            </w:r>
          </w:p>
        </w:tc>
        <w:tc>
          <w:tcPr>
            <w:tcW w:w="2126" w:type="dxa"/>
            <w:shd w:val="clear" w:color="auto" w:fill="FFFFFF"/>
          </w:tcPr>
          <w:p w14:paraId="4E49B640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1.</w:t>
            </w:r>
            <w:r w:rsidRPr="00A33714">
              <w:rPr>
                <w:rFonts w:hint="eastAsia"/>
                <w:sz w:val="16"/>
                <w:szCs w:val="16"/>
              </w:rPr>
              <w:t xml:space="preserve">583 </w:t>
            </w:r>
            <w:r w:rsidRPr="00A33714">
              <w:rPr>
                <w:sz w:val="16"/>
                <w:szCs w:val="16"/>
              </w:rPr>
              <w:t>(1.2</w:t>
            </w:r>
            <w:r w:rsidRPr="00A33714">
              <w:rPr>
                <w:rFonts w:hint="eastAsia"/>
                <w:sz w:val="16"/>
                <w:szCs w:val="16"/>
              </w:rPr>
              <w:t>45</w:t>
            </w:r>
            <w:r w:rsidRPr="00A33714">
              <w:rPr>
                <w:sz w:val="16"/>
                <w:szCs w:val="16"/>
              </w:rPr>
              <w:t>–2.</w:t>
            </w:r>
            <w:r w:rsidRPr="00A33714">
              <w:rPr>
                <w:rFonts w:hint="eastAsia"/>
                <w:sz w:val="16"/>
                <w:szCs w:val="16"/>
              </w:rPr>
              <w:t>014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7CE19501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460</w:t>
            </w:r>
          </w:p>
        </w:tc>
        <w:tc>
          <w:tcPr>
            <w:tcW w:w="1134" w:type="dxa"/>
            <w:shd w:val="clear" w:color="auto" w:fill="FFFFFF"/>
          </w:tcPr>
          <w:p w14:paraId="751E4CC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&lt; 0.001</w:t>
            </w:r>
          </w:p>
        </w:tc>
      </w:tr>
      <w:tr w:rsidR="00FA1CE6" w:rsidRPr="00A33714" w14:paraId="66F67A7E" w14:textId="77777777" w:rsidTr="00EA4251">
        <w:trPr>
          <w:jc w:val="center"/>
        </w:trPr>
        <w:tc>
          <w:tcPr>
            <w:tcW w:w="2273" w:type="dxa"/>
          </w:tcPr>
          <w:p w14:paraId="06E39F04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Malignant Solid Tumor</w:t>
            </w:r>
          </w:p>
        </w:tc>
        <w:tc>
          <w:tcPr>
            <w:tcW w:w="2126" w:type="dxa"/>
            <w:shd w:val="clear" w:color="auto" w:fill="FFFFFF"/>
          </w:tcPr>
          <w:p w14:paraId="65582163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0.744 (0.590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0.939)</w:t>
            </w:r>
          </w:p>
        </w:tc>
        <w:tc>
          <w:tcPr>
            <w:tcW w:w="1276" w:type="dxa"/>
            <w:shd w:val="clear" w:color="auto" w:fill="FFFFFF"/>
          </w:tcPr>
          <w:p w14:paraId="0105B101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0.295</w:t>
            </w:r>
          </w:p>
        </w:tc>
        <w:tc>
          <w:tcPr>
            <w:tcW w:w="1134" w:type="dxa"/>
            <w:shd w:val="clear" w:color="auto" w:fill="FFFFFF"/>
          </w:tcPr>
          <w:p w14:paraId="52642544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0.013</w:t>
            </w:r>
          </w:p>
        </w:tc>
      </w:tr>
      <w:tr w:rsidR="00FA1CE6" w:rsidRPr="00A33714" w14:paraId="7649779A" w14:textId="77777777" w:rsidTr="00EA4251">
        <w:trPr>
          <w:jc w:val="center"/>
        </w:trPr>
        <w:tc>
          <w:tcPr>
            <w:tcW w:w="2273" w:type="dxa"/>
          </w:tcPr>
          <w:p w14:paraId="18C62272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Critically ill</w:t>
            </w:r>
          </w:p>
        </w:tc>
        <w:tc>
          <w:tcPr>
            <w:tcW w:w="2126" w:type="dxa"/>
            <w:shd w:val="clear" w:color="auto" w:fill="FFFFFF"/>
          </w:tcPr>
          <w:p w14:paraId="04242DC2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1.</w:t>
            </w:r>
            <w:r w:rsidRPr="00A33714">
              <w:rPr>
                <w:rFonts w:hint="eastAsia"/>
                <w:sz w:val="16"/>
                <w:szCs w:val="16"/>
              </w:rPr>
              <w:t xml:space="preserve">694 </w:t>
            </w:r>
            <w:r w:rsidRPr="00A33714">
              <w:rPr>
                <w:sz w:val="16"/>
                <w:szCs w:val="16"/>
              </w:rPr>
              <w:t>(1.</w:t>
            </w:r>
            <w:r w:rsidRPr="00A33714">
              <w:rPr>
                <w:rFonts w:hint="eastAsia"/>
                <w:sz w:val="16"/>
                <w:szCs w:val="16"/>
              </w:rPr>
              <w:t>377</w:t>
            </w:r>
            <w:r w:rsidRPr="00A33714">
              <w:rPr>
                <w:sz w:val="16"/>
                <w:szCs w:val="16"/>
              </w:rPr>
              <w:t>–2.</w:t>
            </w:r>
            <w:r w:rsidRPr="00A33714">
              <w:rPr>
                <w:rFonts w:hint="eastAsia"/>
                <w:sz w:val="16"/>
                <w:szCs w:val="16"/>
              </w:rPr>
              <w:t>082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7AFC23B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527</w:t>
            </w:r>
          </w:p>
        </w:tc>
        <w:tc>
          <w:tcPr>
            <w:tcW w:w="1134" w:type="dxa"/>
            <w:shd w:val="clear" w:color="auto" w:fill="FFFFFF"/>
          </w:tcPr>
          <w:p w14:paraId="35F4400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&lt; 0.001</w:t>
            </w:r>
          </w:p>
        </w:tc>
      </w:tr>
      <w:tr w:rsidR="00FA1CE6" w:rsidRPr="00A33714" w14:paraId="15C2CEC3" w14:textId="77777777" w:rsidTr="00EA4251">
        <w:trPr>
          <w:jc w:val="center"/>
        </w:trPr>
        <w:tc>
          <w:tcPr>
            <w:tcW w:w="2273" w:type="dxa"/>
          </w:tcPr>
          <w:p w14:paraId="7B7E4315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Hypoalbuminemia</w:t>
            </w:r>
          </w:p>
        </w:tc>
        <w:tc>
          <w:tcPr>
            <w:tcW w:w="2126" w:type="dxa"/>
            <w:shd w:val="clear" w:color="auto" w:fill="FFFFFF"/>
          </w:tcPr>
          <w:p w14:paraId="35E06B73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1.031 (0.840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1.265)</w:t>
            </w:r>
          </w:p>
        </w:tc>
        <w:tc>
          <w:tcPr>
            <w:tcW w:w="1276" w:type="dxa"/>
            <w:shd w:val="clear" w:color="auto" w:fill="FFFFFF"/>
          </w:tcPr>
          <w:p w14:paraId="7D86E720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0.030</w:t>
            </w:r>
          </w:p>
        </w:tc>
        <w:tc>
          <w:tcPr>
            <w:tcW w:w="1134" w:type="dxa"/>
            <w:shd w:val="clear" w:color="auto" w:fill="FFFFFF"/>
          </w:tcPr>
          <w:p w14:paraId="3B5DBA5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0.771</w:t>
            </w:r>
          </w:p>
        </w:tc>
      </w:tr>
      <w:tr w:rsidR="00FA1CE6" w:rsidRPr="00A33714" w14:paraId="208C59EA" w14:textId="77777777" w:rsidTr="00EA4251">
        <w:trPr>
          <w:jc w:val="center"/>
        </w:trPr>
        <w:tc>
          <w:tcPr>
            <w:tcW w:w="2273" w:type="dxa"/>
          </w:tcPr>
          <w:p w14:paraId="6D82CDED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eGFR</w:t>
            </w:r>
          </w:p>
        </w:tc>
        <w:tc>
          <w:tcPr>
            <w:tcW w:w="2126" w:type="dxa"/>
            <w:shd w:val="clear" w:color="auto" w:fill="FFFFFF"/>
          </w:tcPr>
          <w:p w14:paraId="4E22FB0D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 xml:space="preserve">0.994 </w:t>
            </w:r>
            <w:r w:rsidRPr="00A33714">
              <w:rPr>
                <w:sz w:val="16"/>
                <w:szCs w:val="16"/>
              </w:rPr>
              <w:t>(0.99</w:t>
            </w:r>
            <w:r w:rsidRPr="00A33714">
              <w:rPr>
                <w:rFonts w:hint="eastAsia"/>
                <w:sz w:val="16"/>
                <w:szCs w:val="16"/>
              </w:rPr>
              <w:t>1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0.998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2F06089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0.006</w:t>
            </w:r>
          </w:p>
        </w:tc>
        <w:tc>
          <w:tcPr>
            <w:tcW w:w="1134" w:type="dxa"/>
            <w:shd w:val="clear" w:color="auto" w:fill="FFFFFF"/>
          </w:tcPr>
          <w:p w14:paraId="1584BE7C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001</w:t>
            </w:r>
          </w:p>
        </w:tc>
      </w:tr>
      <w:tr w:rsidR="00FA1CE6" w:rsidRPr="00A33714" w14:paraId="6AB6C8D6" w14:textId="77777777" w:rsidTr="00EA4251">
        <w:trPr>
          <w:jc w:val="center"/>
        </w:trPr>
        <w:tc>
          <w:tcPr>
            <w:tcW w:w="2273" w:type="dxa"/>
          </w:tcPr>
          <w:p w14:paraId="436228B2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Length of vancomycin therapy</w:t>
            </w:r>
          </w:p>
        </w:tc>
        <w:tc>
          <w:tcPr>
            <w:tcW w:w="2126" w:type="dxa"/>
            <w:shd w:val="clear" w:color="auto" w:fill="FFFFFF"/>
          </w:tcPr>
          <w:p w14:paraId="27C00178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1.235 (1.085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1.406)</w:t>
            </w:r>
          </w:p>
        </w:tc>
        <w:tc>
          <w:tcPr>
            <w:tcW w:w="1276" w:type="dxa"/>
            <w:shd w:val="clear" w:color="auto" w:fill="FFFFFF"/>
          </w:tcPr>
          <w:p w14:paraId="0C05130B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0.211</w:t>
            </w:r>
          </w:p>
        </w:tc>
        <w:tc>
          <w:tcPr>
            <w:tcW w:w="1134" w:type="dxa"/>
            <w:shd w:val="clear" w:color="auto" w:fill="FFFFFF"/>
          </w:tcPr>
          <w:p w14:paraId="39B8342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0.001</w:t>
            </w:r>
          </w:p>
        </w:tc>
      </w:tr>
      <w:tr w:rsidR="00FA1CE6" w:rsidRPr="00A33714" w14:paraId="167EC6D8" w14:textId="77777777" w:rsidTr="00EA4251">
        <w:trPr>
          <w:jc w:val="center"/>
        </w:trPr>
        <w:tc>
          <w:tcPr>
            <w:tcW w:w="2273" w:type="dxa"/>
          </w:tcPr>
          <w:p w14:paraId="0143AAD0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CUTOFF 15.935</w:t>
            </w:r>
          </w:p>
        </w:tc>
        <w:tc>
          <w:tcPr>
            <w:tcW w:w="2126" w:type="dxa"/>
            <w:shd w:val="clear" w:color="auto" w:fill="FFFFFF"/>
          </w:tcPr>
          <w:p w14:paraId="1BFCA4B6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2.</w:t>
            </w:r>
            <w:r w:rsidRPr="00A33714">
              <w:rPr>
                <w:rFonts w:hint="eastAsia"/>
                <w:sz w:val="16"/>
                <w:szCs w:val="16"/>
              </w:rPr>
              <w:t xml:space="preserve">378 </w:t>
            </w:r>
            <w:r w:rsidRPr="00A33714">
              <w:rPr>
                <w:sz w:val="16"/>
                <w:szCs w:val="16"/>
              </w:rPr>
              <w:t>(1.</w:t>
            </w:r>
            <w:r w:rsidRPr="00A33714">
              <w:rPr>
                <w:rFonts w:hint="eastAsia"/>
                <w:sz w:val="16"/>
                <w:szCs w:val="16"/>
              </w:rPr>
              <w:t>940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2.914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4647A7F8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.8</w:t>
            </w:r>
            <w:r w:rsidRPr="00A33714">
              <w:rPr>
                <w:rFonts w:hint="eastAsia"/>
                <w:sz w:val="16"/>
                <w:szCs w:val="16"/>
              </w:rPr>
              <w:t>66</w:t>
            </w:r>
          </w:p>
        </w:tc>
        <w:tc>
          <w:tcPr>
            <w:tcW w:w="1134" w:type="dxa"/>
            <w:shd w:val="clear" w:color="auto" w:fill="FFFFFF"/>
          </w:tcPr>
          <w:p w14:paraId="4603AFD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&lt; 0.001</w:t>
            </w:r>
          </w:p>
        </w:tc>
      </w:tr>
      <w:tr w:rsidR="00FA1CE6" w:rsidRPr="00A33714" w14:paraId="34CC8E10" w14:textId="77777777" w:rsidTr="00EA4251">
        <w:trPr>
          <w:jc w:val="center"/>
        </w:trPr>
        <w:tc>
          <w:tcPr>
            <w:tcW w:w="2273" w:type="dxa"/>
          </w:tcPr>
          <w:p w14:paraId="189F153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Vasopressors</w:t>
            </w:r>
          </w:p>
        </w:tc>
        <w:tc>
          <w:tcPr>
            <w:tcW w:w="2126" w:type="dxa"/>
            <w:shd w:val="clear" w:color="auto" w:fill="FFFFFF"/>
          </w:tcPr>
          <w:p w14:paraId="29FE13DC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 xml:space="preserve">1.576 </w:t>
            </w:r>
            <w:r w:rsidRPr="00A33714">
              <w:rPr>
                <w:sz w:val="16"/>
                <w:szCs w:val="16"/>
              </w:rPr>
              <w:t>(</w:t>
            </w:r>
            <w:r w:rsidRPr="00A33714">
              <w:rPr>
                <w:rFonts w:hint="eastAsia"/>
                <w:sz w:val="16"/>
                <w:szCs w:val="16"/>
              </w:rPr>
              <w:t>1.173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2.119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134CA4D5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0.455</w:t>
            </w:r>
          </w:p>
        </w:tc>
        <w:tc>
          <w:tcPr>
            <w:tcW w:w="1134" w:type="dxa"/>
            <w:shd w:val="clear" w:color="auto" w:fill="FFFFFF"/>
          </w:tcPr>
          <w:p w14:paraId="7E5C44E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.0</w:t>
            </w:r>
            <w:r w:rsidRPr="00A33714">
              <w:rPr>
                <w:rFonts w:hint="eastAsia"/>
                <w:sz w:val="16"/>
                <w:szCs w:val="16"/>
              </w:rPr>
              <w:t>03</w:t>
            </w:r>
          </w:p>
        </w:tc>
      </w:tr>
      <w:tr w:rsidR="00FA1CE6" w:rsidRPr="00A33714" w14:paraId="4116AC3A" w14:textId="77777777" w:rsidTr="00EA4251">
        <w:trPr>
          <w:jc w:val="center"/>
        </w:trPr>
        <w:tc>
          <w:tcPr>
            <w:tcW w:w="2273" w:type="dxa"/>
          </w:tcPr>
          <w:p w14:paraId="2672D98D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Loop Diuretics</w:t>
            </w:r>
          </w:p>
        </w:tc>
        <w:tc>
          <w:tcPr>
            <w:tcW w:w="2126" w:type="dxa"/>
            <w:shd w:val="clear" w:color="auto" w:fill="FFFFFF"/>
          </w:tcPr>
          <w:p w14:paraId="1F10B29E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1.</w:t>
            </w:r>
            <w:r w:rsidRPr="00A33714">
              <w:rPr>
                <w:rFonts w:hint="eastAsia"/>
                <w:sz w:val="16"/>
                <w:szCs w:val="16"/>
              </w:rPr>
              <w:t xml:space="preserve">333 </w:t>
            </w:r>
            <w:r w:rsidRPr="00A33714">
              <w:rPr>
                <w:sz w:val="16"/>
                <w:szCs w:val="16"/>
              </w:rPr>
              <w:t>(</w:t>
            </w:r>
            <w:r w:rsidRPr="00A33714">
              <w:rPr>
                <w:rFonts w:hint="eastAsia"/>
                <w:sz w:val="16"/>
                <w:szCs w:val="16"/>
              </w:rPr>
              <w:t>1.088</w:t>
            </w:r>
            <w:r w:rsidRPr="00A33714">
              <w:rPr>
                <w:sz w:val="16"/>
                <w:szCs w:val="16"/>
              </w:rPr>
              <w:t>–1.</w:t>
            </w:r>
            <w:r w:rsidRPr="00A33714">
              <w:rPr>
                <w:rFonts w:hint="eastAsia"/>
                <w:sz w:val="16"/>
                <w:szCs w:val="16"/>
              </w:rPr>
              <w:t>633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5EA11A4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288</w:t>
            </w:r>
          </w:p>
        </w:tc>
        <w:tc>
          <w:tcPr>
            <w:tcW w:w="1134" w:type="dxa"/>
            <w:shd w:val="clear" w:color="auto" w:fill="FFFFFF"/>
          </w:tcPr>
          <w:p w14:paraId="657B2A67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005</w:t>
            </w:r>
          </w:p>
        </w:tc>
      </w:tr>
      <w:tr w:rsidR="00FA1CE6" w:rsidRPr="00A33714" w14:paraId="061E57F2" w14:textId="77777777" w:rsidTr="00EA4251">
        <w:trPr>
          <w:jc w:val="center"/>
        </w:trPr>
        <w:tc>
          <w:tcPr>
            <w:tcW w:w="2273" w:type="dxa"/>
          </w:tcPr>
          <w:p w14:paraId="1DD9FBB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bookmarkStart w:id="4" w:name="OLE_LINK26"/>
            <w:r w:rsidRPr="00A33714">
              <w:rPr>
                <w:sz w:val="16"/>
                <w:szCs w:val="16"/>
              </w:rPr>
              <w:t>Contrast Media</w:t>
            </w:r>
            <w:bookmarkEnd w:id="4"/>
          </w:p>
        </w:tc>
        <w:tc>
          <w:tcPr>
            <w:tcW w:w="2126" w:type="dxa"/>
            <w:shd w:val="clear" w:color="auto" w:fill="FFFFFF"/>
          </w:tcPr>
          <w:p w14:paraId="4E9B9D96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2.954 (</w:t>
            </w:r>
            <w:r w:rsidRPr="00A33714">
              <w:rPr>
                <w:sz w:val="16"/>
                <w:szCs w:val="16"/>
              </w:rPr>
              <w:t>1.</w:t>
            </w:r>
            <w:r w:rsidRPr="00A33714">
              <w:rPr>
                <w:rFonts w:hint="eastAsia"/>
                <w:sz w:val="16"/>
                <w:szCs w:val="16"/>
              </w:rPr>
              <w:t>571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5.553)</w:t>
            </w:r>
          </w:p>
        </w:tc>
        <w:tc>
          <w:tcPr>
            <w:tcW w:w="1276" w:type="dxa"/>
            <w:shd w:val="clear" w:color="auto" w:fill="FFFFFF"/>
          </w:tcPr>
          <w:p w14:paraId="42F95D1B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1.083</w:t>
            </w:r>
          </w:p>
        </w:tc>
        <w:tc>
          <w:tcPr>
            <w:tcW w:w="1134" w:type="dxa"/>
            <w:shd w:val="clear" w:color="auto" w:fill="FFFFFF"/>
          </w:tcPr>
          <w:p w14:paraId="7375B7F0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.0</w:t>
            </w:r>
            <w:r w:rsidRPr="00A33714">
              <w:rPr>
                <w:rFonts w:hint="eastAsia"/>
                <w:sz w:val="16"/>
                <w:szCs w:val="16"/>
              </w:rPr>
              <w:t>01</w:t>
            </w:r>
          </w:p>
        </w:tc>
      </w:tr>
      <w:tr w:rsidR="00FA1CE6" w:rsidRPr="00A33714" w14:paraId="3FC4B859" w14:textId="77777777" w:rsidTr="00EA4251">
        <w:trPr>
          <w:jc w:val="center"/>
        </w:trPr>
        <w:tc>
          <w:tcPr>
            <w:tcW w:w="2273" w:type="dxa"/>
          </w:tcPr>
          <w:p w14:paraId="552085CD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Cephalosporin Antibiotics</w:t>
            </w:r>
          </w:p>
        </w:tc>
        <w:tc>
          <w:tcPr>
            <w:tcW w:w="2126" w:type="dxa"/>
            <w:shd w:val="clear" w:color="auto" w:fill="FFFFFF"/>
          </w:tcPr>
          <w:p w14:paraId="5BB9EDB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eastAsia="MingLiU"/>
                <w:sz w:val="16"/>
                <w:szCs w:val="16"/>
              </w:rPr>
              <w:t>1.</w:t>
            </w:r>
            <w:r w:rsidRPr="00A33714">
              <w:rPr>
                <w:rFonts w:hint="eastAsia"/>
                <w:sz w:val="16"/>
                <w:szCs w:val="16"/>
              </w:rPr>
              <w:t>584 (</w:t>
            </w:r>
            <w:r w:rsidRPr="00A33714">
              <w:rPr>
                <w:sz w:val="16"/>
                <w:szCs w:val="16"/>
              </w:rPr>
              <w:t>1.2</w:t>
            </w:r>
            <w:r w:rsidRPr="00A33714">
              <w:rPr>
                <w:rFonts w:hint="eastAsia"/>
                <w:sz w:val="16"/>
                <w:szCs w:val="16"/>
              </w:rPr>
              <w:t>57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1.996)</w:t>
            </w:r>
          </w:p>
        </w:tc>
        <w:tc>
          <w:tcPr>
            <w:tcW w:w="1276" w:type="dxa"/>
            <w:shd w:val="clear" w:color="auto" w:fill="FFFFFF"/>
          </w:tcPr>
          <w:p w14:paraId="06E1D3C3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460</w:t>
            </w:r>
          </w:p>
        </w:tc>
        <w:tc>
          <w:tcPr>
            <w:tcW w:w="1134" w:type="dxa"/>
            <w:shd w:val="clear" w:color="auto" w:fill="FFFFFF"/>
          </w:tcPr>
          <w:p w14:paraId="2085957E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&lt; 0.001</w:t>
            </w:r>
          </w:p>
        </w:tc>
      </w:tr>
      <w:tr w:rsidR="00FA1CE6" w:rsidRPr="00A33714" w14:paraId="55484965" w14:textId="77777777" w:rsidTr="00EA4251">
        <w:trPr>
          <w:jc w:val="center"/>
        </w:trPr>
        <w:tc>
          <w:tcPr>
            <w:tcW w:w="2273" w:type="dxa"/>
          </w:tcPr>
          <w:p w14:paraId="78E1034C" w14:textId="77777777" w:rsidR="00FA1CE6" w:rsidRPr="00A33714" w:rsidRDefault="00FA1CE6" w:rsidP="00EA4251">
            <w:pPr>
              <w:spacing w:after="100" w:afterAutospacing="1" w:line="276" w:lineRule="auto"/>
              <w:rPr>
                <w:rFonts w:eastAsia="MingLiU"/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Piperacillin-Tazobactam</w:t>
            </w:r>
          </w:p>
        </w:tc>
        <w:tc>
          <w:tcPr>
            <w:tcW w:w="2126" w:type="dxa"/>
            <w:shd w:val="clear" w:color="auto" w:fill="FFFFFF"/>
          </w:tcPr>
          <w:p w14:paraId="6B487A0F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1.526</w:t>
            </w:r>
            <w:r w:rsidRPr="00A33714">
              <w:rPr>
                <w:sz w:val="16"/>
                <w:szCs w:val="16"/>
              </w:rPr>
              <w:t xml:space="preserve"> (1</w:t>
            </w:r>
            <w:r w:rsidRPr="00A33714">
              <w:rPr>
                <w:rFonts w:hint="eastAsia"/>
                <w:sz w:val="16"/>
                <w:szCs w:val="16"/>
              </w:rPr>
              <w:t>.003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2.322</w:t>
            </w:r>
            <w:r w:rsidRPr="00A3371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567F909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423</w:t>
            </w:r>
          </w:p>
        </w:tc>
        <w:tc>
          <w:tcPr>
            <w:tcW w:w="1134" w:type="dxa"/>
            <w:shd w:val="clear" w:color="auto" w:fill="FFFFFF"/>
          </w:tcPr>
          <w:p w14:paraId="76DB473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.0</w:t>
            </w:r>
            <w:r w:rsidRPr="00A33714">
              <w:rPr>
                <w:rFonts w:hint="eastAsia"/>
                <w:sz w:val="16"/>
                <w:szCs w:val="16"/>
              </w:rPr>
              <w:t>49</w:t>
            </w:r>
          </w:p>
        </w:tc>
      </w:tr>
      <w:tr w:rsidR="00FA1CE6" w:rsidRPr="00A33714" w14:paraId="4312F456" w14:textId="77777777" w:rsidTr="00EA4251">
        <w:trPr>
          <w:jc w:val="center"/>
        </w:trPr>
        <w:tc>
          <w:tcPr>
            <w:tcW w:w="2273" w:type="dxa"/>
          </w:tcPr>
          <w:p w14:paraId="513492EA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PPI</w:t>
            </w:r>
          </w:p>
        </w:tc>
        <w:tc>
          <w:tcPr>
            <w:tcW w:w="2126" w:type="dxa"/>
            <w:shd w:val="clear" w:color="auto" w:fill="FFFFFF"/>
          </w:tcPr>
          <w:p w14:paraId="68F4F213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1.193 (0.970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1.466)</w:t>
            </w:r>
          </w:p>
        </w:tc>
        <w:tc>
          <w:tcPr>
            <w:tcW w:w="1276" w:type="dxa"/>
            <w:shd w:val="clear" w:color="auto" w:fill="FFFFFF"/>
          </w:tcPr>
          <w:p w14:paraId="17F79F4B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0.176</w:t>
            </w:r>
          </w:p>
        </w:tc>
        <w:tc>
          <w:tcPr>
            <w:tcW w:w="1134" w:type="dxa"/>
            <w:shd w:val="clear" w:color="auto" w:fill="FFFFFF"/>
          </w:tcPr>
          <w:p w14:paraId="11A6B24D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0.094</w:t>
            </w:r>
          </w:p>
        </w:tc>
      </w:tr>
      <w:tr w:rsidR="00FA1CE6" w:rsidRPr="00A33714" w14:paraId="7FB3A260" w14:textId="77777777" w:rsidTr="00EA4251">
        <w:trPr>
          <w:jc w:val="center"/>
        </w:trPr>
        <w:tc>
          <w:tcPr>
            <w:tcW w:w="2273" w:type="dxa"/>
          </w:tcPr>
          <w:p w14:paraId="49346234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Tacrolimus</w:t>
            </w:r>
          </w:p>
        </w:tc>
        <w:tc>
          <w:tcPr>
            <w:tcW w:w="2126" w:type="dxa"/>
            <w:shd w:val="clear" w:color="auto" w:fill="FFFFFF"/>
          </w:tcPr>
          <w:p w14:paraId="79A8525C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2.088</w:t>
            </w:r>
            <w:bookmarkStart w:id="5" w:name="OLE_LINK33"/>
            <w:r w:rsidRPr="00A33714">
              <w:rPr>
                <w:rFonts w:hint="eastAsia"/>
                <w:sz w:val="16"/>
                <w:szCs w:val="16"/>
              </w:rPr>
              <w:t xml:space="preserve"> (</w:t>
            </w:r>
            <w:bookmarkEnd w:id="5"/>
            <w:r w:rsidRPr="00A33714">
              <w:rPr>
                <w:rFonts w:hint="eastAsia"/>
                <w:sz w:val="16"/>
                <w:szCs w:val="16"/>
              </w:rPr>
              <w:t>1.223</w:t>
            </w:r>
            <w:r w:rsidRPr="00A33714">
              <w:rPr>
                <w:sz w:val="16"/>
                <w:szCs w:val="16"/>
              </w:rPr>
              <w:t>–</w:t>
            </w:r>
            <w:r w:rsidRPr="00A33714">
              <w:rPr>
                <w:rFonts w:hint="eastAsia"/>
                <w:sz w:val="16"/>
                <w:szCs w:val="16"/>
              </w:rPr>
              <w:t>3.565)</w:t>
            </w:r>
          </w:p>
        </w:tc>
        <w:tc>
          <w:tcPr>
            <w:tcW w:w="1276" w:type="dxa"/>
            <w:shd w:val="clear" w:color="auto" w:fill="FFFFFF"/>
          </w:tcPr>
          <w:p w14:paraId="496C7BB9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rFonts w:hint="eastAsia"/>
                <w:sz w:val="16"/>
                <w:szCs w:val="16"/>
              </w:rPr>
              <w:t>0.736</w:t>
            </w:r>
          </w:p>
        </w:tc>
        <w:tc>
          <w:tcPr>
            <w:tcW w:w="1134" w:type="dxa"/>
            <w:shd w:val="clear" w:color="auto" w:fill="FFFFFF"/>
          </w:tcPr>
          <w:p w14:paraId="61D33C0D" w14:textId="77777777" w:rsidR="00FA1CE6" w:rsidRPr="00A33714" w:rsidRDefault="00FA1CE6" w:rsidP="00EA4251">
            <w:pPr>
              <w:spacing w:after="100" w:afterAutospacing="1" w:line="276" w:lineRule="auto"/>
              <w:rPr>
                <w:sz w:val="16"/>
                <w:szCs w:val="16"/>
              </w:rPr>
            </w:pPr>
            <w:r w:rsidRPr="00A33714">
              <w:rPr>
                <w:sz w:val="16"/>
                <w:szCs w:val="16"/>
              </w:rPr>
              <w:t>0</w:t>
            </w:r>
            <w:r w:rsidRPr="00A33714">
              <w:rPr>
                <w:rFonts w:eastAsia="MingLiU"/>
                <w:sz w:val="16"/>
                <w:szCs w:val="16"/>
              </w:rPr>
              <w:t>.</w:t>
            </w:r>
            <w:r w:rsidRPr="00A33714">
              <w:rPr>
                <w:rFonts w:hint="eastAsia"/>
                <w:sz w:val="16"/>
                <w:szCs w:val="16"/>
              </w:rPr>
              <w:t>007</w:t>
            </w:r>
          </w:p>
        </w:tc>
      </w:tr>
    </w:tbl>
    <w:bookmarkEnd w:id="2"/>
    <w:bookmarkEnd w:id="3"/>
    <w:p w14:paraId="29692D0B" w14:textId="77777777" w:rsidR="00FA1CE6" w:rsidRDefault="00FA1CE6" w:rsidP="00FA1CE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2</w:t>
      </w:r>
      <w:r w:rsidRPr="004B14A4">
        <w:rPr>
          <w:rFonts w:ascii="Times New Roman" w:hAnsi="Times New Roman" w:cs="Times New Roman" w:hint="eastAsia"/>
          <w:b/>
          <w:bCs/>
          <w:sz w:val="21"/>
          <w:szCs w:val="21"/>
        </w:rPr>
        <w:t>. Clinically actionable framework for VA-AKI risk stratification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A1CE6" w14:paraId="4C2A7F43" w14:textId="77777777" w:rsidTr="00EA4251">
        <w:tc>
          <w:tcPr>
            <w:tcW w:w="2765" w:type="dxa"/>
            <w:vAlign w:val="center"/>
          </w:tcPr>
          <w:p w14:paraId="42F1D5B0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b/>
                <w:bCs/>
                <w:sz w:val="16"/>
                <w:szCs w:val="16"/>
              </w:rPr>
              <w:t>Risk domain</w:t>
            </w:r>
          </w:p>
        </w:tc>
        <w:tc>
          <w:tcPr>
            <w:tcW w:w="2765" w:type="dxa"/>
            <w:vAlign w:val="center"/>
          </w:tcPr>
          <w:p w14:paraId="529FA0D8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766" w:type="dxa"/>
            <w:vAlign w:val="center"/>
          </w:tcPr>
          <w:p w14:paraId="50EA6B7D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b/>
                <w:bCs/>
                <w:sz w:val="16"/>
                <w:szCs w:val="16"/>
              </w:rPr>
              <w:t>Clinical implication</w:t>
            </w:r>
          </w:p>
        </w:tc>
      </w:tr>
      <w:tr w:rsidR="00FA1CE6" w14:paraId="5A1EA230" w14:textId="77777777" w:rsidTr="00EA4251">
        <w:tc>
          <w:tcPr>
            <w:tcW w:w="2765" w:type="dxa"/>
            <w:vAlign w:val="center"/>
          </w:tcPr>
          <w:p w14:paraId="156119EA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Exposure-related</w:t>
            </w:r>
          </w:p>
        </w:tc>
        <w:tc>
          <w:tcPr>
            <w:tcW w:w="2765" w:type="dxa"/>
            <w:vAlign w:val="center"/>
          </w:tcPr>
          <w:p w14:paraId="492BE10D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Trough ≥15.9 mg/L</w:t>
            </w:r>
          </w:p>
        </w:tc>
        <w:tc>
          <w:tcPr>
            <w:tcW w:w="2766" w:type="dxa"/>
            <w:vAlign w:val="center"/>
          </w:tcPr>
          <w:p w14:paraId="33658EA8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Consider closer TDM review and renal monitoring</w:t>
            </w:r>
          </w:p>
        </w:tc>
      </w:tr>
      <w:tr w:rsidR="00FA1CE6" w14:paraId="4E6BD4F4" w14:textId="77777777" w:rsidTr="00EA4251">
        <w:tc>
          <w:tcPr>
            <w:tcW w:w="2765" w:type="dxa"/>
            <w:vAlign w:val="center"/>
          </w:tcPr>
          <w:p w14:paraId="6440FF80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Co-medication-related</w:t>
            </w:r>
          </w:p>
        </w:tc>
        <w:tc>
          <w:tcPr>
            <w:tcW w:w="2765" w:type="dxa"/>
            <w:vAlign w:val="center"/>
          </w:tcPr>
          <w:p w14:paraId="2C96B934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PTZ / contrast / cephalosporins</w:t>
            </w:r>
          </w:p>
        </w:tc>
        <w:tc>
          <w:tcPr>
            <w:tcW w:w="2766" w:type="dxa"/>
            <w:vAlign w:val="center"/>
          </w:tcPr>
          <w:p w14:paraId="2D4BC25A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Reassess need, timing, and cumulative nephrotoxic burden</w:t>
            </w:r>
          </w:p>
        </w:tc>
      </w:tr>
      <w:tr w:rsidR="00FA1CE6" w14:paraId="3BF25051" w14:textId="77777777" w:rsidTr="00EA4251">
        <w:tc>
          <w:tcPr>
            <w:tcW w:w="2765" w:type="dxa"/>
            <w:vAlign w:val="center"/>
          </w:tcPr>
          <w:p w14:paraId="19D581D0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Treatment course</w:t>
            </w:r>
          </w:p>
        </w:tc>
        <w:tc>
          <w:tcPr>
            <w:tcW w:w="2765" w:type="dxa"/>
            <w:vAlign w:val="center"/>
          </w:tcPr>
          <w:p w14:paraId="2EE1D4FE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Duration ≥14 days</w:t>
            </w:r>
          </w:p>
        </w:tc>
        <w:tc>
          <w:tcPr>
            <w:tcW w:w="2766" w:type="dxa"/>
            <w:vAlign w:val="center"/>
          </w:tcPr>
          <w:p w14:paraId="28B4D23E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Intensify ongoing surveillance</w:t>
            </w:r>
          </w:p>
        </w:tc>
      </w:tr>
      <w:tr w:rsidR="00FA1CE6" w14:paraId="6BD678A7" w14:textId="77777777" w:rsidTr="00EA4251">
        <w:tc>
          <w:tcPr>
            <w:tcW w:w="2765" w:type="dxa"/>
            <w:vAlign w:val="center"/>
          </w:tcPr>
          <w:p w14:paraId="5A000B51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Patient vulnerability</w:t>
            </w:r>
          </w:p>
        </w:tc>
        <w:tc>
          <w:tcPr>
            <w:tcW w:w="2765" w:type="dxa"/>
            <w:vAlign w:val="center"/>
          </w:tcPr>
          <w:p w14:paraId="4EBEFEBD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Critical illness / eGFR&lt;90 / cardiac dysfunction</w:t>
            </w:r>
          </w:p>
        </w:tc>
        <w:tc>
          <w:tcPr>
            <w:tcW w:w="2766" w:type="dxa"/>
            <w:vAlign w:val="center"/>
          </w:tcPr>
          <w:p w14:paraId="103F6A1C" w14:textId="77777777" w:rsidR="00FA1CE6" w:rsidRPr="004B14A4" w:rsidRDefault="00FA1CE6" w:rsidP="00EA4251">
            <w:pPr>
              <w:spacing w:before="100" w:beforeAutospacing="1" w:after="100" w:afterAutospacing="1" w:line="276" w:lineRule="auto"/>
              <w:rPr>
                <w:b/>
                <w:bCs/>
                <w:sz w:val="16"/>
                <w:szCs w:val="16"/>
              </w:rPr>
            </w:pPr>
            <w:r w:rsidRPr="004B14A4">
              <w:rPr>
                <w:sz w:val="16"/>
                <w:szCs w:val="16"/>
              </w:rPr>
              <w:t>Start early and more frequent monitoring</w:t>
            </w:r>
          </w:p>
        </w:tc>
      </w:tr>
    </w:tbl>
    <w:p w14:paraId="1DDF9F9F" w14:textId="77777777" w:rsidR="00FA1CE6" w:rsidRDefault="00FA1CE6" w:rsidP="00FA1CE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A80CA4B" w14:textId="77777777" w:rsidR="00EB7236" w:rsidRDefault="00EB7236" w:rsidP="00FA1CE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AC3F47F" w14:textId="77777777" w:rsidR="00EB7236" w:rsidRDefault="00EB7236" w:rsidP="00FA1CE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2BE0BD67" w14:textId="77777777" w:rsidR="00EB7236" w:rsidRPr="00F01870" w:rsidRDefault="00EB7236" w:rsidP="00EB723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B7236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Figures</w:t>
      </w:r>
    </w:p>
    <w:p w14:paraId="13F22EFF" w14:textId="662E453C" w:rsidR="00EB7236" w:rsidRDefault="00FF5728" w:rsidP="00FF5728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 w:hint="eastAsia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5B492127" wp14:editId="63FD7493">
            <wp:extent cx="2838450" cy="2619375"/>
            <wp:effectExtent l="0" t="0" r="0" b="9525"/>
            <wp:docPr id="2007134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377B0" w14:textId="77777777" w:rsidR="00EB7236" w:rsidRPr="00A33714" w:rsidRDefault="00EB7236" w:rsidP="00EB723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bookmarkStart w:id="6" w:name="OLE_LINK53"/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Supplementary</w:t>
      </w:r>
      <w:r w:rsidRPr="00A33714">
        <w:rPr>
          <w:rFonts w:ascii="Times New Roman" w:hAnsi="Times New Roman" w:cs="Times New Roman"/>
          <w:b/>
          <w:bCs/>
        </w:rPr>
        <w:t xml:space="preserve"> Fig</w:t>
      </w:r>
      <w:bookmarkEnd w:id="6"/>
      <w:r w:rsidRPr="00A33714">
        <w:rPr>
          <w:rFonts w:ascii="Times New Roman" w:hAnsi="Times New Roman" w:cs="Times New Roman"/>
          <w:b/>
          <w:bCs/>
        </w:rPr>
        <w:t xml:space="preserve">. </w:t>
      </w:r>
      <w:r w:rsidRPr="00A33714">
        <w:rPr>
          <w:rFonts w:ascii="Times New Roman" w:hAnsi="Times New Roman" w:cs="Times New Roman" w:hint="eastAsia"/>
          <w:b/>
          <w:bCs/>
        </w:rPr>
        <w:t>1</w:t>
      </w:r>
      <w:r w:rsidRPr="00A33714">
        <w:rPr>
          <w:rFonts w:ascii="Times New Roman" w:hAnsi="Times New Roman" w:cs="Times New Roman"/>
          <w:b/>
          <w:bCs/>
        </w:rPr>
        <w:t>. ROC Curve Analysis of Vancomycin Trough Concentration for VA-AKI Prediction.</w:t>
      </w:r>
    </w:p>
    <w:p w14:paraId="21B355E9" w14:textId="77777777" w:rsidR="00EB7236" w:rsidRDefault="00EB7236" w:rsidP="00EB7236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3714">
        <w:rPr>
          <w:rFonts w:ascii="Times New Roman" w:hAnsi="Times New Roman" w:cs="Times New Roman" w:hint="eastAsia"/>
          <w:sz w:val="16"/>
          <w:szCs w:val="16"/>
        </w:rPr>
        <w:t>Legend</w:t>
      </w:r>
      <w:r w:rsidRPr="00A33714">
        <w:rPr>
          <w:rFonts w:ascii="Times New Roman" w:hAnsi="Times New Roman" w:cs="Times New Roman"/>
          <w:sz w:val="16"/>
          <w:szCs w:val="16"/>
        </w:rPr>
        <w:t xml:space="preserve">: 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The ROC curve demonstrated the predictive performance of </w:t>
      </w:r>
      <w:r w:rsidRPr="00A33714">
        <w:rPr>
          <w:rFonts w:ascii="Times New Roman" w:hAnsi="Times New Roman" w:cs="Times New Roman"/>
          <w:sz w:val="16"/>
          <w:szCs w:val="16"/>
        </w:rPr>
        <w:t xml:space="preserve">the </w:t>
      </w:r>
      <w:r w:rsidRPr="00A33714">
        <w:rPr>
          <w:rFonts w:ascii="Times New Roman" w:hAnsi="Times New Roman" w:cs="Times New Roman" w:hint="eastAsia"/>
          <w:sz w:val="16"/>
          <w:szCs w:val="16"/>
        </w:rPr>
        <w:t>first vancomycin trough concentration for VA-AKI development. The area under the curve (AUC) was 0.643 (95% CI: 0.615</w:t>
      </w:r>
      <w:r w:rsidRPr="00A33714">
        <w:rPr>
          <w:rFonts w:ascii="Times New Roman" w:hAnsi="Times New Roman" w:cs="Times New Roman"/>
          <w:sz w:val="16"/>
          <w:szCs w:val="16"/>
        </w:rPr>
        <w:t>–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0.670, </w:t>
      </w:r>
      <w:r w:rsidRPr="00A33714">
        <w:rPr>
          <w:rFonts w:ascii="Times New Roman" w:hAnsi="Times New Roman" w:cs="Times New Roman" w:hint="eastAsia"/>
          <w:i/>
          <w:iCs/>
          <w:sz w:val="16"/>
          <w:szCs w:val="16"/>
        </w:rPr>
        <w:t>P &lt;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0.001). The optimal cutoff value determined by Youden's index was 15.935 mg/L.</w:t>
      </w:r>
    </w:p>
    <w:p w14:paraId="10ECC83D" w14:textId="0958EB7E" w:rsidR="00FF5728" w:rsidRPr="00A33714" w:rsidRDefault="00FF5728" w:rsidP="00EB7236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A2103E4" wp14:editId="4E09AB4C">
            <wp:extent cx="5274310" cy="7032625"/>
            <wp:effectExtent l="0" t="0" r="2540" b="0"/>
            <wp:docPr id="18672908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7D3E" w14:textId="77777777" w:rsidR="00EB7236" w:rsidRPr="00A33714" w:rsidRDefault="00EB7236" w:rsidP="00EB7236">
      <w:pPr>
        <w:spacing w:line="276" w:lineRule="auto"/>
        <w:rPr>
          <w:rFonts w:ascii="Times New Roman" w:eastAsia="等线" w:hAnsi="Times New Roman" w:cs="Times New Roman"/>
          <w:b/>
          <w:bCs/>
          <w:sz w:val="21"/>
          <w:szCs w:val="22"/>
          <w14:ligatures w14:val="none"/>
        </w:rPr>
      </w:pPr>
      <w:bookmarkStart w:id="7" w:name="OLE_LINK46"/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>Supplementary Fig</w:t>
      </w:r>
      <w:r w:rsidRPr="00A3371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A3371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2. Feature selection and coefficient paths in LASSO regression.</w:t>
      </w:r>
    </w:p>
    <w:bookmarkEnd w:id="7"/>
    <w:p w14:paraId="5318BD2A" w14:textId="77777777" w:rsidR="00EB7236" w:rsidRPr="009E3132" w:rsidRDefault="00EB7236" w:rsidP="00EB7236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3714">
        <w:rPr>
          <w:rFonts w:ascii="Times New Roman" w:hAnsi="Times New Roman" w:cs="Times New Roman" w:hint="eastAsia"/>
          <w:sz w:val="16"/>
          <w:szCs w:val="16"/>
        </w:rPr>
        <w:t xml:space="preserve">Legend: The </w:t>
      </w:r>
      <w:r w:rsidRPr="00A33714">
        <w:rPr>
          <w:rFonts w:ascii="Times New Roman" w:hAnsi="Times New Roman" w:cs="Times New Roman"/>
          <w:sz w:val="16"/>
          <w:szCs w:val="16"/>
        </w:rPr>
        <w:t>f</w:t>
      </w:r>
      <w:r w:rsidRPr="00A33714">
        <w:rPr>
          <w:rFonts w:ascii="Times New Roman" w:hAnsi="Times New Roman" w:cs="Times New Roman" w:hint="eastAsia"/>
          <w:sz w:val="16"/>
          <w:szCs w:val="16"/>
        </w:rPr>
        <w:t>ig</w:t>
      </w:r>
      <w:r w:rsidRPr="00A33714">
        <w:rPr>
          <w:rFonts w:ascii="Times New Roman" w:hAnsi="Times New Roman" w:cs="Times New Roman"/>
          <w:sz w:val="16"/>
          <w:szCs w:val="16"/>
        </w:rPr>
        <w:t>ure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illustrates the LASSO regression analysis used for feature selection and model validation. (A) LASSO coefficient paths: The trajectories of regression coefficients for all candidate variables as a function of the L1 regularization parameter (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). Each colored line represents a specific predictor variable. As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increases (moving left to right on the x-axis), coefficients are progressively shrunk toward zero, with less important variables being eliminated first. Variables that maintain non-zero coefficients across a wide range of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values demonstrate greater robustness and predictive importance for VA-AKI. (B) </w:t>
      </w:r>
      <w:r w:rsidRPr="00A33714">
        <w:rPr>
          <w:rFonts w:ascii="Times New Roman" w:hAnsi="Times New Roman" w:cs="Times New Roman" w:hint="eastAsia"/>
          <w:sz w:val="16"/>
          <w:szCs w:val="16"/>
        </w:rPr>
        <w:lastRenderedPageBreak/>
        <w:t xml:space="preserve">Cross-validation curve: The plot </w:t>
      </w:r>
      <w:r w:rsidRPr="00A33714">
        <w:rPr>
          <w:rFonts w:ascii="Times New Roman" w:hAnsi="Times New Roman" w:cs="Times New Roman"/>
          <w:sz w:val="16"/>
          <w:szCs w:val="16"/>
        </w:rPr>
        <w:t>illustrates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the mean cross-validated deviance (or prediction error) as a function of log(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), determined by 10-fold cross-validation. The vertical dashed lines indicate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.min (the value that minimizes the cross-validation error) and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.1se (the largest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value within one standard error of the minimum). The optimal model was selected using </w:t>
      </w:r>
      <w:r w:rsidRPr="00A33714">
        <w:rPr>
          <w:rFonts w:ascii="Times New Roman" w:hAnsi="Times New Roman" w:cs="Times New Roman" w:hint="eastAsia"/>
          <w:sz w:val="16"/>
          <w:szCs w:val="16"/>
        </w:rPr>
        <w:t>λ</w:t>
      </w:r>
      <w:r w:rsidRPr="00A33714">
        <w:rPr>
          <w:rFonts w:ascii="Times New Roman" w:hAnsi="Times New Roman" w:cs="Times New Roman" w:hint="eastAsia"/>
          <w:sz w:val="16"/>
          <w:szCs w:val="16"/>
        </w:rPr>
        <w:t>.min to balance model complexity and predictive performance. (C) Key variables identified by LASSO regression</w:t>
      </w:r>
      <w:r w:rsidRPr="00A33714">
        <w:rPr>
          <w:rFonts w:ascii="Times New Roman" w:hAnsi="Times New Roman" w:cs="Times New Roman" w:hint="eastAsia"/>
          <w:sz w:val="16"/>
          <w:szCs w:val="16"/>
        </w:rPr>
        <w:t>—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including vancomycin trough concentration </w:t>
      </w:r>
      <w:r w:rsidRPr="00A33714">
        <w:rPr>
          <w:rFonts w:ascii="Times New Roman" w:hAnsi="Times New Roman" w:cs="Times New Roman"/>
          <w:sz w:val="16"/>
          <w:szCs w:val="16"/>
        </w:rPr>
        <w:t xml:space="preserve">≥ 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15.935 mg/L, treatment duration </w:t>
      </w:r>
      <w:r w:rsidRPr="00A33714">
        <w:rPr>
          <w:rFonts w:ascii="Times New Roman" w:hAnsi="Times New Roman" w:cs="Times New Roman"/>
          <w:sz w:val="16"/>
          <w:szCs w:val="16"/>
        </w:rPr>
        <w:t xml:space="preserve">≥ </w:t>
      </w:r>
      <w:r w:rsidRPr="00A33714">
        <w:rPr>
          <w:rFonts w:ascii="Times New Roman" w:hAnsi="Times New Roman" w:cs="Times New Roman" w:hint="eastAsia"/>
          <w:sz w:val="16"/>
          <w:szCs w:val="16"/>
        </w:rPr>
        <w:t>14 days, critical illness, cardiac dysfunction, and concomitant nephrotoxic medications (cephalosporins, piperacillin-tazobactam, contrast media)</w:t>
      </w:r>
      <w:r w:rsidRPr="00A33714">
        <w:rPr>
          <w:rFonts w:ascii="Times New Roman" w:hAnsi="Times New Roman" w:cs="Times New Roman" w:hint="eastAsia"/>
          <w:sz w:val="16"/>
          <w:szCs w:val="16"/>
        </w:rPr>
        <w:t>—</w:t>
      </w:r>
      <w:r w:rsidRPr="00A33714">
        <w:rPr>
          <w:rFonts w:ascii="Times New Roman" w:hAnsi="Times New Roman" w:cs="Times New Roman"/>
          <w:sz w:val="16"/>
          <w:szCs w:val="16"/>
        </w:rPr>
        <w:t>exhibited</w:t>
      </w:r>
      <w:r w:rsidRPr="00A33714">
        <w:rPr>
          <w:rFonts w:ascii="Times New Roman" w:hAnsi="Times New Roman" w:cs="Times New Roman" w:hint="eastAsia"/>
          <w:sz w:val="16"/>
          <w:szCs w:val="16"/>
        </w:rPr>
        <w:t xml:space="preserve"> consistent non-zero coefficients, validating the variable selection from the backward stepwise logistic regression model and confirming their independent association with VA-AKI risk.</w:t>
      </w:r>
    </w:p>
    <w:p w14:paraId="26FB6178" w14:textId="77777777" w:rsidR="00FA1CE6" w:rsidRPr="00EB7236" w:rsidRDefault="00FA1CE6" w:rsidP="00FA1CE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1DC072A9" w14:textId="77777777" w:rsidR="00A54D30" w:rsidRPr="00FA1CE6" w:rsidRDefault="00A54D30"/>
    <w:sectPr w:rsidR="00A54D30" w:rsidRPr="00FA1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07F0" w14:textId="77777777" w:rsidR="00000E93" w:rsidRDefault="00000E93" w:rsidP="00FA1CE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167BEF" w14:textId="77777777" w:rsidR="00000E93" w:rsidRDefault="00000E93" w:rsidP="00FA1CE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1149" w14:textId="77777777" w:rsidR="00000E93" w:rsidRDefault="00000E93" w:rsidP="00FA1CE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3FDCDF" w14:textId="77777777" w:rsidR="00000E93" w:rsidRDefault="00000E93" w:rsidP="00FA1CE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30"/>
    <w:rsid w:val="00000E93"/>
    <w:rsid w:val="00A54D30"/>
    <w:rsid w:val="00E72BB9"/>
    <w:rsid w:val="00EB7236"/>
    <w:rsid w:val="00FA1CE6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C0E13"/>
  <w15:chartTrackingRefBased/>
  <w15:docId w15:val="{FB3337D7-3A1A-4EC3-963A-6CBD158F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CE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4D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D3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D3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D3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D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D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D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D3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4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4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4D3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4D3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54D3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4D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4D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4D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4D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5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D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54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54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4D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4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54D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4D3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1CE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1CE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1CE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1CE6"/>
    <w:rPr>
      <w:sz w:val="18"/>
      <w:szCs w:val="18"/>
    </w:rPr>
  </w:style>
  <w:style w:type="table" w:styleId="af2">
    <w:name w:val="Table Grid"/>
    <w:basedOn w:val="a1"/>
    <w:qFormat/>
    <w:rsid w:val="00FA1CE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495</Words>
  <Characters>3028</Characters>
  <Application>Microsoft Office Word</Application>
  <DocSecurity>0</DocSecurity>
  <Lines>42</Lines>
  <Paragraphs>9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chen</dc:creator>
  <cp:keywords/>
  <dc:description/>
  <cp:lastModifiedBy>shu chen</cp:lastModifiedBy>
  <cp:revision>4</cp:revision>
  <dcterms:created xsi:type="dcterms:W3CDTF">2026-06-17T06:41:00Z</dcterms:created>
  <dcterms:modified xsi:type="dcterms:W3CDTF">2026-06-17T06:45:00Z</dcterms:modified>
</cp:coreProperties>
</file>