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942A" w14:textId="2A673FD8" w:rsidR="00EB7236" w:rsidRDefault="00EB7236" w:rsidP="00FA1CE6">
      <w:pPr>
        <w:spacing w:before="100" w:beforeAutospacing="1"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OLE_LINK6"/>
      <w:bookmarkStart w:id="1" w:name="OLE_LINK1"/>
      <w:r w:rsidRPr="00A33714">
        <w:rPr>
          <w:rFonts w:ascii="Times New Roman" w:hAnsi="Times New Roman" w:cs="Times New Roman" w:hint="eastAsia"/>
          <w:b/>
          <w:bCs/>
          <w:sz w:val="21"/>
          <w:szCs w:val="21"/>
        </w:rPr>
        <w:t>Supplementary Table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s</w:t>
      </w:r>
    </w:p>
    <w:p w14:paraId="09407F48" w14:textId="544E145A" w:rsidR="00FA1CE6" w:rsidRPr="00A33714" w:rsidRDefault="00FA1CE6" w:rsidP="00FA1CE6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33714">
        <w:rPr>
          <w:rFonts w:ascii="Times New Roman" w:hAnsi="Times New Roman" w:cs="Times New Roman" w:hint="eastAsia"/>
          <w:b/>
          <w:bCs/>
          <w:sz w:val="21"/>
          <w:szCs w:val="21"/>
        </w:rPr>
        <w:t>Supplementary Table 1</w:t>
      </w:r>
      <w:bookmarkEnd w:id="0"/>
      <w:r w:rsidRPr="00A33714">
        <w:rPr>
          <w:rFonts w:ascii="Times New Roman" w:hAnsi="Times New Roman" w:cs="Times New Roman" w:hint="eastAsia"/>
          <w:b/>
          <w:bCs/>
          <w:sz w:val="21"/>
          <w:szCs w:val="21"/>
        </w:rPr>
        <w:t>.</w:t>
      </w:r>
      <w:r w:rsidRPr="00A33714">
        <w:rPr>
          <w:rFonts w:ascii="Times New Roman" w:hAnsi="Times New Roman" w:cs="Times New Roman" w:hint="eastAsia"/>
          <w:sz w:val="21"/>
          <w:szCs w:val="21"/>
        </w:rPr>
        <w:t xml:space="preserve"> </w:t>
      </w:r>
      <w:bookmarkEnd w:id="1"/>
      <w:r w:rsidRPr="00A33714">
        <w:rPr>
          <w:rFonts w:ascii="Times New Roman" w:hAnsi="Times New Roman" w:cs="Times New Roman" w:hint="eastAsia"/>
          <w:sz w:val="21"/>
          <w:szCs w:val="21"/>
        </w:rPr>
        <w:t>AKI Risk with a Univariate Analysis.</w:t>
      </w:r>
      <w:r w:rsidRPr="00A33714">
        <w:rPr>
          <w:rFonts w:ascii="Times New Roman" w:hAnsi="Times New Roman" w:cs="Times New Roman"/>
          <w:sz w:val="21"/>
          <w:szCs w:val="21"/>
        </w:rPr>
        <w:t xml:space="preserve"> </w:t>
      </w:r>
    </w:p>
    <w:tbl>
      <w:tblPr>
        <w:tblStyle w:val="af2"/>
        <w:tblW w:w="6809" w:type="dxa"/>
        <w:jc w:val="center"/>
        <w:tblLook w:val="04A0" w:firstRow="1" w:lastRow="0" w:firstColumn="1" w:lastColumn="0" w:noHBand="0" w:noVBand="1"/>
      </w:tblPr>
      <w:tblGrid>
        <w:gridCol w:w="2273"/>
        <w:gridCol w:w="2126"/>
        <w:gridCol w:w="1276"/>
        <w:gridCol w:w="1134"/>
      </w:tblGrid>
      <w:tr w:rsidR="00FA1CE6" w:rsidRPr="00A33714" w14:paraId="5DED947E" w14:textId="77777777" w:rsidTr="00EA4251">
        <w:trPr>
          <w:jc w:val="center"/>
        </w:trPr>
        <w:tc>
          <w:tcPr>
            <w:tcW w:w="2273" w:type="dxa"/>
          </w:tcPr>
          <w:p w14:paraId="0A5F9B77" w14:textId="77777777" w:rsidR="00FA1CE6" w:rsidRPr="00A33714" w:rsidRDefault="00FA1CE6" w:rsidP="00EA4251">
            <w:pPr>
              <w:spacing w:after="100" w:afterAutospacing="1" w:line="276" w:lineRule="auto"/>
              <w:rPr>
                <w:b/>
                <w:bCs/>
                <w:sz w:val="16"/>
                <w:szCs w:val="16"/>
              </w:rPr>
            </w:pPr>
            <w:bookmarkStart w:id="2" w:name="_Hlk216020282"/>
            <w:r w:rsidRPr="00A33714">
              <w:rPr>
                <w:b/>
                <w:bCs/>
                <w:sz w:val="16"/>
                <w:szCs w:val="16"/>
              </w:rPr>
              <w:t>Variables</w:t>
            </w:r>
          </w:p>
        </w:tc>
        <w:tc>
          <w:tcPr>
            <w:tcW w:w="2126" w:type="dxa"/>
          </w:tcPr>
          <w:p w14:paraId="10DBE173" w14:textId="77777777" w:rsidR="00FA1CE6" w:rsidRPr="00A33714" w:rsidRDefault="00FA1CE6" w:rsidP="00EA4251">
            <w:pPr>
              <w:spacing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A33714">
              <w:rPr>
                <w:b/>
                <w:bCs/>
                <w:sz w:val="16"/>
                <w:szCs w:val="16"/>
              </w:rPr>
              <w:t>OR (95% CI)</w:t>
            </w:r>
          </w:p>
        </w:tc>
        <w:tc>
          <w:tcPr>
            <w:tcW w:w="1276" w:type="dxa"/>
          </w:tcPr>
          <w:p w14:paraId="5E64BB9D" w14:textId="77777777" w:rsidR="00FA1CE6" w:rsidRPr="00A33714" w:rsidRDefault="00FA1CE6" w:rsidP="00EA4251">
            <w:pPr>
              <w:spacing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A33714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597E50C6" w14:textId="77777777" w:rsidR="00FA1CE6" w:rsidRPr="00A33714" w:rsidRDefault="00FA1CE6" w:rsidP="00EA4251">
            <w:pPr>
              <w:spacing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A33714">
              <w:rPr>
                <w:b/>
                <w:bCs/>
                <w:i/>
                <w:iCs/>
                <w:sz w:val="16"/>
                <w:szCs w:val="16"/>
              </w:rPr>
              <w:t>p</w:t>
            </w:r>
            <w:r w:rsidRPr="00A33714">
              <w:rPr>
                <w:b/>
                <w:bCs/>
                <w:sz w:val="16"/>
                <w:szCs w:val="16"/>
              </w:rPr>
              <w:t>-Value</w:t>
            </w:r>
          </w:p>
        </w:tc>
      </w:tr>
      <w:tr w:rsidR="00FA1CE6" w:rsidRPr="00A33714" w14:paraId="4E67D6F9" w14:textId="77777777" w:rsidTr="00EA4251">
        <w:trPr>
          <w:jc w:val="center"/>
        </w:trPr>
        <w:tc>
          <w:tcPr>
            <w:tcW w:w="2273" w:type="dxa"/>
          </w:tcPr>
          <w:p w14:paraId="7E669A6F" w14:textId="77777777" w:rsidR="00FA1CE6" w:rsidRPr="00A33714" w:rsidRDefault="00FA1CE6" w:rsidP="00EA4251">
            <w:pPr>
              <w:spacing w:after="100" w:afterAutospacing="1" w:line="276" w:lineRule="auto"/>
              <w:rPr>
                <w:rFonts w:eastAsia="MingLiU"/>
                <w:sz w:val="16"/>
                <w:szCs w:val="16"/>
              </w:rPr>
            </w:pPr>
            <w:bookmarkStart w:id="3" w:name="_Hlk216345165"/>
            <w:r w:rsidRPr="00A33714">
              <w:rPr>
                <w:rFonts w:hint="eastAsia"/>
                <w:sz w:val="16"/>
                <w:szCs w:val="16"/>
              </w:rPr>
              <w:t>Age</w:t>
            </w:r>
          </w:p>
        </w:tc>
        <w:tc>
          <w:tcPr>
            <w:tcW w:w="2126" w:type="dxa"/>
            <w:shd w:val="clear" w:color="auto" w:fill="FFFFFF"/>
          </w:tcPr>
          <w:p w14:paraId="413F8D69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eastAsia="MingLiU"/>
                <w:sz w:val="16"/>
                <w:szCs w:val="16"/>
              </w:rPr>
              <w:t>1.00</w:t>
            </w:r>
            <w:r w:rsidRPr="00A33714">
              <w:rPr>
                <w:rFonts w:hint="eastAsia"/>
                <w:sz w:val="16"/>
                <w:szCs w:val="16"/>
              </w:rPr>
              <w:t xml:space="preserve">1 </w:t>
            </w:r>
            <w:r w:rsidRPr="00A33714">
              <w:rPr>
                <w:sz w:val="16"/>
                <w:szCs w:val="16"/>
              </w:rPr>
              <w:t>(0.99</w:t>
            </w:r>
            <w:r w:rsidRPr="00A33714">
              <w:rPr>
                <w:rFonts w:hint="eastAsia"/>
                <w:sz w:val="16"/>
                <w:szCs w:val="16"/>
              </w:rPr>
              <w:t>5</w:t>
            </w:r>
            <w:r w:rsidRPr="00A33714">
              <w:rPr>
                <w:sz w:val="16"/>
                <w:szCs w:val="16"/>
              </w:rPr>
              <w:t>–1.0</w:t>
            </w:r>
            <w:r w:rsidRPr="00A33714">
              <w:rPr>
                <w:rFonts w:hint="eastAsia"/>
                <w:sz w:val="16"/>
                <w:szCs w:val="16"/>
              </w:rPr>
              <w:t>08</w:t>
            </w:r>
            <w:r w:rsidRPr="00A33714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3E20BD00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0</w:t>
            </w:r>
            <w:r w:rsidRPr="00A33714">
              <w:rPr>
                <w:rFonts w:eastAsia="MingLiU"/>
                <w:sz w:val="16"/>
                <w:szCs w:val="16"/>
              </w:rPr>
              <w:t>.00</w:t>
            </w:r>
            <w:r w:rsidRPr="00A33714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08FF8A43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0</w:t>
            </w:r>
            <w:r w:rsidRPr="00A33714">
              <w:rPr>
                <w:rFonts w:eastAsia="MingLiU"/>
                <w:sz w:val="16"/>
                <w:szCs w:val="16"/>
              </w:rPr>
              <w:t>.</w:t>
            </w:r>
            <w:r w:rsidRPr="00A33714">
              <w:rPr>
                <w:rFonts w:hint="eastAsia"/>
                <w:sz w:val="16"/>
                <w:szCs w:val="16"/>
              </w:rPr>
              <w:t>672</w:t>
            </w:r>
          </w:p>
        </w:tc>
      </w:tr>
      <w:tr w:rsidR="00FA1CE6" w:rsidRPr="00A33714" w14:paraId="0F869AC0" w14:textId="77777777" w:rsidTr="00EA4251">
        <w:trPr>
          <w:jc w:val="center"/>
        </w:trPr>
        <w:tc>
          <w:tcPr>
            <w:tcW w:w="2273" w:type="dxa"/>
          </w:tcPr>
          <w:p w14:paraId="00AEF5DD" w14:textId="77777777" w:rsidR="00FA1CE6" w:rsidRPr="00A33714" w:rsidRDefault="00FA1CE6" w:rsidP="00EA4251">
            <w:pPr>
              <w:spacing w:after="100" w:afterAutospacing="1" w:line="276" w:lineRule="auto"/>
              <w:rPr>
                <w:rFonts w:eastAsia="MingLiU"/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Gender</w:t>
            </w:r>
          </w:p>
        </w:tc>
        <w:tc>
          <w:tcPr>
            <w:tcW w:w="2126" w:type="dxa"/>
            <w:shd w:val="clear" w:color="auto" w:fill="FFFFFF"/>
          </w:tcPr>
          <w:p w14:paraId="531AC5DF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0</w:t>
            </w:r>
            <w:r w:rsidRPr="00A33714">
              <w:rPr>
                <w:rFonts w:eastAsia="MingLiU"/>
                <w:sz w:val="16"/>
                <w:szCs w:val="16"/>
              </w:rPr>
              <w:t>.8</w:t>
            </w:r>
            <w:r w:rsidRPr="00A33714">
              <w:rPr>
                <w:rFonts w:hint="eastAsia"/>
                <w:sz w:val="16"/>
                <w:szCs w:val="16"/>
              </w:rPr>
              <w:t xml:space="preserve">27 </w:t>
            </w:r>
            <w:r w:rsidRPr="00A33714">
              <w:rPr>
                <w:sz w:val="16"/>
                <w:szCs w:val="16"/>
              </w:rPr>
              <w:t>(0.6</w:t>
            </w:r>
            <w:r w:rsidRPr="00A33714">
              <w:rPr>
                <w:rFonts w:hint="eastAsia"/>
                <w:sz w:val="16"/>
                <w:szCs w:val="16"/>
              </w:rPr>
              <w:t>69</w:t>
            </w:r>
            <w:r w:rsidRPr="00A33714">
              <w:rPr>
                <w:sz w:val="16"/>
                <w:szCs w:val="16"/>
              </w:rPr>
              <w:t>–1.</w:t>
            </w:r>
            <w:r w:rsidRPr="00A33714">
              <w:rPr>
                <w:rFonts w:hint="eastAsia"/>
                <w:sz w:val="16"/>
                <w:szCs w:val="16"/>
              </w:rPr>
              <w:t>022</w:t>
            </w:r>
            <w:r w:rsidRPr="00A33714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4525EAC2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–0</w:t>
            </w:r>
            <w:r w:rsidRPr="00A33714">
              <w:rPr>
                <w:rFonts w:eastAsia="MingLiU"/>
                <w:sz w:val="16"/>
                <w:szCs w:val="16"/>
              </w:rPr>
              <w:t>.</w:t>
            </w:r>
            <w:r w:rsidRPr="00A33714">
              <w:rPr>
                <w:rFonts w:hint="eastAsia"/>
                <w:sz w:val="16"/>
                <w:szCs w:val="16"/>
              </w:rPr>
              <w:t>190</w:t>
            </w:r>
          </w:p>
        </w:tc>
        <w:tc>
          <w:tcPr>
            <w:tcW w:w="1134" w:type="dxa"/>
            <w:shd w:val="clear" w:color="auto" w:fill="FFFFFF"/>
          </w:tcPr>
          <w:p w14:paraId="5AABE53F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0</w:t>
            </w:r>
            <w:r w:rsidRPr="00A33714">
              <w:rPr>
                <w:rFonts w:eastAsia="MingLiU"/>
                <w:sz w:val="16"/>
                <w:szCs w:val="16"/>
              </w:rPr>
              <w:t>.</w:t>
            </w:r>
            <w:r w:rsidRPr="00A33714">
              <w:rPr>
                <w:rFonts w:hint="eastAsia"/>
                <w:sz w:val="16"/>
                <w:szCs w:val="16"/>
              </w:rPr>
              <w:t>827</w:t>
            </w:r>
          </w:p>
        </w:tc>
      </w:tr>
      <w:tr w:rsidR="00FA1CE6" w:rsidRPr="00A33714" w14:paraId="67854B77" w14:textId="77777777" w:rsidTr="00EA4251">
        <w:trPr>
          <w:jc w:val="center"/>
        </w:trPr>
        <w:tc>
          <w:tcPr>
            <w:tcW w:w="2273" w:type="dxa"/>
          </w:tcPr>
          <w:p w14:paraId="39EB6AB4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Diabetes Mellitus</w:t>
            </w:r>
          </w:p>
        </w:tc>
        <w:tc>
          <w:tcPr>
            <w:tcW w:w="2126" w:type="dxa"/>
            <w:shd w:val="clear" w:color="auto" w:fill="FFFFFF"/>
          </w:tcPr>
          <w:p w14:paraId="176942A6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0.764 (0.558</w:t>
            </w:r>
            <w:r w:rsidRPr="00A33714">
              <w:rPr>
                <w:sz w:val="16"/>
                <w:szCs w:val="16"/>
              </w:rPr>
              <w:t>–</w:t>
            </w:r>
            <w:r w:rsidRPr="00A33714">
              <w:rPr>
                <w:rFonts w:hint="eastAsia"/>
                <w:sz w:val="16"/>
                <w:szCs w:val="16"/>
              </w:rPr>
              <w:t>1.045)</w:t>
            </w:r>
          </w:p>
        </w:tc>
        <w:tc>
          <w:tcPr>
            <w:tcW w:w="1276" w:type="dxa"/>
            <w:shd w:val="clear" w:color="auto" w:fill="FFFFFF"/>
          </w:tcPr>
          <w:p w14:paraId="3C2EAA2E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–</w:t>
            </w:r>
            <w:r w:rsidRPr="00A33714">
              <w:rPr>
                <w:rFonts w:hint="eastAsia"/>
                <w:sz w:val="16"/>
                <w:szCs w:val="16"/>
              </w:rPr>
              <w:t>0.270</w:t>
            </w:r>
          </w:p>
        </w:tc>
        <w:tc>
          <w:tcPr>
            <w:tcW w:w="1134" w:type="dxa"/>
            <w:shd w:val="clear" w:color="auto" w:fill="FFFFFF"/>
          </w:tcPr>
          <w:p w14:paraId="65437250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0.092</w:t>
            </w:r>
          </w:p>
        </w:tc>
      </w:tr>
      <w:tr w:rsidR="00FA1CE6" w:rsidRPr="00A33714" w14:paraId="10445C74" w14:textId="77777777" w:rsidTr="00EA4251">
        <w:trPr>
          <w:jc w:val="center"/>
        </w:trPr>
        <w:tc>
          <w:tcPr>
            <w:tcW w:w="2273" w:type="dxa"/>
          </w:tcPr>
          <w:p w14:paraId="7FACFD5A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Hyperuricemia</w:t>
            </w:r>
          </w:p>
        </w:tc>
        <w:tc>
          <w:tcPr>
            <w:tcW w:w="2126" w:type="dxa"/>
            <w:shd w:val="clear" w:color="auto" w:fill="FFFFFF"/>
          </w:tcPr>
          <w:p w14:paraId="2A805FD4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1.387 (1.041</w:t>
            </w:r>
            <w:r w:rsidRPr="00A33714">
              <w:rPr>
                <w:sz w:val="16"/>
                <w:szCs w:val="16"/>
              </w:rPr>
              <w:t>–</w:t>
            </w:r>
            <w:r w:rsidRPr="00A33714">
              <w:rPr>
                <w:rFonts w:hint="eastAsia"/>
                <w:sz w:val="16"/>
                <w:szCs w:val="16"/>
              </w:rPr>
              <w:t>1.847)</w:t>
            </w:r>
          </w:p>
        </w:tc>
        <w:tc>
          <w:tcPr>
            <w:tcW w:w="1276" w:type="dxa"/>
            <w:shd w:val="clear" w:color="auto" w:fill="FFFFFF"/>
          </w:tcPr>
          <w:p w14:paraId="19E924DB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0.327</w:t>
            </w:r>
          </w:p>
        </w:tc>
        <w:tc>
          <w:tcPr>
            <w:tcW w:w="1134" w:type="dxa"/>
            <w:shd w:val="clear" w:color="auto" w:fill="FFFFFF"/>
          </w:tcPr>
          <w:p w14:paraId="20379B0F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0.025</w:t>
            </w:r>
          </w:p>
        </w:tc>
      </w:tr>
      <w:tr w:rsidR="00FA1CE6" w:rsidRPr="00A33714" w14:paraId="26758E5F" w14:textId="77777777" w:rsidTr="00EA4251">
        <w:trPr>
          <w:jc w:val="center"/>
        </w:trPr>
        <w:tc>
          <w:tcPr>
            <w:tcW w:w="2273" w:type="dxa"/>
          </w:tcPr>
          <w:p w14:paraId="299B84FD" w14:textId="77777777" w:rsidR="00FA1CE6" w:rsidRPr="00A33714" w:rsidRDefault="00FA1CE6" w:rsidP="00EA4251">
            <w:pPr>
              <w:spacing w:after="100" w:afterAutospacing="1" w:line="276" w:lineRule="auto"/>
              <w:rPr>
                <w:rFonts w:eastAsia="MingLiU"/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Cardiac Dysfunction</w:t>
            </w:r>
          </w:p>
        </w:tc>
        <w:tc>
          <w:tcPr>
            <w:tcW w:w="2126" w:type="dxa"/>
            <w:shd w:val="clear" w:color="auto" w:fill="FFFFFF"/>
          </w:tcPr>
          <w:p w14:paraId="4E49B640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eastAsia="MingLiU"/>
                <w:sz w:val="16"/>
                <w:szCs w:val="16"/>
              </w:rPr>
              <w:t>1.</w:t>
            </w:r>
            <w:r w:rsidRPr="00A33714">
              <w:rPr>
                <w:rFonts w:hint="eastAsia"/>
                <w:sz w:val="16"/>
                <w:szCs w:val="16"/>
              </w:rPr>
              <w:t xml:space="preserve">583 </w:t>
            </w:r>
            <w:r w:rsidRPr="00A33714">
              <w:rPr>
                <w:sz w:val="16"/>
                <w:szCs w:val="16"/>
              </w:rPr>
              <w:t>(1.2</w:t>
            </w:r>
            <w:r w:rsidRPr="00A33714">
              <w:rPr>
                <w:rFonts w:hint="eastAsia"/>
                <w:sz w:val="16"/>
                <w:szCs w:val="16"/>
              </w:rPr>
              <w:t>45</w:t>
            </w:r>
            <w:r w:rsidRPr="00A33714">
              <w:rPr>
                <w:sz w:val="16"/>
                <w:szCs w:val="16"/>
              </w:rPr>
              <w:t>–2.</w:t>
            </w:r>
            <w:r w:rsidRPr="00A33714">
              <w:rPr>
                <w:rFonts w:hint="eastAsia"/>
                <w:sz w:val="16"/>
                <w:szCs w:val="16"/>
              </w:rPr>
              <w:t>014</w:t>
            </w:r>
            <w:r w:rsidRPr="00A33714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7CE19501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0</w:t>
            </w:r>
            <w:r w:rsidRPr="00A33714">
              <w:rPr>
                <w:rFonts w:eastAsia="MingLiU"/>
                <w:sz w:val="16"/>
                <w:szCs w:val="16"/>
              </w:rPr>
              <w:t>.</w:t>
            </w:r>
            <w:r w:rsidRPr="00A33714">
              <w:rPr>
                <w:rFonts w:hint="eastAsia"/>
                <w:sz w:val="16"/>
                <w:szCs w:val="16"/>
              </w:rPr>
              <w:t>460</w:t>
            </w:r>
          </w:p>
        </w:tc>
        <w:tc>
          <w:tcPr>
            <w:tcW w:w="1134" w:type="dxa"/>
            <w:shd w:val="clear" w:color="auto" w:fill="FFFFFF"/>
          </w:tcPr>
          <w:p w14:paraId="751E4CCF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&lt; 0.001</w:t>
            </w:r>
          </w:p>
        </w:tc>
      </w:tr>
      <w:tr w:rsidR="00FA1CE6" w:rsidRPr="00A33714" w14:paraId="66F67A7E" w14:textId="77777777" w:rsidTr="00EA4251">
        <w:trPr>
          <w:jc w:val="center"/>
        </w:trPr>
        <w:tc>
          <w:tcPr>
            <w:tcW w:w="2273" w:type="dxa"/>
          </w:tcPr>
          <w:p w14:paraId="06E39F04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Malignant Solid Tumor</w:t>
            </w:r>
          </w:p>
        </w:tc>
        <w:tc>
          <w:tcPr>
            <w:tcW w:w="2126" w:type="dxa"/>
            <w:shd w:val="clear" w:color="auto" w:fill="FFFFFF"/>
          </w:tcPr>
          <w:p w14:paraId="65582163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0.744 (0.590</w:t>
            </w:r>
            <w:r w:rsidRPr="00A33714">
              <w:rPr>
                <w:sz w:val="16"/>
                <w:szCs w:val="16"/>
              </w:rPr>
              <w:t>–</w:t>
            </w:r>
            <w:r w:rsidRPr="00A33714">
              <w:rPr>
                <w:rFonts w:hint="eastAsia"/>
                <w:sz w:val="16"/>
                <w:szCs w:val="16"/>
              </w:rPr>
              <w:t>0.939)</w:t>
            </w:r>
          </w:p>
        </w:tc>
        <w:tc>
          <w:tcPr>
            <w:tcW w:w="1276" w:type="dxa"/>
            <w:shd w:val="clear" w:color="auto" w:fill="FFFFFF"/>
          </w:tcPr>
          <w:p w14:paraId="0105B101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–</w:t>
            </w:r>
            <w:r w:rsidRPr="00A33714">
              <w:rPr>
                <w:rFonts w:hint="eastAsia"/>
                <w:sz w:val="16"/>
                <w:szCs w:val="16"/>
              </w:rPr>
              <w:t>0.295</w:t>
            </w:r>
          </w:p>
        </w:tc>
        <w:tc>
          <w:tcPr>
            <w:tcW w:w="1134" w:type="dxa"/>
            <w:shd w:val="clear" w:color="auto" w:fill="FFFFFF"/>
          </w:tcPr>
          <w:p w14:paraId="52642544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0.013</w:t>
            </w:r>
          </w:p>
        </w:tc>
      </w:tr>
      <w:tr w:rsidR="00FA1CE6" w:rsidRPr="00A33714" w14:paraId="7649779A" w14:textId="77777777" w:rsidTr="00EA4251">
        <w:trPr>
          <w:jc w:val="center"/>
        </w:trPr>
        <w:tc>
          <w:tcPr>
            <w:tcW w:w="2273" w:type="dxa"/>
          </w:tcPr>
          <w:p w14:paraId="18C62272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Critically ill</w:t>
            </w:r>
          </w:p>
        </w:tc>
        <w:tc>
          <w:tcPr>
            <w:tcW w:w="2126" w:type="dxa"/>
            <w:shd w:val="clear" w:color="auto" w:fill="FFFFFF"/>
          </w:tcPr>
          <w:p w14:paraId="04242DC2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eastAsia="MingLiU"/>
                <w:sz w:val="16"/>
                <w:szCs w:val="16"/>
              </w:rPr>
              <w:t>1.</w:t>
            </w:r>
            <w:r w:rsidRPr="00A33714">
              <w:rPr>
                <w:rFonts w:hint="eastAsia"/>
                <w:sz w:val="16"/>
                <w:szCs w:val="16"/>
              </w:rPr>
              <w:t xml:space="preserve">694 </w:t>
            </w:r>
            <w:r w:rsidRPr="00A33714">
              <w:rPr>
                <w:sz w:val="16"/>
                <w:szCs w:val="16"/>
              </w:rPr>
              <w:t>(1.</w:t>
            </w:r>
            <w:r w:rsidRPr="00A33714">
              <w:rPr>
                <w:rFonts w:hint="eastAsia"/>
                <w:sz w:val="16"/>
                <w:szCs w:val="16"/>
              </w:rPr>
              <w:t>377</w:t>
            </w:r>
            <w:r w:rsidRPr="00A33714">
              <w:rPr>
                <w:sz w:val="16"/>
                <w:szCs w:val="16"/>
              </w:rPr>
              <w:t>–2.</w:t>
            </w:r>
            <w:r w:rsidRPr="00A33714">
              <w:rPr>
                <w:rFonts w:hint="eastAsia"/>
                <w:sz w:val="16"/>
                <w:szCs w:val="16"/>
              </w:rPr>
              <w:t>082</w:t>
            </w:r>
            <w:r w:rsidRPr="00A33714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7AFC23BF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0</w:t>
            </w:r>
            <w:r w:rsidRPr="00A33714">
              <w:rPr>
                <w:rFonts w:eastAsia="MingLiU"/>
                <w:sz w:val="16"/>
                <w:szCs w:val="16"/>
              </w:rPr>
              <w:t>.</w:t>
            </w:r>
            <w:r w:rsidRPr="00A33714">
              <w:rPr>
                <w:rFonts w:hint="eastAsia"/>
                <w:sz w:val="16"/>
                <w:szCs w:val="16"/>
              </w:rPr>
              <w:t>527</w:t>
            </w:r>
          </w:p>
        </w:tc>
        <w:tc>
          <w:tcPr>
            <w:tcW w:w="1134" w:type="dxa"/>
            <w:shd w:val="clear" w:color="auto" w:fill="FFFFFF"/>
          </w:tcPr>
          <w:p w14:paraId="35F44009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&lt; 0.001</w:t>
            </w:r>
          </w:p>
        </w:tc>
      </w:tr>
      <w:tr w:rsidR="00FA1CE6" w:rsidRPr="00A33714" w14:paraId="15C2CEC3" w14:textId="77777777" w:rsidTr="00EA4251">
        <w:trPr>
          <w:jc w:val="center"/>
        </w:trPr>
        <w:tc>
          <w:tcPr>
            <w:tcW w:w="2273" w:type="dxa"/>
          </w:tcPr>
          <w:p w14:paraId="7B7E4315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Hypoalbuminemia</w:t>
            </w:r>
          </w:p>
        </w:tc>
        <w:tc>
          <w:tcPr>
            <w:tcW w:w="2126" w:type="dxa"/>
            <w:shd w:val="clear" w:color="auto" w:fill="FFFFFF"/>
          </w:tcPr>
          <w:p w14:paraId="35E06B73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1.031 (0.840</w:t>
            </w:r>
            <w:r w:rsidRPr="00A33714">
              <w:rPr>
                <w:sz w:val="16"/>
                <w:szCs w:val="16"/>
              </w:rPr>
              <w:t>–</w:t>
            </w:r>
            <w:r w:rsidRPr="00A33714">
              <w:rPr>
                <w:rFonts w:hint="eastAsia"/>
                <w:sz w:val="16"/>
                <w:szCs w:val="16"/>
              </w:rPr>
              <w:t>1.265)</w:t>
            </w:r>
          </w:p>
        </w:tc>
        <w:tc>
          <w:tcPr>
            <w:tcW w:w="1276" w:type="dxa"/>
            <w:shd w:val="clear" w:color="auto" w:fill="FFFFFF"/>
          </w:tcPr>
          <w:p w14:paraId="7D86E720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0.030</w:t>
            </w:r>
          </w:p>
        </w:tc>
        <w:tc>
          <w:tcPr>
            <w:tcW w:w="1134" w:type="dxa"/>
            <w:shd w:val="clear" w:color="auto" w:fill="FFFFFF"/>
          </w:tcPr>
          <w:p w14:paraId="3B5DBA59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0.771</w:t>
            </w:r>
          </w:p>
        </w:tc>
      </w:tr>
      <w:tr w:rsidR="00FA1CE6" w:rsidRPr="00A33714" w14:paraId="208C59EA" w14:textId="77777777" w:rsidTr="00EA4251">
        <w:trPr>
          <w:jc w:val="center"/>
        </w:trPr>
        <w:tc>
          <w:tcPr>
            <w:tcW w:w="2273" w:type="dxa"/>
          </w:tcPr>
          <w:p w14:paraId="6D82CDED" w14:textId="77777777" w:rsidR="00FA1CE6" w:rsidRPr="00A33714" w:rsidRDefault="00FA1CE6" w:rsidP="00EA4251">
            <w:pPr>
              <w:spacing w:after="100" w:afterAutospacing="1" w:line="276" w:lineRule="auto"/>
              <w:rPr>
                <w:rFonts w:eastAsia="MingLiU"/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eGFR</w:t>
            </w:r>
          </w:p>
        </w:tc>
        <w:tc>
          <w:tcPr>
            <w:tcW w:w="2126" w:type="dxa"/>
            <w:shd w:val="clear" w:color="auto" w:fill="FFFFFF"/>
          </w:tcPr>
          <w:p w14:paraId="4E22FB0D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 xml:space="preserve">0.994 </w:t>
            </w:r>
            <w:r w:rsidRPr="00A33714">
              <w:rPr>
                <w:sz w:val="16"/>
                <w:szCs w:val="16"/>
              </w:rPr>
              <w:t>(0.99</w:t>
            </w:r>
            <w:r w:rsidRPr="00A33714">
              <w:rPr>
                <w:rFonts w:hint="eastAsia"/>
                <w:sz w:val="16"/>
                <w:szCs w:val="16"/>
              </w:rPr>
              <w:t>1</w:t>
            </w:r>
            <w:r w:rsidRPr="00A33714">
              <w:rPr>
                <w:sz w:val="16"/>
                <w:szCs w:val="16"/>
              </w:rPr>
              <w:t>–</w:t>
            </w:r>
            <w:r w:rsidRPr="00A33714">
              <w:rPr>
                <w:rFonts w:hint="eastAsia"/>
                <w:sz w:val="16"/>
                <w:szCs w:val="16"/>
              </w:rPr>
              <w:t>0.998</w:t>
            </w:r>
            <w:r w:rsidRPr="00A33714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2F06089A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–</w:t>
            </w:r>
            <w:r w:rsidRPr="00A33714">
              <w:rPr>
                <w:rFonts w:hint="eastAsia"/>
                <w:sz w:val="16"/>
                <w:szCs w:val="16"/>
              </w:rPr>
              <w:t>0.006</w:t>
            </w:r>
          </w:p>
        </w:tc>
        <w:tc>
          <w:tcPr>
            <w:tcW w:w="1134" w:type="dxa"/>
            <w:shd w:val="clear" w:color="auto" w:fill="FFFFFF"/>
          </w:tcPr>
          <w:p w14:paraId="1584BE7C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0</w:t>
            </w:r>
            <w:r w:rsidRPr="00A33714">
              <w:rPr>
                <w:rFonts w:eastAsia="MingLiU"/>
                <w:sz w:val="16"/>
                <w:szCs w:val="16"/>
              </w:rPr>
              <w:t>.</w:t>
            </w:r>
            <w:r w:rsidRPr="00A33714">
              <w:rPr>
                <w:rFonts w:hint="eastAsia"/>
                <w:sz w:val="16"/>
                <w:szCs w:val="16"/>
              </w:rPr>
              <w:t>001</w:t>
            </w:r>
          </w:p>
        </w:tc>
      </w:tr>
      <w:tr w:rsidR="00FA1CE6" w:rsidRPr="00A33714" w14:paraId="6AB6C8D6" w14:textId="77777777" w:rsidTr="00EA4251">
        <w:trPr>
          <w:jc w:val="center"/>
        </w:trPr>
        <w:tc>
          <w:tcPr>
            <w:tcW w:w="2273" w:type="dxa"/>
          </w:tcPr>
          <w:p w14:paraId="436228B2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Length of vancomycin therapy</w:t>
            </w:r>
          </w:p>
        </w:tc>
        <w:tc>
          <w:tcPr>
            <w:tcW w:w="2126" w:type="dxa"/>
            <w:shd w:val="clear" w:color="auto" w:fill="FFFFFF"/>
          </w:tcPr>
          <w:p w14:paraId="27C00178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1.235 (1.085</w:t>
            </w:r>
            <w:r w:rsidRPr="00A33714">
              <w:rPr>
                <w:sz w:val="16"/>
                <w:szCs w:val="16"/>
              </w:rPr>
              <w:t>–</w:t>
            </w:r>
            <w:r w:rsidRPr="00A33714">
              <w:rPr>
                <w:rFonts w:hint="eastAsia"/>
                <w:sz w:val="16"/>
                <w:szCs w:val="16"/>
              </w:rPr>
              <w:t>1.406)</w:t>
            </w:r>
          </w:p>
        </w:tc>
        <w:tc>
          <w:tcPr>
            <w:tcW w:w="1276" w:type="dxa"/>
            <w:shd w:val="clear" w:color="auto" w:fill="FFFFFF"/>
          </w:tcPr>
          <w:p w14:paraId="0C05130B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0.211</w:t>
            </w:r>
          </w:p>
        </w:tc>
        <w:tc>
          <w:tcPr>
            <w:tcW w:w="1134" w:type="dxa"/>
            <w:shd w:val="clear" w:color="auto" w:fill="FFFFFF"/>
          </w:tcPr>
          <w:p w14:paraId="39B8342F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FA1CE6" w:rsidRPr="00A33714" w14:paraId="167EC6D8" w14:textId="77777777" w:rsidTr="00EA4251">
        <w:trPr>
          <w:jc w:val="center"/>
        </w:trPr>
        <w:tc>
          <w:tcPr>
            <w:tcW w:w="2273" w:type="dxa"/>
          </w:tcPr>
          <w:p w14:paraId="0143AAD0" w14:textId="77777777" w:rsidR="00FA1CE6" w:rsidRPr="00A33714" w:rsidRDefault="00FA1CE6" w:rsidP="00EA4251">
            <w:pPr>
              <w:spacing w:after="100" w:afterAutospacing="1" w:line="276" w:lineRule="auto"/>
              <w:rPr>
                <w:rFonts w:eastAsia="MingLiU"/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CUTOFF 15.935</w:t>
            </w:r>
          </w:p>
        </w:tc>
        <w:tc>
          <w:tcPr>
            <w:tcW w:w="2126" w:type="dxa"/>
            <w:shd w:val="clear" w:color="auto" w:fill="FFFFFF"/>
          </w:tcPr>
          <w:p w14:paraId="1BFCA4B6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eastAsia="MingLiU"/>
                <w:sz w:val="16"/>
                <w:szCs w:val="16"/>
              </w:rPr>
              <w:t>2.</w:t>
            </w:r>
            <w:r w:rsidRPr="00A33714">
              <w:rPr>
                <w:rFonts w:hint="eastAsia"/>
                <w:sz w:val="16"/>
                <w:szCs w:val="16"/>
              </w:rPr>
              <w:t xml:space="preserve">378 </w:t>
            </w:r>
            <w:r w:rsidRPr="00A33714">
              <w:rPr>
                <w:sz w:val="16"/>
                <w:szCs w:val="16"/>
              </w:rPr>
              <w:t>(1.</w:t>
            </w:r>
            <w:r w:rsidRPr="00A33714">
              <w:rPr>
                <w:rFonts w:hint="eastAsia"/>
                <w:sz w:val="16"/>
                <w:szCs w:val="16"/>
              </w:rPr>
              <w:t>940</w:t>
            </w:r>
            <w:r w:rsidRPr="00A33714">
              <w:rPr>
                <w:sz w:val="16"/>
                <w:szCs w:val="16"/>
              </w:rPr>
              <w:t>–</w:t>
            </w:r>
            <w:r w:rsidRPr="00A33714">
              <w:rPr>
                <w:rFonts w:hint="eastAsia"/>
                <w:sz w:val="16"/>
                <w:szCs w:val="16"/>
              </w:rPr>
              <w:t>2.914</w:t>
            </w:r>
            <w:r w:rsidRPr="00A33714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4647A7F8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0</w:t>
            </w:r>
            <w:r w:rsidRPr="00A33714">
              <w:rPr>
                <w:rFonts w:eastAsia="MingLiU"/>
                <w:sz w:val="16"/>
                <w:szCs w:val="16"/>
              </w:rPr>
              <w:t>.8</w:t>
            </w:r>
            <w:r w:rsidRPr="00A33714">
              <w:rPr>
                <w:rFonts w:hint="eastAsia"/>
                <w:sz w:val="16"/>
                <w:szCs w:val="16"/>
              </w:rPr>
              <w:t>66</w:t>
            </w:r>
          </w:p>
        </w:tc>
        <w:tc>
          <w:tcPr>
            <w:tcW w:w="1134" w:type="dxa"/>
            <w:shd w:val="clear" w:color="auto" w:fill="FFFFFF"/>
          </w:tcPr>
          <w:p w14:paraId="4603AFDF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&lt; 0.001</w:t>
            </w:r>
          </w:p>
        </w:tc>
      </w:tr>
      <w:tr w:rsidR="00FA1CE6" w:rsidRPr="00A33714" w14:paraId="34CC8E10" w14:textId="77777777" w:rsidTr="00EA4251">
        <w:trPr>
          <w:jc w:val="center"/>
        </w:trPr>
        <w:tc>
          <w:tcPr>
            <w:tcW w:w="2273" w:type="dxa"/>
          </w:tcPr>
          <w:p w14:paraId="189F153A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Vasopressors</w:t>
            </w:r>
          </w:p>
        </w:tc>
        <w:tc>
          <w:tcPr>
            <w:tcW w:w="2126" w:type="dxa"/>
            <w:shd w:val="clear" w:color="auto" w:fill="FFFFFF"/>
          </w:tcPr>
          <w:p w14:paraId="29FE13DC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 xml:space="preserve">1.576 </w:t>
            </w:r>
            <w:r w:rsidRPr="00A33714">
              <w:rPr>
                <w:sz w:val="16"/>
                <w:szCs w:val="16"/>
              </w:rPr>
              <w:t>(</w:t>
            </w:r>
            <w:r w:rsidRPr="00A33714">
              <w:rPr>
                <w:rFonts w:hint="eastAsia"/>
                <w:sz w:val="16"/>
                <w:szCs w:val="16"/>
              </w:rPr>
              <w:t>1.173</w:t>
            </w:r>
            <w:r w:rsidRPr="00A33714">
              <w:rPr>
                <w:sz w:val="16"/>
                <w:szCs w:val="16"/>
              </w:rPr>
              <w:t>–</w:t>
            </w:r>
            <w:r w:rsidRPr="00A33714">
              <w:rPr>
                <w:rFonts w:hint="eastAsia"/>
                <w:sz w:val="16"/>
                <w:szCs w:val="16"/>
              </w:rPr>
              <w:t>2.119</w:t>
            </w:r>
            <w:r w:rsidRPr="00A33714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134CA4D5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0.455</w:t>
            </w:r>
          </w:p>
        </w:tc>
        <w:tc>
          <w:tcPr>
            <w:tcW w:w="1134" w:type="dxa"/>
            <w:shd w:val="clear" w:color="auto" w:fill="FFFFFF"/>
          </w:tcPr>
          <w:p w14:paraId="7E5C44E9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0</w:t>
            </w:r>
            <w:r w:rsidRPr="00A33714">
              <w:rPr>
                <w:rFonts w:eastAsia="MingLiU"/>
                <w:sz w:val="16"/>
                <w:szCs w:val="16"/>
              </w:rPr>
              <w:t>.0</w:t>
            </w:r>
            <w:r w:rsidRPr="00A33714">
              <w:rPr>
                <w:rFonts w:hint="eastAsia"/>
                <w:sz w:val="16"/>
                <w:szCs w:val="16"/>
              </w:rPr>
              <w:t>03</w:t>
            </w:r>
          </w:p>
        </w:tc>
      </w:tr>
      <w:tr w:rsidR="00FA1CE6" w:rsidRPr="00A33714" w14:paraId="4116AC3A" w14:textId="77777777" w:rsidTr="00EA4251">
        <w:trPr>
          <w:jc w:val="center"/>
        </w:trPr>
        <w:tc>
          <w:tcPr>
            <w:tcW w:w="2273" w:type="dxa"/>
          </w:tcPr>
          <w:p w14:paraId="2672D98D" w14:textId="77777777" w:rsidR="00FA1CE6" w:rsidRPr="00A33714" w:rsidRDefault="00FA1CE6" w:rsidP="00EA4251">
            <w:pPr>
              <w:spacing w:after="100" w:afterAutospacing="1" w:line="276" w:lineRule="auto"/>
              <w:rPr>
                <w:rFonts w:eastAsia="MingLiU"/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Loop Diuretics</w:t>
            </w:r>
          </w:p>
        </w:tc>
        <w:tc>
          <w:tcPr>
            <w:tcW w:w="2126" w:type="dxa"/>
            <w:shd w:val="clear" w:color="auto" w:fill="FFFFFF"/>
          </w:tcPr>
          <w:p w14:paraId="1F10B29E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eastAsia="MingLiU"/>
                <w:sz w:val="16"/>
                <w:szCs w:val="16"/>
              </w:rPr>
              <w:t>1.</w:t>
            </w:r>
            <w:r w:rsidRPr="00A33714">
              <w:rPr>
                <w:rFonts w:hint="eastAsia"/>
                <w:sz w:val="16"/>
                <w:szCs w:val="16"/>
              </w:rPr>
              <w:t xml:space="preserve">333 </w:t>
            </w:r>
            <w:r w:rsidRPr="00A33714">
              <w:rPr>
                <w:sz w:val="16"/>
                <w:szCs w:val="16"/>
              </w:rPr>
              <w:t>(</w:t>
            </w:r>
            <w:r w:rsidRPr="00A33714">
              <w:rPr>
                <w:rFonts w:hint="eastAsia"/>
                <w:sz w:val="16"/>
                <w:szCs w:val="16"/>
              </w:rPr>
              <w:t>1.088</w:t>
            </w:r>
            <w:r w:rsidRPr="00A33714">
              <w:rPr>
                <w:sz w:val="16"/>
                <w:szCs w:val="16"/>
              </w:rPr>
              <w:t>–1.</w:t>
            </w:r>
            <w:r w:rsidRPr="00A33714">
              <w:rPr>
                <w:rFonts w:hint="eastAsia"/>
                <w:sz w:val="16"/>
                <w:szCs w:val="16"/>
              </w:rPr>
              <w:t>633</w:t>
            </w:r>
            <w:r w:rsidRPr="00A33714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5EA11A4F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0</w:t>
            </w:r>
            <w:r w:rsidRPr="00A33714">
              <w:rPr>
                <w:rFonts w:eastAsia="MingLiU"/>
                <w:sz w:val="16"/>
                <w:szCs w:val="16"/>
              </w:rPr>
              <w:t>.</w:t>
            </w:r>
            <w:r w:rsidRPr="00A33714">
              <w:rPr>
                <w:rFonts w:hint="eastAsia"/>
                <w:sz w:val="16"/>
                <w:szCs w:val="16"/>
              </w:rPr>
              <w:t>288</w:t>
            </w:r>
          </w:p>
        </w:tc>
        <w:tc>
          <w:tcPr>
            <w:tcW w:w="1134" w:type="dxa"/>
            <w:shd w:val="clear" w:color="auto" w:fill="FFFFFF"/>
          </w:tcPr>
          <w:p w14:paraId="657B2A67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0</w:t>
            </w:r>
            <w:r w:rsidRPr="00A33714">
              <w:rPr>
                <w:rFonts w:eastAsia="MingLiU"/>
                <w:sz w:val="16"/>
                <w:szCs w:val="16"/>
              </w:rPr>
              <w:t>.</w:t>
            </w:r>
            <w:r w:rsidRPr="00A33714">
              <w:rPr>
                <w:rFonts w:hint="eastAsia"/>
                <w:sz w:val="16"/>
                <w:szCs w:val="16"/>
              </w:rPr>
              <w:t>005</w:t>
            </w:r>
          </w:p>
        </w:tc>
      </w:tr>
      <w:tr w:rsidR="00FA1CE6" w:rsidRPr="00A33714" w14:paraId="061E57F2" w14:textId="77777777" w:rsidTr="00EA4251">
        <w:trPr>
          <w:jc w:val="center"/>
        </w:trPr>
        <w:tc>
          <w:tcPr>
            <w:tcW w:w="2273" w:type="dxa"/>
          </w:tcPr>
          <w:p w14:paraId="1DD9FBBF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bookmarkStart w:id="4" w:name="OLE_LINK26"/>
            <w:r w:rsidRPr="00A33714">
              <w:rPr>
                <w:sz w:val="16"/>
                <w:szCs w:val="16"/>
              </w:rPr>
              <w:t>Contrast Media</w:t>
            </w:r>
            <w:bookmarkEnd w:id="4"/>
          </w:p>
        </w:tc>
        <w:tc>
          <w:tcPr>
            <w:tcW w:w="2126" w:type="dxa"/>
            <w:shd w:val="clear" w:color="auto" w:fill="FFFFFF"/>
          </w:tcPr>
          <w:p w14:paraId="4E9B9D96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2.954 (</w:t>
            </w:r>
            <w:r w:rsidRPr="00A33714">
              <w:rPr>
                <w:sz w:val="16"/>
                <w:szCs w:val="16"/>
              </w:rPr>
              <w:t>1.</w:t>
            </w:r>
            <w:r w:rsidRPr="00A33714">
              <w:rPr>
                <w:rFonts w:hint="eastAsia"/>
                <w:sz w:val="16"/>
                <w:szCs w:val="16"/>
              </w:rPr>
              <w:t>571</w:t>
            </w:r>
            <w:r w:rsidRPr="00A33714">
              <w:rPr>
                <w:sz w:val="16"/>
                <w:szCs w:val="16"/>
              </w:rPr>
              <w:t>–</w:t>
            </w:r>
            <w:r w:rsidRPr="00A33714">
              <w:rPr>
                <w:rFonts w:hint="eastAsia"/>
                <w:sz w:val="16"/>
                <w:szCs w:val="16"/>
              </w:rPr>
              <w:t>5.553)</w:t>
            </w:r>
          </w:p>
        </w:tc>
        <w:tc>
          <w:tcPr>
            <w:tcW w:w="1276" w:type="dxa"/>
            <w:shd w:val="clear" w:color="auto" w:fill="FFFFFF"/>
          </w:tcPr>
          <w:p w14:paraId="42F95D1B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1.083</w:t>
            </w:r>
          </w:p>
        </w:tc>
        <w:tc>
          <w:tcPr>
            <w:tcW w:w="1134" w:type="dxa"/>
            <w:shd w:val="clear" w:color="auto" w:fill="FFFFFF"/>
          </w:tcPr>
          <w:p w14:paraId="7375B7F0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0</w:t>
            </w:r>
            <w:r w:rsidRPr="00A33714">
              <w:rPr>
                <w:rFonts w:eastAsia="MingLiU"/>
                <w:sz w:val="16"/>
                <w:szCs w:val="16"/>
              </w:rPr>
              <w:t>.0</w:t>
            </w:r>
            <w:r w:rsidRPr="00A33714">
              <w:rPr>
                <w:rFonts w:hint="eastAsia"/>
                <w:sz w:val="16"/>
                <w:szCs w:val="16"/>
              </w:rPr>
              <w:t>01</w:t>
            </w:r>
          </w:p>
        </w:tc>
      </w:tr>
      <w:tr w:rsidR="00FA1CE6" w:rsidRPr="00A33714" w14:paraId="3FC4B859" w14:textId="77777777" w:rsidTr="00EA4251">
        <w:trPr>
          <w:jc w:val="center"/>
        </w:trPr>
        <w:tc>
          <w:tcPr>
            <w:tcW w:w="2273" w:type="dxa"/>
          </w:tcPr>
          <w:p w14:paraId="552085CD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Cephalosporin Antibiotics</w:t>
            </w:r>
          </w:p>
        </w:tc>
        <w:tc>
          <w:tcPr>
            <w:tcW w:w="2126" w:type="dxa"/>
            <w:shd w:val="clear" w:color="auto" w:fill="FFFFFF"/>
          </w:tcPr>
          <w:p w14:paraId="5BB9EDBA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eastAsia="MingLiU"/>
                <w:sz w:val="16"/>
                <w:szCs w:val="16"/>
              </w:rPr>
              <w:t>1.</w:t>
            </w:r>
            <w:r w:rsidRPr="00A33714">
              <w:rPr>
                <w:rFonts w:hint="eastAsia"/>
                <w:sz w:val="16"/>
                <w:szCs w:val="16"/>
              </w:rPr>
              <w:t>584 (</w:t>
            </w:r>
            <w:r w:rsidRPr="00A33714">
              <w:rPr>
                <w:sz w:val="16"/>
                <w:szCs w:val="16"/>
              </w:rPr>
              <w:t>1.2</w:t>
            </w:r>
            <w:r w:rsidRPr="00A33714">
              <w:rPr>
                <w:rFonts w:hint="eastAsia"/>
                <w:sz w:val="16"/>
                <w:szCs w:val="16"/>
              </w:rPr>
              <w:t>57</w:t>
            </w:r>
            <w:r w:rsidRPr="00A33714">
              <w:rPr>
                <w:sz w:val="16"/>
                <w:szCs w:val="16"/>
              </w:rPr>
              <w:t>–</w:t>
            </w:r>
            <w:r w:rsidRPr="00A33714">
              <w:rPr>
                <w:rFonts w:hint="eastAsia"/>
                <w:sz w:val="16"/>
                <w:szCs w:val="16"/>
              </w:rPr>
              <w:t>1.996)</w:t>
            </w:r>
          </w:p>
        </w:tc>
        <w:tc>
          <w:tcPr>
            <w:tcW w:w="1276" w:type="dxa"/>
            <w:shd w:val="clear" w:color="auto" w:fill="FFFFFF"/>
          </w:tcPr>
          <w:p w14:paraId="06E1D3C3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0</w:t>
            </w:r>
            <w:r w:rsidRPr="00A33714">
              <w:rPr>
                <w:rFonts w:eastAsia="MingLiU"/>
                <w:sz w:val="16"/>
                <w:szCs w:val="16"/>
              </w:rPr>
              <w:t>.</w:t>
            </w:r>
            <w:r w:rsidRPr="00A33714">
              <w:rPr>
                <w:rFonts w:hint="eastAsia"/>
                <w:sz w:val="16"/>
                <w:szCs w:val="16"/>
              </w:rPr>
              <w:t>460</w:t>
            </w:r>
          </w:p>
        </w:tc>
        <w:tc>
          <w:tcPr>
            <w:tcW w:w="1134" w:type="dxa"/>
            <w:shd w:val="clear" w:color="auto" w:fill="FFFFFF"/>
          </w:tcPr>
          <w:p w14:paraId="2085957E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&lt; 0.001</w:t>
            </w:r>
          </w:p>
        </w:tc>
      </w:tr>
      <w:tr w:rsidR="00FA1CE6" w:rsidRPr="00A33714" w14:paraId="55484965" w14:textId="77777777" w:rsidTr="00EA4251">
        <w:trPr>
          <w:jc w:val="center"/>
        </w:trPr>
        <w:tc>
          <w:tcPr>
            <w:tcW w:w="2273" w:type="dxa"/>
          </w:tcPr>
          <w:p w14:paraId="78E1034C" w14:textId="77777777" w:rsidR="00FA1CE6" w:rsidRPr="00A33714" w:rsidRDefault="00FA1CE6" w:rsidP="00EA4251">
            <w:pPr>
              <w:spacing w:after="100" w:afterAutospacing="1" w:line="276" w:lineRule="auto"/>
              <w:rPr>
                <w:rFonts w:eastAsia="MingLiU"/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Piperacillin-Tazobactam</w:t>
            </w:r>
          </w:p>
        </w:tc>
        <w:tc>
          <w:tcPr>
            <w:tcW w:w="2126" w:type="dxa"/>
            <w:shd w:val="clear" w:color="auto" w:fill="FFFFFF"/>
          </w:tcPr>
          <w:p w14:paraId="6B487A0F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1.526</w:t>
            </w:r>
            <w:r w:rsidRPr="00A33714">
              <w:rPr>
                <w:sz w:val="16"/>
                <w:szCs w:val="16"/>
              </w:rPr>
              <w:t xml:space="preserve"> (1</w:t>
            </w:r>
            <w:r w:rsidRPr="00A33714">
              <w:rPr>
                <w:rFonts w:hint="eastAsia"/>
                <w:sz w:val="16"/>
                <w:szCs w:val="16"/>
              </w:rPr>
              <w:t>.003</w:t>
            </w:r>
            <w:r w:rsidRPr="00A33714">
              <w:rPr>
                <w:sz w:val="16"/>
                <w:szCs w:val="16"/>
              </w:rPr>
              <w:t>–</w:t>
            </w:r>
            <w:r w:rsidRPr="00A33714">
              <w:rPr>
                <w:rFonts w:hint="eastAsia"/>
                <w:sz w:val="16"/>
                <w:szCs w:val="16"/>
              </w:rPr>
              <w:t>2.322</w:t>
            </w:r>
            <w:r w:rsidRPr="00A33714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567F909A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0</w:t>
            </w:r>
            <w:r w:rsidRPr="00A33714">
              <w:rPr>
                <w:rFonts w:eastAsia="MingLiU"/>
                <w:sz w:val="16"/>
                <w:szCs w:val="16"/>
              </w:rPr>
              <w:t>.</w:t>
            </w:r>
            <w:r w:rsidRPr="00A33714">
              <w:rPr>
                <w:rFonts w:hint="eastAsia"/>
                <w:sz w:val="16"/>
                <w:szCs w:val="16"/>
              </w:rPr>
              <w:t>423</w:t>
            </w:r>
          </w:p>
        </w:tc>
        <w:tc>
          <w:tcPr>
            <w:tcW w:w="1134" w:type="dxa"/>
            <w:shd w:val="clear" w:color="auto" w:fill="FFFFFF"/>
          </w:tcPr>
          <w:p w14:paraId="76DB4739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0</w:t>
            </w:r>
            <w:r w:rsidRPr="00A33714">
              <w:rPr>
                <w:rFonts w:eastAsia="MingLiU"/>
                <w:sz w:val="16"/>
                <w:szCs w:val="16"/>
              </w:rPr>
              <w:t>.0</w:t>
            </w:r>
            <w:r w:rsidRPr="00A33714">
              <w:rPr>
                <w:rFonts w:hint="eastAsia"/>
                <w:sz w:val="16"/>
                <w:szCs w:val="16"/>
              </w:rPr>
              <w:t>49</w:t>
            </w:r>
          </w:p>
        </w:tc>
      </w:tr>
      <w:tr w:rsidR="00FA1CE6" w:rsidRPr="00A33714" w14:paraId="4312F456" w14:textId="77777777" w:rsidTr="00EA4251">
        <w:trPr>
          <w:jc w:val="center"/>
        </w:trPr>
        <w:tc>
          <w:tcPr>
            <w:tcW w:w="2273" w:type="dxa"/>
          </w:tcPr>
          <w:p w14:paraId="513492EA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PPI</w:t>
            </w:r>
          </w:p>
        </w:tc>
        <w:tc>
          <w:tcPr>
            <w:tcW w:w="2126" w:type="dxa"/>
            <w:shd w:val="clear" w:color="auto" w:fill="FFFFFF"/>
          </w:tcPr>
          <w:p w14:paraId="68F4F213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1.193 (0.970</w:t>
            </w:r>
            <w:r w:rsidRPr="00A33714">
              <w:rPr>
                <w:sz w:val="16"/>
                <w:szCs w:val="16"/>
              </w:rPr>
              <w:t>–</w:t>
            </w:r>
            <w:r w:rsidRPr="00A33714">
              <w:rPr>
                <w:rFonts w:hint="eastAsia"/>
                <w:sz w:val="16"/>
                <w:szCs w:val="16"/>
              </w:rPr>
              <w:t>1.466)</w:t>
            </w:r>
          </w:p>
        </w:tc>
        <w:tc>
          <w:tcPr>
            <w:tcW w:w="1276" w:type="dxa"/>
            <w:shd w:val="clear" w:color="auto" w:fill="FFFFFF"/>
          </w:tcPr>
          <w:p w14:paraId="17F79F4B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0.176</w:t>
            </w:r>
          </w:p>
        </w:tc>
        <w:tc>
          <w:tcPr>
            <w:tcW w:w="1134" w:type="dxa"/>
            <w:shd w:val="clear" w:color="auto" w:fill="FFFFFF"/>
          </w:tcPr>
          <w:p w14:paraId="11A6B24D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0.094</w:t>
            </w:r>
          </w:p>
        </w:tc>
      </w:tr>
      <w:tr w:rsidR="00FA1CE6" w:rsidRPr="00A33714" w14:paraId="7FB3A260" w14:textId="77777777" w:rsidTr="00EA4251">
        <w:trPr>
          <w:jc w:val="center"/>
        </w:trPr>
        <w:tc>
          <w:tcPr>
            <w:tcW w:w="2273" w:type="dxa"/>
          </w:tcPr>
          <w:p w14:paraId="49346234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Tacrolimus</w:t>
            </w:r>
          </w:p>
        </w:tc>
        <w:tc>
          <w:tcPr>
            <w:tcW w:w="2126" w:type="dxa"/>
            <w:shd w:val="clear" w:color="auto" w:fill="FFFFFF"/>
          </w:tcPr>
          <w:p w14:paraId="79A8525C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2.088</w:t>
            </w:r>
            <w:bookmarkStart w:id="5" w:name="OLE_LINK33"/>
            <w:r w:rsidRPr="00A33714">
              <w:rPr>
                <w:rFonts w:hint="eastAsia"/>
                <w:sz w:val="16"/>
                <w:szCs w:val="16"/>
              </w:rPr>
              <w:t xml:space="preserve"> (</w:t>
            </w:r>
            <w:bookmarkEnd w:id="5"/>
            <w:r w:rsidRPr="00A33714">
              <w:rPr>
                <w:rFonts w:hint="eastAsia"/>
                <w:sz w:val="16"/>
                <w:szCs w:val="16"/>
              </w:rPr>
              <w:t>1.223</w:t>
            </w:r>
            <w:r w:rsidRPr="00A33714">
              <w:rPr>
                <w:sz w:val="16"/>
                <w:szCs w:val="16"/>
              </w:rPr>
              <w:t>–</w:t>
            </w:r>
            <w:r w:rsidRPr="00A33714">
              <w:rPr>
                <w:rFonts w:hint="eastAsia"/>
                <w:sz w:val="16"/>
                <w:szCs w:val="16"/>
              </w:rPr>
              <w:t>3.565)</w:t>
            </w:r>
          </w:p>
        </w:tc>
        <w:tc>
          <w:tcPr>
            <w:tcW w:w="1276" w:type="dxa"/>
            <w:shd w:val="clear" w:color="auto" w:fill="FFFFFF"/>
          </w:tcPr>
          <w:p w14:paraId="496C7BB9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rFonts w:hint="eastAsia"/>
                <w:sz w:val="16"/>
                <w:szCs w:val="16"/>
              </w:rPr>
              <w:t>0.736</w:t>
            </w:r>
          </w:p>
        </w:tc>
        <w:tc>
          <w:tcPr>
            <w:tcW w:w="1134" w:type="dxa"/>
            <w:shd w:val="clear" w:color="auto" w:fill="FFFFFF"/>
          </w:tcPr>
          <w:p w14:paraId="61D33C0D" w14:textId="77777777" w:rsidR="00FA1CE6" w:rsidRPr="00A33714" w:rsidRDefault="00FA1CE6" w:rsidP="00EA4251">
            <w:pPr>
              <w:spacing w:after="100" w:afterAutospacing="1" w:line="276" w:lineRule="auto"/>
              <w:rPr>
                <w:sz w:val="16"/>
                <w:szCs w:val="16"/>
              </w:rPr>
            </w:pPr>
            <w:r w:rsidRPr="00A33714">
              <w:rPr>
                <w:sz w:val="16"/>
                <w:szCs w:val="16"/>
              </w:rPr>
              <w:t>0</w:t>
            </w:r>
            <w:r w:rsidRPr="00A33714">
              <w:rPr>
                <w:rFonts w:eastAsia="MingLiU"/>
                <w:sz w:val="16"/>
                <w:szCs w:val="16"/>
              </w:rPr>
              <w:t>.</w:t>
            </w:r>
            <w:r w:rsidRPr="00A33714">
              <w:rPr>
                <w:rFonts w:hint="eastAsia"/>
                <w:sz w:val="16"/>
                <w:szCs w:val="16"/>
              </w:rPr>
              <w:t>007</w:t>
            </w:r>
          </w:p>
        </w:tc>
      </w:tr>
    </w:tbl>
    <w:bookmarkEnd w:id="2"/>
    <w:bookmarkEnd w:id="3"/>
    <w:p w14:paraId="29692D0B" w14:textId="77777777" w:rsidR="00FA1CE6" w:rsidRDefault="00FA1CE6" w:rsidP="00FA1CE6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337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Supplementary Table 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2</w:t>
      </w:r>
      <w:r w:rsidRPr="004B14A4">
        <w:rPr>
          <w:rFonts w:ascii="Times New Roman" w:hAnsi="Times New Roman" w:cs="Times New Roman" w:hint="eastAsia"/>
          <w:b/>
          <w:bCs/>
          <w:sz w:val="21"/>
          <w:szCs w:val="21"/>
        </w:rPr>
        <w:t>. Clinically actionable framework for VA-AKI risk stratification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A1CE6" w14:paraId="4C2A7F43" w14:textId="77777777" w:rsidTr="00EA4251">
        <w:tc>
          <w:tcPr>
            <w:tcW w:w="2765" w:type="dxa"/>
            <w:vAlign w:val="center"/>
          </w:tcPr>
          <w:p w14:paraId="42F1D5B0" w14:textId="77777777" w:rsidR="00FA1CE6" w:rsidRPr="004B14A4" w:rsidRDefault="00FA1CE6" w:rsidP="00EA4251">
            <w:pPr>
              <w:spacing w:before="100" w:beforeAutospacing="1"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4B14A4">
              <w:rPr>
                <w:b/>
                <w:bCs/>
                <w:sz w:val="16"/>
                <w:szCs w:val="16"/>
              </w:rPr>
              <w:t>Risk domain</w:t>
            </w:r>
          </w:p>
        </w:tc>
        <w:tc>
          <w:tcPr>
            <w:tcW w:w="2765" w:type="dxa"/>
            <w:vAlign w:val="center"/>
          </w:tcPr>
          <w:p w14:paraId="529FA0D8" w14:textId="77777777" w:rsidR="00FA1CE6" w:rsidRPr="004B14A4" w:rsidRDefault="00FA1CE6" w:rsidP="00EA4251">
            <w:pPr>
              <w:spacing w:before="100" w:beforeAutospacing="1"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4B14A4">
              <w:rPr>
                <w:b/>
                <w:bCs/>
                <w:sz w:val="16"/>
                <w:szCs w:val="16"/>
              </w:rPr>
              <w:t>Variable</w:t>
            </w:r>
          </w:p>
        </w:tc>
        <w:tc>
          <w:tcPr>
            <w:tcW w:w="2766" w:type="dxa"/>
            <w:vAlign w:val="center"/>
          </w:tcPr>
          <w:p w14:paraId="50EA6B7D" w14:textId="77777777" w:rsidR="00FA1CE6" w:rsidRPr="004B14A4" w:rsidRDefault="00FA1CE6" w:rsidP="00EA4251">
            <w:pPr>
              <w:spacing w:before="100" w:beforeAutospacing="1"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4B14A4">
              <w:rPr>
                <w:b/>
                <w:bCs/>
                <w:sz w:val="16"/>
                <w:szCs w:val="16"/>
              </w:rPr>
              <w:t>Clinical implication</w:t>
            </w:r>
          </w:p>
        </w:tc>
      </w:tr>
      <w:tr w:rsidR="00FA1CE6" w14:paraId="5A1EA230" w14:textId="77777777" w:rsidTr="00EA4251">
        <w:tc>
          <w:tcPr>
            <w:tcW w:w="2765" w:type="dxa"/>
            <w:vAlign w:val="center"/>
          </w:tcPr>
          <w:p w14:paraId="156119EA" w14:textId="77777777" w:rsidR="00FA1CE6" w:rsidRPr="004B14A4" w:rsidRDefault="00FA1CE6" w:rsidP="00EA4251">
            <w:pPr>
              <w:spacing w:before="100" w:beforeAutospacing="1"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4B14A4">
              <w:rPr>
                <w:sz w:val="16"/>
                <w:szCs w:val="16"/>
              </w:rPr>
              <w:t>Exposure-related</w:t>
            </w:r>
          </w:p>
        </w:tc>
        <w:tc>
          <w:tcPr>
            <w:tcW w:w="2765" w:type="dxa"/>
            <w:vAlign w:val="center"/>
          </w:tcPr>
          <w:p w14:paraId="492BE10D" w14:textId="77777777" w:rsidR="00FA1CE6" w:rsidRPr="004B14A4" w:rsidRDefault="00FA1CE6" w:rsidP="00EA4251">
            <w:pPr>
              <w:spacing w:before="100" w:beforeAutospacing="1"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4B14A4">
              <w:rPr>
                <w:sz w:val="16"/>
                <w:szCs w:val="16"/>
              </w:rPr>
              <w:t>Trough ≥15.9 mg/L</w:t>
            </w:r>
          </w:p>
        </w:tc>
        <w:tc>
          <w:tcPr>
            <w:tcW w:w="2766" w:type="dxa"/>
            <w:vAlign w:val="center"/>
          </w:tcPr>
          <w:p w14:paraId="33658EA8" w14:textId="77777777" w:rsidR="00FA1CE6" w:rsidRPr="004B14A4" w:rsidRDefault="00FA1CE6" w:rsidP="00EA4251">
            <w:pPr>
              <w:spacing w:before="100" w:beforeAutospacing="1"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4B14A4">
              <w:rPr>
                <w:sz w:val="16"/>
                <w:szCs w:val="16"/>
              </w:rPr>
              <w:t>Consider closer TDM review and renal monitoring</w:t>
            </w:r>
          </w:p>
        </w:tc>
      </w:tr>
      <w:tr w:rsidR="00FA1CE6" w14:paraId="4E6BD4F4" w14:textId="77777777" w:rsidTr="00EA4251">
        <w:tc>
          <w:tcPr>
            <w:tcW w:w="2765" w:type="dxa"/>
            <w:vAlign w:val="center"/>
          </w:tcPr>
          <w:p w14:paraId="6440FF80" w14:textId="77777777" w:rsidR="00FA1CE6" w:rsidRPr="004B14A4" w:rsidRDefault="00FA1CE6" w:rsidP="00EA4251">
            <w:pPr>
              <w:spacing w:before="100" w:beforeAutospacing="1"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4B14A4">
              <w:rPr>
                <w:sz w:val="16"/>
                <w:szCs w:val="16"/>
              </w:rPr>
              <w:t>Co-medication-related</w:t>
            </w:r>
          </w:p>
        </w:tc>
        <w:tc>
          <w:tcPr>
            <w:tcW w:w="2765" w:type="dxa"/>
            <w:vAlign w:val="center"/>
          </w:tcPr>
          <w:p w14:paraId="2C96B934" w14:textId="77777777" w:rsidR="00FA1CE6" w:rsidRPr="004B14A4" w:rsidRDefault="00FA1CE6" w:rsidP="00EA4251">
            <w:pPr>
              <w:spacing w:before="100" w:beforeAutospacing="1"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4B14A4">
              <w:rPr>
                <w:sz w:val="16"/>
                <w:szCs w:val="16"/>
              </w:rPr>
              <w:t>PTZ / contrast / cephalosporins</w:t>
            </w:r>
          </w:p>
        </w:tc>
        <w:tc>
          <w:tcPr>
            <w:tcW w:w="2766" w:type="dxa"/>
            <w:vAlign w:val="center"/>
          </w:tcPr>
          <w:p w14:paraId="2D4BC25A" w14:textId="77777777" w:rsidR="00FA1CE6" w:rsidRPr="004B14A4" w:rsidRDefault="00FA1CE6" w:rsidP="00EA4251">
            <w:pPr>
              <w:spacing w:before="100" w:beforeAutospacing="1"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4B14A4">
              <w:rPr>
                <w:sz w:val="16"/>
                <w:szCs w:val="16"/>
              </w:rPr>
              <w:t>Reassess need, timing, and cumulative nephrotoxic burden</w:t>
            </w:r>
          </w:p>
        </w:tc>
      </w:tr>
      <w:tr w:rsidR="00FA1CE6" w14:paraId="3BF25051" w14:textId="77777777" w:rsidTr="00EA4251">
        <w:tc>
          <w:tcPr>
            <w:tcW w:w="2765" w:type="dxa"/>
            <w:vAlign w:val="center"/>
          </w:tcPr>
          <w:p w14:paraId="19D581D0" w14:textId="77777777" w:rsidR="00FA1CE6" w:rsidRPr="004B14A4" w:rsidRDefault="00FA1CE6" w:rsidP="00EA4251">
            <w:pPr>
              <w:spacing w:before="100" w:beforeAutospacing="1"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4B14A4">
              <w:rPr>
                <w:sz w:val="16"/>
                <w:szCs w:val="16"/>
              </w:rPr>
              <w:t>Treatment course</w:t>
            </w:r>
          </w:p>
        </w:tc>
        <w:tc>
          <w:tcPr>
            <w:tcW w:w="2765" w:type="dxa"/>
            <w:vAlign w:val="center"/>
          </w:tcPr>
          <w:p w14:paraId="2EE1D4FE" w14:textId="77777777" w:rsidR="00FA1CE6" w:rsidRPr="004B14A4" w:rsidRDefault="00FA1CE6" w:rsidP="00EA4251">
            <w:pPr>
              <w:spacing w:before="100" w:beforeAutospacing="1"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4B14A4">
              <w:rPr>
                <w:sz w:val="16"/>
                <w:szCs w:val="16"/>
              </w:rPr>
              <w:t>Duration ≥14 days</w:t>
            </w:r>
          </w:p>
        </w:tc>
        <w:tc>
          <w:tcPr>
            <w:tcW w:w="2766" w:type="dxa"/>
            <w:vAlign w:val="center"/>
          </w:tcPr>
          <w:p w14:paraId="28B4D23E" w14:textId="77777777" w:rsidR="00FA1CE6" w:rsidRPr="004B14A4" w:rsidRDefault="00FA1CE6" w:rsidP="00EA4251">
            <w:pPr>
              <w:spacing w:before="100" w:beforeAutospacing="1"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4B14A4">
              <w:rPr>
                <w:sz w:val="16"/>
                <w:szCs w:val="16"/>
              </w:rPr>
              <w:t>Intensify ongoing surveillance</w:t>
            </w:r>
          </w:p>
        </w:tc>
      </w:tr>
      <w:tr w:rsidR="00FA1CE6" w14:paraId="6BD678A7" w14:textId="77777777" w:rsidTr="00EA4251">
        <w:tc>
          <w:tcPr>
            <w:tcW w:w="2765" w:type="dxa"/>
            <w:vAlign w:val="center"/>
          </w:tcPr>
          <w:p w14:paraId="5A000B51" w14:textId="77777777" w:rsidR="00FA1CE6" w:rsidRPr="004B14A4" w:rsidRDefault="00FA1CE6" w:rsidP="00EA4251">
            <w:pPr>
              <w:spacing w:before="100" w:beforeAutospacing="1"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4B14A4">
              <w:rPr>
                <w:sz w:val="16"/>
                <w:szCs w:val="16"/>
              </w:rPr>
              <w:t>Patient vulnerability</w:t>
            </w:r>
          </w:p>
        </w:tc>
        <w:tc>
          <w:tcPr>
            <w:tcW w:w="2765" w:type="dxa"/>
            <w:vAlign w:val="center"/>
          </w:tcPr>
          <w:p w14:paraId="4EBEFEBD" w14:textId="77777777" w:rsidR="00FA1CE6" w:rsidRPr="004B14A4" w:rsidRDefault="00FA1CE6" w:rsidP="00EA4251">
            <w:pPr>
              <w:spacing w:before="100" w:beforeAutospacing="1"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4B14A4">
              <w:rPr>
                <w:sz w:val="16"/>
                <w:szCs w:val="16"/>
              </w:rPr>
              <w:t>Critical illness / eGFR&lt;90 / cardiac dysfunction</w:t>
            </w:r>
          </w:p>
        </w:tc>
        <w:tc>
          <w:tcPr>
            <w:tcW w:w="2766" w:type="dxa"/>
            <w:vAlign w:val="center"/>
          </w:tcPr>
          <w:p w14:paraId="103F6A1C" w14:textId="77777777" w:rsidR="00FA1CE6" w:rsidRPr="004B14A4" w:rsidRDefault="00FA1CE6" w:rsidP="00EA4251">
            <w:pPr>
              <w:spacing w:before="100" w:beforeAutospacing="1" w:after="100" w:afterAutospacing="1" w:line="276" w:lineRule="auto"/>
              <w:rPr>
                <w:b/>
                <w:bCs/>
                <w:sz w:val="16"/>
                <w:szCs w:val="16"/>
              </w:rPr>
            </w:pPr>
            <w:r w:rsidRPr="004B14A4">
              <w:rPr>
                <w:sz w:val="16"/>
                <w:szCs w:val="16"/>
              </w:rPr>
              <w:t>Start early and more frequent monitoring</w:t>
            </w:r>
          </w:p>
        </w:tc>
      </w:tr>
    </w:tbl>
    <w:p w14:paraId="1DDF9F9F" w14:textId="77777777" w:rsidR="00FA1CE6" w:rsidRDefault="00FA1CE6" w:rsidP="00FA1CE6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0A80CA4B" w14:textId="77777777" w:rsidR="00EB7236" w:rsidRDefault="00EB7236" w:rsidP="00FA1CE6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0AC3F47F" w14:textId="77777777" w:rsidR="00EB7236" w:rsidRDefault="00EB7236" w:rsidP="00FA1CE6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BE0BD67" w14:textId="77777777" w:rsidR="00EB7236" w:rsidRPr="00F01870" w:rsidRDefault="00EB7236" w:rsidP="00EB7236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B7236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Supplementary </w:t>
      </w:r>
      <w:r w:rsidRPr="00A33714">
        <w:rPr>
          <w:rFonts w:ascii="Times New Roman" w:hAnsi="Times New Roman" w:cs="Times New Roman" w:hint="eastAsia"/>
          <w:b/>
          <w:bCs/>
          <w:sz w:val="21"/>
          <w:szCs w:val="21"/>
        </w:rPr>
        <w:t>Figures</w:t>
      </w:r>
    </w:p>
    <w:p w14:paraId="13F22EFF" w14:textId="662E453C" w:rsidR="00EB7236" w:rsidRDefault="00FF5728" w:rsidP="00FF5728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 w:hint="eastAsia"/>
          <w:b/>
          <w:bCs/>
          <w:sz w:val="21"/>
          <w:szCs w:val="21"/>
        </w:rPr>
      </w:pPr>
      <w:r>
        <w:rPr>
          <w:noProof/>
        </w:rPr>
        <w:drawing>
          <wp:inline distT="0" distB="0" distL="0" distR="0" wp14:anchorId="5B492127" wp14:editId="63FD7493">
            <wp:extent cx="2838450" cy="2619375"/>
            <wp:effectExtent l="0" t="0" r="0" b="9525"/>
            <wp:docPr id="20071346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377B0" w14:textId="77777777" w:rsidR="00EB7236" w:rsidRPr="00A33714" w:rsidRDefault="00EB7236" w:rsidP="00EB723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bookmarkStart w:id="6" w:name="OLE_LINK53"/>
      <w:r w:rsidRPr="00A33714">
        <w:rPr>
          <w:rFonts w:ascii="Times New Roman" w:hAnsi="Times New Roman" w:cs="Times New Roman" w:hint="eastAsia"/>
          <w:b/>
          <w:bCs/>
          <w:sz w:val="21"/>
          <w:szCs w:val="21"/>
        </w:rPr>
        <w:t>Supplementary</w:t>
      </w:r>
      <w:r w:rsidRPr="00A33714">
        <w:rPr>
          <w:rFonts w:ascii="Times New Roman" w:hAnsi="Times New Roman" w:cs="Times New Roman"/>
          <w:b/>
          <w:bCs/>
        </w:rPr>
        <w:t xml:space="preserve"> Fig</w:t>
      </w:r>
      <w:bookmarkEnd w:id="6"/>
      <w:r w:rsidRPr="00A33714">
        <w:rPr>
          <w:rFonts w:ascii="Times New Roman" w:hAnsi="Times New Roman" w:cs="Times New Roman"/>
          <w:b/>
          <w:bCs/>
        </w:rPr>
        <w:t xml:space="preserve">. </w:t>
      </w:r>
      <w:r w:rsidRPr="00A33714">
        <w:rPr>
          <w:rFonts w:ascii="Times New Roman" w:hAnsi="Times New Roman" w:cs="Times New Roman" w:hint="eastAsia"/>
          <w:b/>
          <w:bCs/>
        </w:rPr>
        <w:t>1</w:t>
      </w:r>
      <w:r w:rsidRPr="00A33714">
        <w:rPr>
          <w:rFonts w:ascii="Times New Roman" w:hAnsi="Times New Roman" w:cs="Times New Roman"/>
          <w:b/>
          <w:bCs/>
        </w:rPr>
        <w:t>. ROC Curve Analysis of Vancomycin Trough Concentration for VA-AKI Prediction.</w:t>
      </w:r>
    </w:p>
    <w:p w14:paraId="21B355E9" w14:textId="77777777" w:rsidR="00EB7236" w:rsidRDefault="00EB7236" w:rsidP="00EB723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33714">
        <w:rPr>
          <w:rFonts w:ascii="Times New Roman" w:hAnsi="Times New Roman" w:cs="Times New Roman" w:hint="eastAsia"/>
          <w:sz w:val="16"/>
          <w:szCs w:val="16"/>
        </w:rPr>
        <w:t>Legend</w:t>
      </w:r>
      <w:r w:rsidRPr="00A33714">
        <w:rPr>
          <w:rFonts w:ascii="Times New Roman" w:hAnsi="Times New Roman" w:cs="Times New Roman"/>
          <w:sz w:val="16"/>
          <w:szCs w:val="16"/>
        </w:rPr>
        <w:t xml:space="preserve">: </w:t>
      </w:r>
      <w:r w:rsidRPr="00A33714">
        <w:rPr>
          <w:rFonts w:ascii="Times New Roman" w:hAnsi="Times New Roman" w:cs="Times New Roman" w:hint="eastAsia"/>
          <w:sz w:val="16"/>
          <w:szCs w:val="16"/>
        </w:rPr>
        <w:t xml:space="preserve">The ROC curve demonstrated the predictive performance of </w:t>
      </w:r>
      <w:r w:rsidRPr="00A33714">
        <w:rPr>
          <w:rFonts w:ascii="Times New Roman" w:hAnsi="Times New Roman" w:cs="Times New Roman"/>
          <w:sz w:val="16"/>
          <w:szCs w:val="16"/>
        </w:rPr>
        <w:t xml:space="preserve">the </w:t>
      </w:r>
      <w:r w:rsidRPr="00A33714">
        <w:rPr>
          <w:rFonts w:ascii="Times New Roman" w:hAnsi="Times New Roman" w:cs="Times New Roman" w:hint="eastAsia"/>
          <w:sz w:val="16"/>
          <w:szCs w:val="16"/>
        </w:rPr>
        <w:t>first vancomycin trough concentration for VA-AKI development. The area under the curve (AUC) was 0.643 (95% CI: 0.615</w:t>
      </w:r>
      <w:r w:rsidRPr="00A33714">
        <w:rPr>
          <w:rFonts w:ascii="Times New Roman" w:hAnsi="Times New Roman" w:cs="Times New Roman"/>
          <w:sz w:val="16"/>
          <w:szCs w:val="16"/>
        </w:rPr>
        <w:t>–</w:t>
      </w:r>
      <w:r w:rsidRPr="00A33714">
        <w:rPr>
          <w:rFonts w:ascii="Times New Roman" w:hAnsi="Times New Roman" w:cs="Times New Roman" w:hint="eastAsia"/>
          <w:sz w:val="16"/>
          <w:szCs w:val="16"/>
        </w:rPr>
        <w:t xml:space="preserve">0.670, </w:t>
      </w:r>
      <w:r w:rsidRPr="00A33714">
        <w:rPr>
          <w:rFonts w:ascii="Times New Roman" w:hAnsi="Times New Roman" w:cs="Times New Roman" w:hint="eastAsia"/>
          <w:i/>
          <w:iCs/>
          <w:sz w:val="16"/>
          <w:szCs w:val="16"/>
        </w:rPr>
        <w:t>P &lt;</w:t>
      </w:r>
      <w:r w:rsidRPr="00A33714">
        <w:rPr>
          <w:rFonts w:ascii="Times New Roman" w:hAnsi="Times New Roman" w:cs="Times New Roman" w:hint="eastAsia"/>
          <w:sz w:val="16"/>
          <w:szCs w:val="16"/>
        </w:rPr>
        <w:t xml:space="preserve"> 0.001). The optimal cutoff value determined by Youden's index was 15.935 mg/L.</w:t>
      </w:r>
    </w:p>
    <w:p w14:paraId="10ECC83D" w14:textId="0958EB7E" w:rsidR="00FF5728" w:rsidRPr="00A33714" w:rsidRDefault="00FF5728" w:rsidP="00EB723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3A2103E4" wp14:editId="4E09AB4C">
            <wp:extent cx="5274310" cy="7032625"/>
            <wp:effectExtent l="0" t="0" r="2540" b="0"/>
            <wp:docPr id="18672908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37D3E" w14:textId="77777777" w:rsidR="00EB7236" w:rsidRPr="00A33714" w:rsidRDefault="00EB7236" w:rsidP="00EB7236">
      <w:pPr>
        <w:spacing w:line="276" w:lineRule="auto"/>
        <w:rPr>
          <w:rFonts w:ascii="Times New Roman" w:eastAsia="等线" w:hAnsi="Times New Roman" w:cs="Times New Roman"/>
          <w:b/>
          <w:bCs/>
          <w:sz w:val="21"/>
          <w:szCs w:val="22"/>
          <w14:ligatures w14:val="none"/>
        </w:rPr>
      </w:pPr>
      <w:bookmarkStart w:id="7" w:name="OLE_LINK46"/>
      <w:r w:rsidRPr="00A33714">
        <w:rPr>
          <w:rFonts w:ascii="Times New Roman" w:hAnsi="Times New Roman" w:cs="Times New Roman" w:hint="eastAsia"/>
          <w:b/>
          <w:bCs/>
          <w:sz w:val="21"/>
          <w:szCs w:val="21"/>
        </w:rPr>
        <w:t>Supplementary Fig</w:t>
      </w:r>
      <w:r w:rsidRPr="00A33714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A3371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2. Feature selection and coefficient paths in LASSO regression.</w:t>
      </w:r>
    </w:p>
    <w:bookmarkEnd w:id="7"/>
    <w:p w14:paraId="5318BD2A" w14:textId="77777777" w:rsidR="00EB7236" w:rsidRPr="009E3132" w:rsidRDefault="00EB7236" w:rsidP="00EB723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33714">
        <w:rPr>
          <w:rFonts w:ascii="Times New Roman" w:hAnsi="Times New Roman" w:cs="Times New Roman" w:hint="eastAsia"/>
          <w:sz w:val="16"/>
          <w:szCs w:val="16"/>
        </w:rPr>
        <w:t xml:space="preserve">Legend: The </w:t>
      </w:r>
      <w:r w:rsidRPr="00A33714">
        <w:rPr>
          <w:rFonts w:ascii="Times New Roman" w:hAnsi="Times New Roman" w:cs="Times New Roman"/>
          <w:sz w:val="16"/>
          <w:szCs w:val="16"/>
        </w:rPr>
        <w:t>f</w:t>
      </w:r>
      <w:r w:rsidRPr="00A33714">
        <w:rPr>
          <w:rFonts w:ascii="Times New Roman" w:hAnsi="Times New Roman" w:cs="Times New Roman" w:hint="eastAsia"/>
          <w:sz w:val="16"/>
          <w:szCs w:val="16"/>
        </w:rPr>
        <w:t>ig</w:t>
      </w:r>
      <w:r w:rsidRPr="00A33714">
        <w:rPr>
          <w:rFonts w:ascii="Times New Roman" w:hAnsi="Times New Roman" w:cs="Times New Roman"/>
          <w:sz w:val="16"/>
          <w:szCs w:val="16"/>
        </w:rPr>
        <w:t>ure</w:t>
      </w:r>
      <w:r w:rsidRPr="00A33714">
        <w:rPr>
          <w:rFonts w:ascii="Times New Roman" w:hAnsi="Times New Roman" w:cs="Times New Roman" w:hint="eastAsia"/>
          <w:sz w:val="16"/>
          <w:szCs w:val="16"/>
        </w:rPr>
        <w:t xml:space="preserve"> illustrates the LASSO regression analysis used for feature selection and model validation. (A) LASSO coefficient paths: The trajectories of regression coefficients for all candidate variables as a function of the L1 regularization parameter (</w:t>
      </w:r>
      <w:r w:rsidRPr="00A33714">
        <w:rPr>
          <w:rFonts w:ascii="Times New Roman" w:hAnsi="Times New Roman" w:cs="Times New Roman" w:hint="eastAsia"/>
          <w:sz w:val="16"/>
          <w:szCs w:val="16"/>
        </w:rPr>
        <w:t>λ</w:t>
      </w:r>
      <w:r w:rsidRPr="00A33714">
        <w:rPr>
          <w:rFonts w:ascii="Times New Roman" w:hAnsi="Times New Roman" w:cs="Times New Roman" w:hint="eastAsia"/>
          <w:sz w:val="16"/>
          <w:szCs w:val="16"/>
        </w:rPr>
        <w:t xml:space="preserve">). Each colored line represents a specific predictor variable. As </w:t>
      </w:r>
      <w:r w:rsidRPr="00A33714">
        <w:rPr>
          <w:rFonts w:ascii="Times New Roman" w:hAnsi="Times New Roman" w:cs="Times New Roman" w:hint="eastAsia"/>
          <w:sz w:val="16"/>
          <w:szCs w:val="16"/>
        </w:rPr>
        <w:t>λ</w:t>
      </w:r>
      <w:r w:rsidRPr="00A33714">
        <w:rPr>
          <w:rFonts w:ascii="Times New Roman" w:hAnsi="Times New Roman" w:cs="Times New Roman" w:hint="eastAsia"/>
          <w:sz w:val="16"/>
          <w:szCs w:val="16"/>
        </w:rPr>
        <w:t xml:space="preserve"> increases (moving left to right on the x-axis), coefficients are progressively shrunk toward zero, with less important variables being eliminated first. Variables that maintain non-zero coefficients across a wide range of </w:t>
      </w:r>
      <w:r w:rsidRPr="00A33714">
        <w:rPr>
          <w:rFonts w:ascii="Times New Roman" w:hAnsi="Times New Roman" w:cs="Times New Roman" w:hint="eastAsia"/>
          <w:sz w:val="16"/>
          <w:szCs w:val="16"/>
        </w:rPr>
        <w:t>λ</w:t>
      </w:r>
      <w:r w:rsidRPr="00A33714">
        <w:rPr>
          <w:rFonts w:ascii="Times New Roman" w:hAnsi="Times New Roman" w:cs="Times New Roman" w:hint="eastAsia"/>
          <w:sz w:val="16"/>
          <w:szCs w:val="16"/>
        </w:rPr>
        <w:t xml:space="preserve"> values demonstrate greater robustness and predictive importance for VA-AKI. (B) </w:t>
      </w:r>
      <w:r w:rsidRPr="00A33714">
        <w:rPr>
          <w:rFonts w:ascii="Times New Roman" w:hAnsi="Times New Roman" w:cs="Times New Roman" w:hint="eastAsia"/>
          <w:sz w:val="16"/>
          <w:szCs w:val="16"/>
        </w:rPr>
        <w:lastRenderedPageBreak/>
        <w:t xml:space="preserve">Cross-validation curve: The plot </w:t>
      </w:r>
      <w:r w:rsidRPr="00A33714">
        <w:rPr>
          <w:rFonts w:ascii="Times New Roman" w:hAnsi="Times New Roman" w:cs="Times New Roman"/>
          <w:sz w:val="16"/>
          <w:szCs w:val="16"/>
        </w:rPr>
        <w:t>illustrates</w:t>
      </w:r>
      <w:r w:rsidRPr="00A33714">
        <w:rPr>
          <w:rFonts w:ascii="Times New Roman" w:hAnsi="Times New Roman" w:cs="Times New Roman" w:hint="eastAsia"/>
          <w:sz w:val="16"/>
          <w:szCs w:val="16"/>
        </w:rPr>
        <w:t xml:space="preserve"> the mean cross-validated deviance (or prediction error) as a function of log(</w:t>
      </w:r>
      <w:r w:rsidRPr="00A33714">
        <w:rPr>
          <w:rFonts w:ascii="Times New Roman" w:hAnsi="Times New Roman" w:cs="Times New Roman" w:hint="eastAsia"/>
          <w:sz w:val="16"/>
          <w:szCs w:val="16"/>
        </w:rPr>
        <w:t>λ</w:t>
      </w:r>
      <w:r w:rsidRPr="00A33714">
        <w:rPr>
          <w:rFonts w:ascii="Times New Roman" w:hAnsi="Times New Roman" w:cs="Times New Roman" w:hint="eastAsia"/>
          <w:sz w:val="16"/>
          <w:szCs w:val="16"/>
        </w:rPr>
        <w:t xml:space="preserve">), determined by 10-fold cross-validation. The vertical dashed lines indicate </w:t>
      </w:r>
      <w:r w:rsidRPr="00A33714">
        <w:rPr>
          <w:rFonts w:ascii="Times New Roman" w:hAnsi="Times New Roman" w:cs="Times New Roman" w:hint="eastAsia"/>
          <w:sz w:val="16"/>
          <w:szCs w:val="16"/>
        </w:rPr>
        <w:t>λ</w:t>
      </w:r>
      <w:r w:rsidRPr="00A33714">
        <w:rPr>
          <w:rFonts w:ascii="Times New Roman" w:hAnsi="Times New Roman" w:cs="Times New Roman" w:hint="eastAsia"/>
          <w:sz w:val="16"/>
          <w:szCs w:val="16"/>
        </w:rPr>
        <w:t xml:space="preserve">.min (the value that minimizes the cross-validation error) and </w:t>
      </w:r>
      <w:r w:rsidRPr="00A33714">
        <w:rPr>
          <w:rFonts w:ascii="Times New Roman" w:hAnsi="Times New Roman" w:cs="Times New Roman" w:hint="eastAsia"/>
          <w:sz w:val="16"/>
          <w:szCs w:val="16"/>
        </w:rPr>
        <w:t>λ</w:t>
      </w:r>
      <w:r w:rsidRPr="00A33714">
        <w:rPr>
          <w:rFonts w:ascii="Times New Roman" w:hAnsi="Times New Roman" w:cs="Times New Roman" w:hint="eastAsia"/>
          <w:sz w:val="16"/>
          <w:szCs w:val="16"/>
        </w:rPr>
        <w:t xml:space="preserve">.1se (the largest </w:t>
      </w:r>
      <w:r w:rsidRPr="00A33714">
        <w:rPr>
          <w:rFonts w:ascii="Times New Roman" w:hAnsi="Times New Roman" w:cs="Times New Roman" w:hint="eastAsia"/>
          <w:sz w:val="16"/>
          <w:szCs w:val="16"/>
        </w:rPr>
        <w:t>λ</w:t>
      </w:r>
      <w:r w:rsidRPr="00A33714">
        <w:rPr>
          <w:rFonts w:ascii="Times New Roman" w:hAnsi="Times New Roman" w:cs="Times New Roman" w:hint="eastAsia"/>
          <w:sz w:val="16"/>
          <w:szCs w:val="16"/>
        </w:rPr>
        <w:t xml:space="preserve"> value within one standard error of the minimum). The optimal model was selected using </w:t>
      </w:r>
      <w:r w:rsidRPr="00A33714">
        <w:rPr>
          <w:rFonts w:ascii="Times New Roman" w:hAnsi="Times New Roman" w:cs="Times New Roman" w:hint="eastAsia"/>
          <w:sz w:val="16"/>
          <w:szCs w:val="16"/>
        </w:rPr>
        <w:t>λ</w:t>
      </w:r>
      <w:r w:rsidRPr="00A33714">
        <w:rPr>
          <w:rFonts w:ascii="Times New Roman" w:hAnsi="Times New Roman" w:cs="Times New Roman" w:hint="eastAsia"/>
          <w:sz w:val="16"/>
          <w:szCs w:val="16"/>
        </w:rPr>
        <w:t>.min to balance model complexity and predictive performance. (C) Key variables identified by LASSO regression</w:t>
      </w:r>
      <w:r w:rsidRPr="00A33714">
        <w:rPr>
          <w:rFonts w:ascii="Times New Roman" w:hAnsi="Times New Roman" w:cs="Times New Roman" w:hint="eastAsia"/>
          <w:sz w:val="16"/>
          <w:szCs w:val="16"/>
        </w:rPr>
        <w:t>—</w:t>
      </w:r>
      <w:r w:rsidRPr="00A33714">
        <w:rPr>
          <w:rFonts w:ascii="Times New Roman" w:hAnsi="Times New Roman" w:cs="Times New Roman" w:hint="eastAsia"/>
          <w:sz w:val="16"/>
          <w:szCs w:val="16"/>
        </w:rPr>
        <w:t xml:space="preserve">including vancomycin trough concentration </w:t>
      </w:r>
      <w:r w:rsidRPr="00A33714">
        <w:rPr>
          <w:rFonts w:ascii="Times New Roman" w:hAnsi="Times New Roman" w:cs="Times New Roman"/>
          <w:sz w:val="16"/>
          <w:szCs w:val="16"/>
        </w:rPr>
        <w:t xml:space="preserve">≥ </w:t>
      </w:r>
      <w:r w:rsidRPr="00A33714">
        <w:rPr>
          <w:rFonts w:ascii="Times New Roman" w:hAnsi="Times New Roman" w:cs="Times New Roman" w:hint="eastAsia"/>
          <w:sz w:val="16"/>
          <w:szCs w:val="16"/>
        </w:rPr>
        <w:t xml:space="preserve">15.935 mg/L, treatment duration </w:t>
      </w:r>
      <w:r w:rsidRPr="00A33714">
        <w:rPr>
          <w:rFonts w:ascii="Times New Roman" w:hAnsi="Times New Roman" w:cs="Times New Roman"/>
          <w:sz w:val="16"/>
          <w:szCs w:val="16"/>
        </w:rPr>
        <w:t xml:space="preserve">≥ </w:t>
      </w:r>
      <w:r w:rsidRPr="00A33714">
        <w:rPr>
          <w:rFonts w:ascii="Times New Roman" w:hAnsi="Times New Roman" w:cs="Times New Roman" w:hint="eastAsia"/>
          <w:sz w:val="16"/>
          <w:szCs w:val="16"/>
        </w:rPr>
        <w:t>14 days, critical illness, cardiac dysfunction, and concomitant nephrotoxic medications (cephalosporins, piperacillin-tazobactam, contrast media)</w:t>
      </w:r>
      <w:r w:rsidRPr="00A33714">
        <w:rPr>
          <w:rFonts w:ascii="Times New Roman" w:hAnsi="Times New Roman" w:cs="Times New Roman" w:hint="eastAsia"/>
          <w:sz w:val="16"/>
          <w:szCs w:val="16"/>
        </w:rPr>
        <w:t>—</w:t>
      </w:r>
      <w:r w:rsidRPr="00A33714">
        <w:rPr>
          <w:rFonts w:ascii="Times New Roman" w:hAnsi="Times New Roman" w:cs="Times New Roman"/>
          <w:sz w:val="16"/>
          <w:szCs w:val="16"/>
        </w:rPr>
        <w:t>exhibited</w:t>
      </w:r>
      <w:r w:rsidRPr="00A33714">
        <w:rPr>
          <w:rFonts w:ascii="Times New Roman" w:hAnsi="Times New Roman" w:cs="Times New Roman" w:hint="eastAsia"/>
          <w:sz w:val="16"/>
          <w:szCs w:val="16"/>
        </w:rPr>
        <w:t xml:space="preserve"> consistent non-zero coefficients, validating the variable selection from the backward stepwise logistic regression model and confirming their independent association with VA-AKI risk.</w:t>
      </w:r>
    </w:p>
    <w:p w14:paraId="26FB6178" w14:textId="77777777" w:rsidR="00FA1CE6" w:rsidRPr="00EB7236" w:rsidRDefault="00FA1CE6" w:rsidP="00FA1CE6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1DC072A9" w14:textId="77777777" w:rsidR="00A54D30" w:rsidRPr="00FA1CE6" w:rsidRDefault="00A54D30"/>
    <w:sectPr w:rsidR="00A54D30" w:rsidRPr="00FA1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07F0" w14:textId="77777777" w:rsidR="00000E93" w:rsidRDefault="00000E93" w:rsidP="00FA1CE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F167BEF" w14:textId="77777777" w:rsidR="00000E93" w:rsidRDefault="00000E93" w:rsidP="00FA1CE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1149" w14:textId="77777777" w:rsidR="00000E93" w:rsidRDefault="00000E93" w:rsidP="00FA1CE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03FDCDF" w14:textId="77777777" w:rsidR="00000E93" w:rsidRDefault="00000E93" w:rsidP="00FA1CE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30"/>
    <w:rsid w:val="00000E93"/>
    <w:rsid w:val="00A54D30"/>
    <w:rsid w:val="00E72BB9"/>
    <w:rsid w:val="00EB7236"/>
    <w:rsid w:val="00FA1CE6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C0E13"/>
  <w15:chartTrackingRefBased/>
  <w15:docId w15:val="{FB3337D7-3A1A-4EC3-963A-6CBD158F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CE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D3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A1CE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A1CE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A1CE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A1CE6"/>
    <w:rPr>
      <w:sz w:val="18"/>
      <w:szCs w:val="18"/>
    </w:rPr>
  </w:style>
  <w:style w:type="table" w:styleId="af2">
    <w:name w:val="Table Grid"/>
    <w:basedOn w:val="a1"/>
    <w:qFormat/>
    <w:rsid w:val="00FA1CE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495</Words>
  <Characters>3028</Characters>
  <Application>Microsoft Office Word</Application>
  <DocSecurity>0</DocSecurity>
  <Lines>42</Lines>
  <Paragraphs>9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chen</dc:creator>
  <cp:keywords/>
  <dc:description/>
  <cp:lastModifiedBy>shu chen</cp:lastModifiedBy>
  <cp:revision>4</cp:revision>
  <dcterms:created xsi:type="dcterms:W3CDTF">2026-06-17T06:41:00Z</dcterms:created>
  <dcterms:modified xsi:type="dcterms:W3CDTF">2026-06-17T06:45:00Z</dcterms:modified>
</cp:coreProperties>
</file>