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1D69" w14:textId="77777777" w:rsidR="00F2606A" w:rsidRPr="006B1D4D" w:rsidRDefault="00000000">
      <w:pPr>
        <w:spacing w:after="120"/>
        <w:rPr>
          <w:rFonts w:ascii="Times New Roman" w:hAnsi="Times New Roman" w:cs="Times New Roman"/>
          <w:sz w:val="24"/>
          <w:szCs w:val="24"/>
        </w:rPr>
      </w:pPr>
      <w:r w:rsidRPr="006B1D4D">
        <w:rPr>
          <w:rFonts w:ascii="Times New Roman" w:hAnsi="Times New Roman" w:cs="Times New Roman"/>
          <w:b/>
          <w:bCs/>
          <w:sz w:val="24"/>
          <w:szCs w:val="24"/>
        </w:rPr>
        <w:t>Supplementary Table S1. Standardized Mean Differences Before and After IPTW</w:t>
      </w:r>
    </w:p>
    <w:tbl>
      <w:tblPr>
        <w:tblStyle w:val="TableGrid"/>
        <w:tblW w:w="9360" w:type="dxa"/>
        <w:tblLook w:val="04A0" w:firstRow="1" w:lastRow="0" w:firstColumn="1" w:lastColumn="0" w:noHBand="0" w:noVBand="1"/>
      </w:tblPr>
      <w:tblGrid>
        <w:gridCol w:w="3265"/>
        <w:gridCol w:w="1594"/>
        <w:gridCol w:w="1597"/>
        <w:gridCol w:w="1603"/>
        <w:gridCol w:w="1301"/>
      </w:tblGrid>
      <w:tr w:rsidR="00F2606A" w:rsidRPr="006B1D4D" w14:paraId="661A0180" w14:textId="77777777" w:rsidTr="006B1D4D">
        <w:tc>
          <w:tcPr>
            <w:tcW w:w="3360" w:type="dxa"/>
          </w:tcPr>
          <w:p w14:paraId="29733B4F"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b/>
                <w:bCs/>
                <w:sz w:val="24"/>
                <w:szCs w:val="24"/>
              </w:rPr>
              <w:t>Variable</w:t>
            </w:r>
          </w:p>
        </w:tc>
        <w:tc>
          <w:tcPr>
            <w:tcW w:w="1620" w:type="dxa"/>
          </w:tcPr>
          <w:p w14:paraId="44B70A55" w14:textId="77777777" w:rsidR="00F2606A" w:rsidRPr="006B1D4D" w:rsidRDefault="00000000">
            <w:pPr>
              <w:jc w:val="center"/>
              <w:rPr>
                <w:rFonts w:ascii="Times New Roman" w:hAnsi="Times New Roman" w:cs="Times New Roman"/>
                <w:sz w:val="24"/>
                <w:szCs w:val="24"/>
              </w:rPr>
            </w:pPr>
            <w:proofErr w:type="spellStart"/>
            <w:r w:rsidRPr="006B1D4D">
              <w:rPr>
                <w:rFonts w:ascii="Times New Roman" w:hAnsi="Times New Roman" w:cs="Times New Roman"/>
                <w:b/>
                <w:bCs/>
                <w:sz w:val="24"/>
                <w:szCs w:val="24"/>
              </w:rPr>
              <w:t>SmPCNL</w:t>
            </w:r>
            <w:proofErr w:type="spellEnd"/>
          </w:p>
          <w:p w14:paraId="3D144768"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b/>
                <w:bCs/>
                <w:sz w:val="24"/>
                <w:szCs w:val="24"/>
              </w:rPr>
              <w:t>(n = 78)</w:t>
            </w:r>
          </w:p>
        </w:tc>
        <w:tc>
          <w:tcPr>
            <w:tcW w:w="1620" w:type="dxa"/>
          </w:tcPr>
          <w:p w14:paraId="4E04232B" w14:textId="77777777" w:rsidR="00F2606A" w:rsidRPr="006B1D4D" w:rsidRDefault="00000000">
            <w:pPr>
              <w:jc w:val="center"/>
              <w:rPr>
                <w:rFonts w:ascii="Times New Roman" w:hAnsi="Times New Roman" w:cs="Times New Roman"/>
                <w:sz w:val="24"/>
                <w:szCs w:val="24"/>
              </w:rPr>
            </w:pPr>
            <w:proofErr w:type="spellStart"/>
            <w:r w:rsidRPr="006B1D4D">
              <w:rPr>
                <w:rFonts w:ascii="Times New Roman" w:hAnsi="Times New Roman" w:cs="Times New Roman"/>
                <w:b/>
                <w:bCs/>
                <w:sz w:val="24"/>
                <w:szCs w:val="24"/>
              </w:rPr>
              <w:t>VmPCNL</w:t>
            </w:r>
            <w:proofErr w:type="spellEnd"/>
          </w:p>
          <w:p w14:paraId="0FC5FFEA"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b/>
                <w:bCs/>
                <w:sz w:val="24"/>
                <w:szCs w:val="24"/>
              </w:rPr>
              <w:t>(n = 58)</w:t>
            </w:r>
          </w:p>
        </w:tc>
        <w:tc>
          <w:tcPr>
            <w:tcW w:w="1440" w:type="dxa"/>
          </w:tcPr>
          <w:p w14:paraId="39F77EF0"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b/>
                <w:bCs/>
                <w:sz w:val="24"/>
                <w:szCs w:val="24"/>
              </w:rPr>
              <w:t>SMD</w:t>
            </w:r>
          </w:p>
          <w:p w14:paraId="66CD893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b/>
                <w:bCs/>
                <w:sz w:val="24"/>
                <w:szCs w:val="24"/>
              </w:rPr>
              <w:t>(Unweighted)</w:t>
            </w:r>
          </w:p>
        </w:tc>
        <w:tc>
          <w:tcPr>
            <w:tcW w:w="1320" w:type="dxa"/>
          </w:tcPr>
          <w:p w14:paraId="7616D102"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b/>
                <w:bCs/>
                <w:sz w:val="24"/>
                <w:szCs w:val="24"/>
              </w:rPr>
              <w:t>SMD</w:t>
            </w:r>
          </w:p>
          <w:p w14:paraId="645D307C"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b/>
                <w:bCs/>
                <w:sz w:val="24"/>
                <w:szCs w:val="24"/>
              </w:rPr>
              <w:t>(IPTW)</w:t>
            </w:r>
          </w:p>
        </w:tc>
      </w:tr>
      <w:tr w:rsidR="00F2606A" w:rsidRPr="006B1D4D" w14:paraId="78D403C5" w14:textId="77777777" w:rsidTr="006B1D4D">
        <w:tc>
          <w:tcPr>
            <w:tcW w:w="3360" w:type="dxa"/>
          </w:tcPr>
          <w:p w14:paraId="0EB88064"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Age (years), mean ± SD</w:t>
            </w:r>
          </w:p>
        </w:tc>
        <w:tc>
          <w:tcPr>
            <w:tcW w:w="1620" w:type="dxa"/>
          </w:tcPr>
          <w:p w14:paraId="57223D97"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59.2 ± 6.3</w:t>
            </w:r>
          </w:p>
        </w:tc>
        <w:tc>
          <w:tcPr>
            <w:tcW w:w="1620" w:type="dxa"/>
          </w:tcPr>
          <w:p w14:paraId="57A1ABB6"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60.0 ± 6.2</w:t>
            </w:r>
          </w:p>
        </w:tc>
        <w:tc>
          <w:tcPr>
            <w:tcW w:w="1440" w:type="dxa"/>
          </w:tcPr>
          <w:p w14:paraId="7045477F"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0.13</w:t>
            </w:r>
          </w:p>
        </w:tc>
        <w:tc>
          <w:tcPr>
            <w:tcW w:w="1320" w:type="dxa"/>
          </w:tcPr>
          <w:p w14:paraId="2CD4BFEF"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0.04</w:t>
            </w:r>
          </w:p>
        </w:tc>
      </w:tr>
      <w:tr w:rsidR="00F2606A" w:rsidRPr="006B1D4D" w14:paraId="6ECF6866" w14:textId="77777777" w:rsidTr="006B1D4D">
        <w:tc>
          <w:tcPr>
            <w:tcW w:w="3360" w:type="dxa"/>
          </w:tcPr>
          <w:p w14:paraId="78A1957F"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Male sex,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69F12FEE"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37 (47.4)</w:t>
            </w:r>
          </w:p>
        </w:tc>
        <w:tc>
          <w:tcPr>
            <w:tcW w:w="1620" w:type="dxa"/>
          </w:tcPr>
          <w:p w14:paraId="64C8B4F8"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32 (55.2)</w:t>
            </w:r>
          </w:p>
        </w:tc>
        <w:tc>
          <w:tcPr>
            <w:tcW w:w="1440" w:type="dxa"/>
          </w:tcPr>
          <w:p w14:paraId="02D3836F"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0.16</w:t>
            </w:r>
          </w:p>
        </w:tc>
        <w:tc>
          <w:tcPr>
            <w:tcW w:w="1320" w:type="dxa"/>
          </w:tcPr>
          <w:p w14:paraId="0765FE0A"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0.05</w:t>
            </w:r>
          </w:p>
        </w:tc>
      </w:tr>
      <w:tr w:rsidR="00F2606A" w:rsidRPr="006B1D4D" w14:paraId="29500B6D" w14:textId="77777777" w:rsidTr="006B1D4D">
        <w:tc>
          <w:tcPr>
            <w:tcW w:w="3360" w:type="dxa"/>
          </w:tcPr>
          <w:p w14:paraId="25E50CAE"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BMI (kg/m²), mean ± SD</w:t>
            </w:r>
          </w:p>
        </w:tc>
        <w:tc>
          <w:tcPr>
            <w:tcW w:w="1620" w:type="dxa"/>
          </w:tcPr>
          <w:p w14:paraId="5F242EAC"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26.0 ± 5.5</w:t>
            </w:r>
          </w:p>
        </w:tc>
        <w:tc>
          <w:tcPr>
            <w:tcW w:w="1620" w:type="dxa"/>
          </w:tcPr>
          <w:p w14:paraId="0A1F76EC"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25.8 ± 4.9</w:t>
            </w:r>
          </w:p>
        </w:tc>
        <w:tc>
          <w:tcPr>
            <w:tcW w:w="1440" w:type="dxa"/>
          </w:tcPr>
          <w:p w14:paraId="7421E791"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0.04</w:t>
            </w:r>
          </w:p>
        </w:tc>
        <w:tc>
          <w:tcPr>
            <w:tcW w:w="1320" w:type="dxa"/>
          </w:tcPr>
          <w:p w14:paraId="53BD897B"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0.02</w:t>
            </w:r>
          </w:p>
        </w:tc>
      </w:tr>
      <w:tr w:rsidR="00F2606A" w:rsidRPr="006B1D4D" w14:paraId="1B468636" w14:textId="77777777" w:rsidTr="006B1D4D">
        <w:tc>
          <w:tcPr>
            <w:tcW w:w="3360" w:type="dxa"/>
          </w:tcPr>
          <w:p w14:paraId="7ED322F8"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ASA ≥ III,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04F18426"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23 (29.5)</w:t>
            </w:r>
          </w:p>
        </w:tc>
        <w:tc>
          <w:tcPr>
            <w:tcW w:w="1620" w:type="dxa"/>
          </w:tcPr>
          <w:p w14:paraId="4067699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22 (37.9)</w:t>
            </w:r>
          </w:p>
        </w:tc>
        <w:tc>
          <w:tcPr>
            <w:tcW w:w="1440" w:type="dxa"/>
          </w:tcPr>
          <w:p w14:paraId="5A4B94A2"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0.18</w:t>
            </w:r>
          </w:p>
        </w:tc>
        <w:tc>
          <w:tcPr>
            <w:tcW w:w="1320" w:type="dxa"/>
          </w:tcPr>
          <w:p w14:paraId="2091FA92"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0.07</w:t>
            </w:r>
          </w:p>
        </w:tc>
      </w:tr>
      <w:tr w:rsidR="00F2606A" w:rsidRPr="006B1D4D" w14:paraId="5C94F19E" w14:textId="77777777" w:rsidTr="006B1D4D">
        <w:tc>
          <w:tcPr>
            <w:tcW w:w="3360" w:type="dxa"/>
          </w:tcPr>
          <w:p w14:paraId="7B9790EB"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Diabetes mellitus,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009F7645"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 (7.7)</w:t>
            </w:r>
          </w:p>
        </w:tc>
        <w:tc>
          <w:tcPr>
            <w:tcW w:w="1620" w:type="dxa"/>
          </w:tcPr>
          <w:p w14:paraId="0088E1F4"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 (10.3)</w:t>
            </w:r>
          </w:p>
        </w:tc>
        <w:tc>
          <w:tcPr>
            <w:tcW w:w="1440" w:type="dxa"/>
          </w:tcPr>
          <w:p w14:paraId="1E50F98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0.09</w:t>
            </w:r>
          </w:p>
        </w:tc>
        <w:tc>
          <w:tcPr>
            <w:tcW w:w="1320" w:type="dxa"/>
          </w:tcPr>
          <w:p w14:paraId="23826622"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0.03</w:t>
            </w:r>
          </w:p>
        </w:tc>
      </w:tr>
      <w:tr w:rsidR="00F2606A" w:rsidRPr="006B1D4D" w14:paraId="6568734D" w14:textId="77777777" w:rsidTr="006B1D4D">
        <w:tc>
          <w:tcPr>
            <w:tcW w:w="3360" w:type="dxa"/>
          </w:tcPr>
          <w:p w14:paraId="590612A0"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Hypertension,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59056C93"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7 (9.0)</w:t>
            </w:r>
          </w:p>
        </w:tc>
        <w:tc>
          <w:tcPr>
            <w:tcW w:w="1620" w:type="dxa"/>
          </w:tcPr>
          <w:p w14:paraId="4023252F"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 (10.3)</w:t>
            </w:r>
          </w:p>
        </w:tc>
        <w:tc>
          <w:tcPr>
            <w:tcW w:w="1440" w:type="dxa"/>
          </w:tcPr>
          <w:p w14:paraId="1F56577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0.04</w:t>
            </w:r>
          </w:p>
        </w:tc>
        <w:tc>
          <w:tcPr>
            <w:tcW w:w="1320" w:type="dxa"/>
          </w:tcPr>
          <w:p w14:paraId="4E6720F7"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0.02</w:t>
            </w:r>
          </w:p>
        </w:tc>
      </w:tr>
      <w:tr w:rsidR="00F2606A" w:rsidRPr="006B1D4D" w14:paraId="2FCD1658" w14:textId="77777777" w:rsidTr="006B1D4D">
        <w:tc>
          <w:tcPr>
            <w:tcW w:w="3360" w:type="dxa"/>
          </w:tcPr>
          <w:p w14:paraId="731C4D6D"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Dyslipidemia,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1FD3437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 (7.7)</w:t>
            </w:r>
          </w:p>
        </w:tc>
        <w:tc>
          <w:tcPr>
            <w:tcW w:w="1620" w:type="dxa"/>
          </w:tcPr>
          <w:p w14:paraId="06D0D3A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 (10.3)</w:t>
            </w:r>
          </w:p>
        </w:tc>
        <w:tc>
          <w:tcPr>
            <w:tcW w:w="1440" w:type="dxa"/>
          </w:tcPr>
          <w:p w14:paraId="14554F58"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0.09</w:t>
            </w:r>
          </w:p>
        </w:tc>
        <w:tc>
          <w:tcPr>
            <w:tcW w:w="1320" w:type="dxa"/>
          </w:tcPr>
          <w:p w14:paraId="27D19EF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0.03</w:t>
            </w:r>
          </w:p>
        </w:tc>
      </w:tr>
      <w:tr w:rsidR="00F2606A" w:rsidRPr="006B1D4D" w14:paraId="3389B3FE" w14:textId="77777777" w:rsidTr="006B1D4D">
        <w:tc>
          <w:tcPr>
            <w:tcW w:w="3360" w:type="dxa"/>
          </w:tcPr>
          <w:p w14:paraId="69DEFDEA"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History of UTI,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2ABFF2F2"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9 (11.5)</w:t>
            </w:r>
          </w:p>
        </w:tc>
        <w:tc>
          <w:tcPr>
            <w:tcW w:w="1620" w:type="dxa"/>
          </w:tcPr>
          <w:p w14:paraId="20D7E7D6"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3 (5.2)</w:t>
            </w:r>
          </w:p>
        </w:tc>
        <w:tc>
          <w:tcPr>
            <w:tcW w:w="1440" w:type="dxa"/>
          </w:tcPr>
          <w:p w14:paraId="15E5BFE1"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0.23</w:t>
            </w:r>
          </w:p>
        </w:tc>
        <w:tc>
          <w:tcPr>
            <w:tcW w:w="1320" w:type="dxa"/>
          </w:tcPr>
          <w:p w14:paraId="29FEEAF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0.08</w:t>
            </w:r>
          </w:p>
        </w:tc>
      </w:tr>
      <w:tr w:rsidR="00F2606A" w:rsidRPr="006B1D4D" w14:paraId="6F7D7363" w14:textId="77777777" w:rsidTr="006B1D4D">
        <w:tc>
          <w:tcPr>
            <w:tcW w:w="3360" w:type="dxa"/>
          </w:tcPr>
          <w:p w14:paraId="44CAE712"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Positive urine culture,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370F888A"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13 (16.7)</w:t>
            </w:r>
          </w:p>
        </w:tc>
        <w:tc>
          <w:tcPr>
            <w:tcW w:w="1620" w:type="dxa"/>
          </w:tcPr>
          <w:p w14:paraId="69F5D84B"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 (10.3)</w:t>
            </w:r>
          </w:p>
        </w:tc>
        <w:tc>
          <w:tcPr>
            <w:tcW w:w="1440" w:type="dxa"/>
          </w:tcPr>
          <w:p w14:paraId="17779E00"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0.19</w:t>
            </w:r>
          </w:p>
        </w:tc>
        <w:tc>
          <w:tcPr>
            <w:tcW w:w="1320" w:type="dxa"/>
          </w:tcPr>
          <w:p w14:paraId="62F516E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0.06</w:t>
            </w:r>
          </w:p>
        </w:tc>
      </w:tr>
      <w:tr w:rsidR="00F2606A" w:rsidRPr="006B1D4D" w14:paraId="7073E166" w14:textId="77777777" w:rsidTr="006B1D4D">
        <w:tc>
          <w:tcPr>
            <w:tcW w:w="3360" w:type="dxa"/>
          </w:tcPr>
          <w:p w14:paraId="3AC08F62"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Previous stone surgery,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0849642B"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 (7.7)</w:t>
            </w:r>
          </w:p>
        </w:tc>
        <w:tc>
          <w:tcPr>
            <w:tcW w:w="1620" w:type="dxa"/>
          </w:tcPr>
          <w:p w14:paraId="029476A1"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6 (10.3)</w:t>
            </w:r>
          </w:p>
        </w:tc>
        <w:tc>
          <w:tcPr>
            <w:tcW w:w="1440" w:type="dxa"/>
          </w:tcPr>
          <w:p w14:paraId="1497AA06"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0.09</w:t>
            </w:r>
          </w:p>
        </w:tc>
        <w:tc>
          <w:tcPr>
            <w:tcW w:w="1320" w:type="dxa"/>
          </w:tcPr>
          <w:p w14:paraId="1962701E"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0.03</w:t>
            </w:r>
          </w:p>
        </w:tc>
      </w:tr>
      <w:tr w:rsidR="00F2606A" w:rsidRPr="006B1D4D" w14:paraId="318818DA" w14:textId="77777777" w:rsidTr="006B1D4D">
        <w:tc>
          <w:tcPr>
            <w:tcW w:w="3360" w:type="dxa"/>
          </w:tcPr>
          <w:p w14:paraId="289AF03B"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GSS ≥ III,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5AFEC9BE"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28 (35.9)</w:t>
            </w:r>
          </w:p>
        </w:tc>
        <w:tc>
          <w:tcPr>
            <w:tcW w:w="1620" w:type="dxa"/>
          </w:tcPr>
          <w:p w14:paraId="7B8E74B5"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24 (41.4)</w:t>
            </w:r>
          </w:p>
        </w:tc>
        <w:tc>
          <w:tcPr>
            <w:tcW w:w="1440" w:type="dxa"/>
          </w:tcPr>
          <w:p w14:paraId="2320392B"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0.11</w:t>
            </w:r>
          </w:p>
        </w:tc>
        <w:tc>
          <w:tcPr>
            <w:tcW w:w="1320" w:type="dxa"/>
          </w:tcPr>
          <w:p w14:paraId="263DF260"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0.04</w:t>
            </w:r>
          </w:p>
        </w:tc>
      </w:tr>
      <w:tr w:rsidR="00F2606A" w:rsidRPr="006B1D4D" w14:paraId="241A1BD7" w14:textId="77777777" w:rsidTr="006B1D4D">
        <w:tc>
          <w:tcPr>
            <w:tcW w:w="3360" w:type="dxa"/>
          </w:tcPr>
          <w:p w14:paraId="4D2E4414"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Stone volume (mm³), mean ± SD</w:t>
            </w:r>
          </w:p>
        </w:tc>
        <w:tc>
          <w:tcPr>
            <w:tcW w:w="1620" w:type="dxa"/>
          </w:tcPr>
          <w:p w14:paraId="02F687CA"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2640 ± 951</w:t>
            </w:r>
          </w:p>
        </w:tc>
        <w:tc>
          <w:tcPr>
            <w:tcW w:w="1620" w:type="dxa"/>
          </w:tcPr>
          <w:p w14:paraId="46C3FFAA"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2788 ± 856</w:t>
            </w:r>
          </w:p>
        </w:tc>
        <w:tc>
          <w:tcPr>
            <w:tcW w:w="1440" w:type="dxa"/>
          </w:tcPr>
          <w:p w14:paraId="6833E7D6"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0.16</w:t>
            </w:r>
          </w:p>
        </w:tc>
        <w:tc>
          <w:tcPr>
            <w:tcW w:w="1320" w:type="dxa"/>
          </w:tcPr>
          <w:p w14:paraId="2A51EDBC"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0.05</w:t>
            </w:r>
          </w:p>
        </w:tc>
      </w:tr>
      <w:tr w:rsidR="00F2606A" w:rsidRPr="006B1D4D" w14:paraId="554A7BDE" w14:textId="77777777" w:rsidTr="006B1D4D">
        <w:tc>
          <w:tcPr>
            <w:tcW w:w="3360" w:type="dxa"/>
          </w:tcPr>
          <w:p w14:paraId="18AAD914"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Stone density (HU), mean ± SD</w:t>
            </w:r>
          </w:p>
        </w:tc>
        <w:tc>
          <w:tcPr>
            <w:tcW w:w="1620" w:type="dxa"/>
          </w:tcPr>
          <w:p w14:paraId="6D56A32A"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955 ± 300</w:t>
            </w:r>
          </w:p>
        </w:tc>
        <w:tc>
          <w:tcPr>
            <w:tcW w:w="1620" w:type="dxa"/>
          </w:tcPr>
          <w:p w14:paraId="2FBE665D"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990 ± 385</w:t>
            </w:r>
          </w:p>
        </w:tc>
        <w:tc>
          <w:tcPr>
            <w:tcW w:w="1440" w:type="dxa"/>
          </w:tcPr>
          <w:p w14:paraId="3669CB0A"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0.10</w:t>
            </w:r>
          </w:p>
        </w:tc>
        <w:tc>
          <w:tcPr>
            <w:tcW w:w="1320" w:type="dxa"/>
          </w:tcPr>
          <w:p w14:paraId="139EFC87"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0.04</w:t>
            </w:r>
          </w:p>
        </w:tc>
      </w:tr>
      <w:tr w:rsidR="00F2606A" w:rsidRPr="006B1D4D" w14:paraId="4E339203" w14:textId="77777777" w:rsidTr="006B1D4D">
        <w:tc>
          <w:tcPr>
            <w:tcW w:w="3360" w:type="dxa"/>
          </w:tcPr>
          <w:p w14:paraId="257ECFAA"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Multiple stones,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0CF16256"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9 (11.5)</w:t>
            </w:r>
          </w:p>
        </w:tc>
        <w:tc>
          <w:tcPr>
            <w:tcW w:w="1620" w:type="dxa"/>
          </w:tcPr>
          <w:p w14:paraId="23562BDA"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8 (13.8)</w:t>
            </w:r>
          </w:p>
        </w:tc>
        <w:tc>
          <w:tcPr>
            <w:tcW w:w="1440" w:type="dxa"/>
          </w:tcPr>
          <w:p w14:paraId="3BDCFCEC"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0.07</w:t>
            </w:r>
          </w:p>
        </w:tc>
        <w:tc>
          <w:tcPr>
            <w:tcW w:w="1320" w:type="dxa"/>
          </w:tcPr>
          <w:p w14:paraId="27DFC274"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0.02</w:t>
            </w:r>
          </w:p>
        </w:tc>
      </w:tr>
      <w:tr w:rsidR="00F2606A" w:rsidRPr="006B1D4D" w14:paraId="1B3A739F" w14:textId="77777777" w:rsidTr="006B1D4D">
        <w:tc>
          <w:tcPr>
            <w:tcW w:w="3360" w:type="dxa"/>
          </w:tcPr>
          <w:p w14:paraId="2B756DEF"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 xml:space="preserve">Hydronephrosis, </w:t>
            </w:r>
            <w:r w:rsidRPr="006B1D4D">
              <w:rPr>
                <w:rFonts w:ascii="Times New Roman" w:hAnsi="Times New Roman" w:cs="Times New Roman"/>
                <w:i/>
                <w:iCs/>
                <w:sz w:val="24"/>
                <w:szCs w:val="24"/>
              </w:rPr>
              <w:t>n</w:t>
            </w:r>
            <w:r w:rsidRPr="006B1D4D">
              <w:rPr>
                <w:rFonts w:ascii="Times New Roman" w:hAnsi="Times New Roman" w:cs="Times New Roman"/>
                <w:sz w:val="24"/>
                <w:szCs w:val="24"/>
              </w:rPr>
              <w:t xml:space="preserve"> (%)</w:t>
            </w:r>
          </w:p>
        </w:tc>
        <w:tc>
          <w:tcPr>
            <w:tcW w:w="1620" w:type="dxa"/>
          </w:tcPr>
          <w:p w14:paraId="5307326E"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30 (38.5)</w:t>
            </w:r>
          </w:p>
        </w:tc>
        <w:tc>
          <w:tcPr>
            <w:tcW w:w="1620" w:type="dxa"/>
          </w:tcPr>
          <w:p w14:paraId="5626802C"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23 (39.7)</w:t>
            </w:r>
          </w:p>
        </w:tc>
        <w:tc>
          <w:tcPr>
            <w:tcW w:w="1440" w:type="dxa"/>
          </w:tcPr>
          <w:p w14:paraId="1E100C80"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0.02</w:t>
            </w:r>
          </w:p>
        </w:tc>
        <w:tc>
          <w:tcPr>
            <w:tcW w:w="1320" w:type="dxa"/>
          </w:tcPr>
          <w:p w14:paraId="68BC4F48"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0.01</w:t>
            </w:r>
          </w:p>
        </w:tc>
      </w:tr>
      <w:tr w:rsidR="00F2606A" w:rsidRPr="006B1D4D" w14:paraId="4AA67226" w14:textId="77777777" w:rsidTr="006B1D4D">
        <w:tc>
          <w:tcPr>
            <w:tcW w:w="3360" w:type="dxa"/>
          </w:tcPr>
          <w:p w14:paraId="2C7254E8"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t>Preoperative eGFR (mL/min/1.73 m²), mean ± SD</w:t>
            </w:r>
          </w:p>
        </w:tc>
        <w:tc>
          <w:tcPr>
            <w:tcW w:w="1620" w:type="dxa"/>
          </w:tcPr>
          <w:p w14:paraId="39302053"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88.5 ± 14.2</w:t>
            </w:r>
          </w:p>
        </w:tc>
        <w:tc>
          <w:tcPr>
            <w:tcW w:w="1620" w:type="dxa"/>
          </w:tcPr>
          <w:p w14:paraId="0654D40B"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88.2 ± 18.1</w:t>
            </w:r>
          </w:p>
        </w:tc>
        <w:tc>
          <w:tcPr>
            <w:tcW w:w="1440" w:type="dxa"/>
          </w:tcPr>
          <w:p w14:paraId="7F574CD6"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0.02</w:t>
            </w:r>
          </w:p>
        </w:tc>
        <w:tc>
          <w:tcPr>
            <w:tcW w:w="1320" w:type="dxa"/>
          </w:tcPr>
          <w:p w14:paraId="532B9957" w14:textId="77777777" w:rsidR="00F2606A" w:rsidRPr="006B1D4D" w:rsidRDefault="00000000">
            <w:pPr>
              <w:jc w:val="center"/>
              <w:rPr>
                <w:rFonts w:ascii="Times New Roman" w:hAnsi="Times New Roman" w:cs="Times New Roman"/>
                <w:sz w:val="24"/>
                <w:szCs w:val="24"/>
              </w:rPr>
            </w:pPr>
            <w:r w:rsidRPr="006B1D4D">
              <w:rPr>
                <w:rFonts w:ascii="Times New Roman" w:hAnsi="Times New Roman" w:cs="Times New Roman"/>
                <w:sz w:val="24"/>
                <w:szCs w:val="24"/>
              </w:rPr>
              <w:t>0.01</w:t>
            </w:r>
          </w:p>
        </w:tc>
      </w:tr>
    </w:tbl>
    <w:p w14:paraId="6E7609F2" w14:textId="77777777" w:rsidR="00F2606A" w:rsidRPr="006B1D4D" w:rsidRDefault="00000000">
      <w:pPr>
        <w:spacing w:before="120" w:after="80"/>
        <w:rPr>
          <w:rFonts w:ascii="Times New Roman" w:hAnsi="Times New Roman" w:cs="Times New Roman"/>
          <w:sz w:val="24"/>
          <w:szCs w:val="24"/>
        </w:rPr>
      </w:pPr>
      <w:r w:rsidRPr="006B1D4D">
        <w:rPr>
          <w:rFonts w:ascii="Times New Roman" w:hAnsi="Times New Roman" w:cs="Times New Roman"/>
          <w:i/>
          <w:iCs/>
          <w:sz w:val="24"/>
          <w:szCs w:val="24"/>
        </w:rPr>
        <w:t xml:space="preserve">Note: </w:t>
      </w:r>
      <w:r w:rsidRPr="006B1D4D">
        <w:rPr>
          <w:rFonts w:ascii="Times New Roman" w:hAnsi="Times New Roman" w:cs="Times New Roman"/>
          <w:sz w:val="24"/>
          <w:szCs w:val="24"/>
        </w:rPr>
        <w:t>SMD = standardized mean difference; IPTW = inverse probability of treatment weighting; SD = standard deviation. An SMD &lt; 0.1 was considered indicative of adequate covariate balance. The propensity score was estimated using preoperative covariates only.</w:t>
      </w:r>
    </w:p>
    <w:p w14:paraId="41688991" w14:textId="77777777" w:rsidR="00F2606A" w:rsidRPr="006B1D4D" w:rsidRDefault="00000000">
      <w:pPr>
        <w:rPr>
          <w:rFonts w:ascii="Times New Roman" w:hAnsi="Times New Roman" w:cs="Times New Roman"/>
          <w:sz w:val="24"/>
          <w:szCs w:val="24"/>
        </w:rPr>
      </w:pPr>
      <w:r w:rsidRPr="006B1D4D">
        <w:rPr>
          <w:rFonts w:ascii="Times New Roman" w:hAnsi="Times New Roman" w:cs="Times New Roman"/>
          <w:sz w:val="24"/>
          <w:szCs w:val="24"/>
        </w:rPr>
        <w:br w:type="page"/>
      </w:r>
    </w:p>
    <w:p w14:paraId="627254DE" w14:textId="00268F42" w:rsidR="00F2606A" w:rsidRPr="006B1D4D" w:rsidRDefault="006B1D4D">
      <w:pPr>
        <w:spacing w:after="160"/>
        <w:jc w:val="center"/>
        <w:rPr>
          <w:rFonts w:ascii="Times New Roman" w:hAnsi="Times New Roman" w:cs="Times New Roman"/>
          <w:sz w:val="24"/>
          <w:szCs w:val="24"/>
        </w:rPr>
      </w:pPr>
      <w:r>
        <w:rPr>
          <w:noProof/>
        </w:rPr>
        <w:lastRenderedPageBreak/>
        <w:drawing>
          <wp:inline distT="0" distB="0" distL="0" distR="0" wp14:anchorId="77A44CFB" wp14:editId="6217FBD6">
            <wp:extent cx="6190690" cy="4143375"/>
            <wp:effectExtent l="0" t="0" r="635" b="0"/>
            <wp:docPr id="1032466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138" cy="4156392"/>
                    </a:xfrm>
                    <a:prstGeom prst="rect">
                      <a:avLst/>
                    </a:prstGeom>
                    <a:noFill/>
                    <a:ln>
                      <a:noFill/>
                    </a:ln>
                  </pic:spPr>
                </pic:pic>
              </a:graphicData>
            </a:graphic>
          </wp:inline>
        </w:drawing>
      </w:r>
    </w:p>
    <w:p w14:paraId="572EB6A4" w14:textId="77777777" w:rsidR="00F2606A" w:rsidRPr="006B1D4D" w:rsidRDefault="00000000">
      <w:pPr>
        <w:spacing w:after="120" w:line="276" w:lineRule="auto"/>
        <w:rPr>
          <w:rFonts w:ascii="Times New Roman" w:hAnsi="Times New Roman" w:cs="Times New Roman"/>
          <w:sz w:val="24"/>
          <w:szCs w:val="24"/>
        </w:rPr>
      </w:pPr>
      <w:r w:rsidRPr="006B1D4D">
        <w:rPr>
          <w:rFonts w:ascii="Times New Roman" w:hAnsi="Times New Roman" w:cs="Times New Roman"/>
          <w:b/>
          <w:bCs/>
          <w:sz w:val="24"/>
          <w:szCs w:val="24"/>
        </w:rPr>
        <w:t xml:space="preserve">Supplementary Figure S1. </w:t>
      </w:r>
      <w:r w:rsidRPr="006B1D4D">
        <w:rPr>
          <w:rFonts w:ascii="Times New Roman" w:hAnsi="Times New Roman" w:cs="Times New Roman"/>
          <w:sz w:val="24"/>
          <w:szCs w:val="24"/>
        </w:rPr>
        <w:t>Love plot of standardized mean differences (SMDs) for baseline covariates before and after inverse probability of treatment weighting (IPTW). Each covariate is represented by paired points showing the absolute SMD in the unweighted cohort (gray circles) and after IPTW (blue triangles), connected by a horizontal line to illustrate the change in balance. Covariates are ordered by decreasing unweighted SMD. An SMD &lt; 0.1 was considered indicative of adequate covariate balance. After IPTW, all standardized mean differences fell below 0.1, indicating successful covariate balance between the standard mini-percutaneous nephrolithotomy (</w:t>
      </w:r>
      <w:proofErr w:type="spellStart"/>
      <w:r w:rsidRPr="006B1D4D">
        <w:rPr>
          <w:rFonts w:ascii="Times New Roman" w:hAnsi="Times New Roman" w:cs="Times New Roman"/>
          <w:sz w:val="24"/>
          <w:szCs w:val="24"/>
        </w:rPr>
        <w:t>SmPCNL</w:t>
      </w:r>
      <w:proofErr w:type="spellEnd"/>
      <w:r w:rsidRPr="006B1D4D">
        <w:rPr>
          <w:rFonts w:ascii="Times New Roman" w:hAnsi="Times New Roman" w:cs="Times New Roman"/>
          <w:sz w:val="24"/>
          <w:szCs w:val="24"/>
        </w:rPr>
        <w:t>) and vacuum-assisted mini-percutaneous nephrolithotomy (</w:t>
      </w:r>
      <w:proofErr w:type="spellStart"/>
      <w:r w:rsidRPr="006B1D4D">
        <w:rPr>
          <w:rFonts w:ascii="Times New Roman" w:hAnsi="Times New Roman" w:cs="Times New Roman"/>
          <w:sz w:val="24"/>
          <w:szCs w:val="24"/>
        </w:rPr>
        <w:t>VmPCNL</w:t>
      </w:r>
      <w:proofErr w:type="spellEnd"/>
      <w:r w:rsidRPr="006B1D4D">
        <w:rPr>
          <w:rFonts w:ascii="Times New Roman" w:hAnsi="Times New Roman" w:cs="Times New Roman"/>
          <w:sz w:val="24"/>
          <w:szCs w:val="24"/>
        </w:rPr>
        <w:t>) groups.</w:t>
      </w:r>
    </w:p>
    <w:p w14:paraId="3621A44B" w14:textId="77777777" w:rsidR="00F2606A" w:rsidRPr="006B1D4D" w:rsidRDefault="00000000">
      <w:pPr>
        <w:spacing w:line="276" w:lineRule="auto"/>
        <w:rPr>
          <w:rFonts w:ascii="Times New Roman" w:hAnsi="Times New Roman" w:cs="Times New Roman"/>
          <w:sz w:val="24"/>
          <w:szCs w:val="24"/>
        </w:rPr>
      </w:pPr>
      <w:r w:rsidRPr="006B1D4D">
        <w:rPr>
          <w:rFonts w:ascii="Times New Roman" w:hAnsi="Times New Roman" w:cs="Times New Roman"/>
          <w:i/>
          <w:iCs/>
          <w:sz w:val="24"/>
          <w:szCs w:val="24"/>
        </w:rPr>
        <w:t xml:space="preserve">Abbreviations: </w:t>
      </w:r>
      <w:r w:rsidRPr="006B1D4D">
        <w:rPr>
          <w:rFonts w:ascii="Times New Roman" w:hAnsi="Times New Roman" w:cs="Times New Roman"/>
          <w:sz w:val="24"/>
          <w:szCs w:val="24"/>
        </w:rPr>
        <w:t>ASA = American Society of Anesthesiologists; BMI = body mass index; eGFR = estimated glomerular filtration rate; GSS = Guy’s stone score; HU = Hounsfield unit; IPTW = inverse probability of treatment weighting; SMD = standardized mean difference; UTI = urinary tract infection.</w:t>
      </w:r>
    </w:p>
    <w:sectPr w:rsidR="00F2606A" w:rsidRPr="006B1D4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59D4"/>
    <w:multiLevelType w:val="hybridMultilevel"/>
    <w:tmpl w:val="E746F632"/>
    <w:lvl w:ilvl="0" w:tplc="A3DA5726">
      <w:start w:val="1"/>
      <w:numFmt w:val="bullet"/>
      <w:lvlText w:val="●"/>
      <w:lvlJc w:val="left"/>
      <w:pPr>
        <w:ind w:left="720" w:hanging="360"/>
      </w:pPr>
    </w:lvl>
    <w:lvl w:ilvl="1" w:tplc="E4D43122">
      <w:start w:val="1"/>
      <w:numFmt w:val="bullet"/>
      <w:lvlText w:val="○"/>
      <w:lvlJc w:val="left"/>
      <w:pPr>
        <w:ind w:left="1440" w:hanging="360"/>
      </w:pPr>
    </w:lvl>
    <w:lvl w:ilvl="2" w:tplc="6114BBFA">
      <w:start w:val="1"/>
      <w:numFmt w:val="bullet"/>
      <w:lvlText w:val="■"/>
      <w:lvlJc w:val="left"/>
      <w:pPr>
        <w:ind w:left="2160" w:hanging="360"/>
      </w:pPr>
    </w:lvl>
    <w:lvl w:ilvl="3" w:tplc="197AD384">
      <w:start w:val="1"/>
      <w:numFmt w:val="bullet"/>
      <w:lvlText w:val="●"/>
      <w:lvlJc w:val="left"/>
      <w:pPr>
        <w:ind w:left="2880" w:hanging="360"/>
      </w:pPr>
    </w:lvl>
    <w:lvl w:ilvl="4" w:tplc="0122D98C">
      <w:start w:val="1"/>
      <w:numFmt w:val="bullet"/>
      <w:lvlText w:val="○"/>
      <w:lvlJc w:val="left"/>
      <w:pPr>
        <w:ind w:left="3600" w:hanging="360"/>
      </w:pPr>
    </w:lvl>
    <w:lvl w:ilvl="5" w:tplc="657A7996">
      <w:start w:val="1"/>
      <w:numFmt w:val="bullet"/>
      <w:lvlText w:val="■"/>
      <w:lvlJc w:val="left"/>
      <w:pPr>
        <w:ind w:left="4320" w:hanging="360"/>
      </w:pPr>
    </w:lvl>
    <w:lvl w:ilvl="6" w:tplc="F01616DC">
      <w:start w:val="1"/>
      <w:numFmt w:val="bullet"/>
      <w:lvlText w:val="●"/>
      <w:lvlJc w:val="left"/>
      <w:pPr>
        <w:ind w:left="5040" w:hanging="360"/>
      </w:pPr>
    </w:lvl>
    <w:lvl w:ilvl="7" w:tplc="6DAAA8AA">
      <w:start w:val="1"/>
      <w:numFmt w:val="bullet"/>
      <w:lvlText w:val="●"/>
      <w:lvlJc w:val="left"/>
      <w:pPr>
        <w:ind w:left="5760" w:hanging="360"/>
      </w:pPr>
    </w:lvl>
    <w:lvl w:ilvl="8" w:tplc="0FB29960">
      <w:start w:val="1"/>
      <w:numFmt w:val="bullet"/>
      <w:lvlText w:val="●"/>
      <w:lvlJc w:val="left"/>
      <w:pPr>
        <w:ind w:left="6480" w:hanging="360"/>
      </w:pPr>
    </w:lvl>
  </w:abstractNum>
  <w:num w:numId="1" w16cid:durableId="684672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06A"/>
    <w:rsid w:val="006B1D4D"/>
    <w:rsid w:val="00F2606A"/>
    <w:rsid w:val="00FC228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C8FA"/>
  <w15:docId w15:val="{D00B8D57-8DC9-4720-9AFF-3CE2D05D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6B1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chinnakhet ketsuwan</cp:lastModifiedBy>
  <cp:revision>2</cp:revision>
  <dcterms:created xsi:type="dcterms:W3CDTF">2026-05-28T06:30:00Z</dcterms:created>
  <dcterms:modified xsi:type="dcterms:W3CDTF">2026-05-28T06:41:00Z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20f92dc1-144b-4cef-a819-622d4f3e0f96</vt:lpwstr>
  </property>
</Properties>
</file>