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Times New Roman" w:hAnsi="Times New Roman" w:eastAsia="Times New Roman"/>
          <w:b/>
          <w:sz w:val="21"/>
        </w:rPr>
        <w:t>Supplementary Table 1. Optimization results of the HBC–2% carteolol formulation ratios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  <w:gridCol w:w="1584"/>
        <w:gridCol w:w="1584"/>
      </w:tblGrid>
      <w:tr>
        <w:tc>
          <w:tcPr>
            <w:tcW w:type="dxa" w:w="2376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Parameter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10:1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10:2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10:3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10:4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10:5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10:6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10:7</w:t>
            </w:r>
          </w:p>
        </w:tc>
        <w:tc>
          <w:tcPr>
            <w:tcW w:type="dxa" w:w="1368"/>
            <w:vAlign w:val="center"/>
            <w:shd w:fill="F2F2F2"/>
            <w:tcBorders>
              <w:top w:val="single" w:sz="12" w:color="000000" w:space="0"/>
              <w:left w:val="nil"/>
              <w:bottom w:val="single" w:sz="8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10:8</w:t>
            </w:r>
          </w:p>
        </w:tc>
      </w:tr>
      <w:tr>
        <w:tc>
          <w:tcPr>
            <w:tcW w:type="dxa" w:w="237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6"/>
              </w:rPr>
              <w:t>HBC:2% carteolol ratio (v/v)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10:1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10:2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10:3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10:4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10:5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10:6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10:7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10:8</w:t>
            </w:r>
          </w:p>
        </w:tc>
      </w:tr>
      <w:tr>
        <w:tc>
          <w:tcPr>
            <w:tcW w:type="dxa" w:w="237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6"/>
              </w:rPr>
              <w:t>Gelation temperature (°C)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18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19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19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22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23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26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 gelation</w:t>
            </w:r>
          </w:p>
        </w:tc>
      </w:tr>
      <w:tr>
        <w:tc>
          <w:tcPr>
            <w:tcW w:type="dxa" w:w="237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6"/>
              </w:rPr>
              <w:t>Appearance and homogeneity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Homogeneous; no visible precipitation</w:t>
            </w:r>
          </w:p>
        </w:tc>
      </w:tr>
      <w:tr>
        <w:tc>
          <w:tcPr>
            <w:tcW w:type="dxa" w:w="237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6"/>
              </w:rPr>
              <w:t>Low-temperature appearance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Transparent at low temperature</w:t>
            </w:r>
          </w:p>
        </w:tc>
      </w:tr>
      <w:tr>
        <w:tc>
          <w:tcPr>
            <w:tcW w:type="dxa" w:w="237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6"/>
              </w:rPr>
              <w:t>Appearance after gelation or at 37°C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after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after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after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after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after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after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at 37°C but without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Slightly yellow and opaque at 37°C but without gelation</w:t>
            </w:r>
          </w:p>
        </w:tc>
      </w:tr>
      <w:tr>
        <w:tc>
          <w:tcPr>
            <w:tcW w:type="dxa" w:w="237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6"/>
              </w:rPr>
              <w:t>Gelation at 37°C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Yes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Yes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Yes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Yes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Yes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Yes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</w:t>
            </w:r>
          </w:p>
        </w:tc>
      </w:tr>
      <w:tr>
        <w:tc>
          <w:tcPr>
            <w:tcW w:type="dxa" w:w="2376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i w:val="0"/>
                <w:sz w:val="16"/>
              </w:rPr>
              <w:t>Clinical suitability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Not selected; low carteolol loading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Not selected; low carteolol loading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Not selected; low carteolol loading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Acceptable but lower carteolol loading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Acceptable but lower carteolol loading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Selected final clinical formulation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Not selected; impaired gelation</w:t>
            </w:r>
          </w:p>
        </w:tc>
        <w:tc>
          <w:tcPr>
            <w:tcW w:type="dxa" w:w="1368"/>
            <w:vAlign w:val="center"/>
            <w:tcBorders>
              <w:top w:val="nil"/>
              <w:left w:val="nil"/>
              <w:bottom w:val="single" w:sz="12" w:color="000000" w:space="0"/>
              <w:right w:val="nil"/>
              <w:insideH w:val="nil"/>
              <w:insideV w:val="nil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16"/>
              </w:rPr>
              <w:t>Not selected; impaired gelation</w:t>
            </w:r>
          </w:p>
        </w:tc>
      </w:tr>
    </w:tbl>
    <w:p>
      <w:pPr>
        <w:spacing w:before="120" w:after="0"/>
        <w:jc w:val="left"/>
      </w:pPr>
      <w:r>
        <w:rPr>
          <w:rFonts w:ascii="Times New Roman" w:hAnsi="Times New Roman" w:eastAsia="Times New Roman"/>
          <w:sz w:val="18"/>
        </w:rPr>
        <w:t>Note: HBC, hydroxybutyl chitosan. A 1 mL aliquot of thermosensitive HBC dressing was mixed with different volumes of 2% carteolol ophthalmic solution. Gelation temperature was determined using the test-tube inversion method after equilibration at 4°C and stepwise heating from 10°C. The 10:6 ratio was selected because it represented the highest carteolol-containing ratio that maintained homogeneous mixing, absence of visible precipitation, and stable gelation at 37°C. Ratios of 10:7 and 10:8 were not selected because they failed to gel at 37°C.</w:t>
      </w:r>
    </w:p>
    <w:sectPr w:rsidR="00FC693F" w:rsidRPr="0006063C" w:rsidSect="00034616">
      <w:pgSz w:w="15840" w:h="12240" w:orient="landscape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