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75" w:rsidRPr="006D0422" w:rsidRDefault="00413C6D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6D0422">
        <w:rPr>
          <w:rFonts w:ascii="Times New Roman" w:hAnsi="Times New Roman" w:cs="Times New Roman"/>
          <w:sz w:val="32"/>
          <w:szCs w:val="32"/>
        </w:rPr>
        <w:t>Tivozanib versus Sorafenib as Subsequen</w:t>
      </w:r>
      <w:bookmarkStart w:id="0" w:name="_GoBack"/>
      <w:bookmarkEnd w:id="0"/>
      <w:r w:rsidRPr="006D0422">
        <w:rPr>
          <w:rFonts w:ascii="Times New Roman" w:hAnsi="Times New Roman" w:cs="Times New Roman"/>
          <w:sz w:val="32"/>
          <w:szCs w:val="32"/>
        </w:rPr>
        <w:t>t-Line Therapy for Advanced Renal Cell Carcinoma: A Cost-Effectiveness Analysis from a U.S. Healthcare Perspective</w:t>
      </w:r>
    </w:p>
    <w:p w:rsidR="00314F75" w:rsidRPr="006D0422" w:rsidRDefault="00413C6D">
      <w:pPr>
        <w:spacing w:beforeLines="50" w:before="156" w:afterLines="50" w:after="156" w:line="480" w:lineRule="auto"/>
        <w:rPr>
          <w:rFonts w:ascii="Times New Roman" w:hAnsi="Times New Roman" w:cs="Times New Roman"/>
          <w:sz w:val="24"/>
        </w:rPr>
      </w:pPr>
      <w:r w:rsidRPr="006D0422">
        <w:rPr>
          <w:rFonts w:ascii="Times New Roman" w:hAnsi="Times New Roman" w:cs="Times New Roman"/>
          <w:sz w:val="24"/>
          <w:szCs w:val="24"/>
        </w:rPr>
        <w:t>Xiaoyu Zhang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0422">
        <w:rPr>
          <w:rFonts w:ascii="Times New Roman" w:hAnsi="Times New Roman" w:cs="Times New Roman"/>
          <w:sz w:val="24"/>
          <w:vertAlign w:val="superscript"/>
        </w:rPr>
        <w:t>†</w:t>
      </w:r>
      <w:r w:rsidRPr="006D0422">
        <w:rPr>
          <w:rFonts w:ascii="Times New Roman" w:hAnsi="Times New Roman" w:cs="Times New Roman"/>
          <w:sz w:val="24"/>
          <w:szCs w:val="24"/>
        </w:rPr>
        <w:t>, Ruming Liu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0422">
        <w:rPr>
          <w:rFonts w:ascii="Times New Roman" w:hAnsi="Times New Roman" w:cs="Times New Roman"/>
          <w:sz w:val="24"/>
          <w:vertAlign w:val="superscript"/>
        </w:rPr>
        <w:t>†</w:t>
      </w:r>
      <w:r w:rsidRPr="006D0422">
        <w:rPr>
          <w:rFonts w:ascii="Times New Roman" w:hAnsi="Times New Roman" w:cs="Times New Roman"/>
          <w:sz w:val="24"/>
          <w:szCs w:val="24"/>
        </w:rPr>
        <w:t>, Yani Hu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0422">
        <w:rPr>
          <w:rFonts w:ascii="Times New Roman" w:hAnsi="Times New Roman" w:cs="Times New Roman"/>
          <w:sz w:val="24"/>
          <w:vertAlign w:val="superscript"/>
        </w:rPr>
        <w:t>†</w:t>
      </w:r>
      <w:r w:rsidRPr="006D0422">
        <w:rPr>
          <w:rFonts w:ascii="Times New Roman" w:hAnsi="Times New Roman" w:cs="Times New Roman"/>
          <w:sz w:val="24"/>
          <w:szCs w:val="24"/>
        </w:rPr>
        <w:t>, Jiaxi Ye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0422">
        <w:rPr>
          <w:rFonts w:ascii="Times New Roman" w:hAnsi="Times New Roman" w:cs="Times New Roman"/>
          <w:sz w:val="24"/>
          <w:szCs w:val="24"/>
        </w:rPr>
        <w:t>, Mingdong Yang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0422">
        <w:rPr>
          <w:rFonts w:ascii="Times New Roman" w:hAnsi="Times New Roman" w:cs="Times New Roman"/>
          <w:sz w:val="24"/>
          <w:szCs w:val="24"/>
        </w:rPr>
        <w:t>, Junjun Xu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0422">
        <w:rPr>
          <w:rFonts w:ascii="Times New Roman" w:hAnsi="Times New Roman" w:cs="Times New Roman"/>
          <w:sz w:val="24"/>
          <w:szCs w:val="24"/>
        </w:rPr>
        <w:t>, Houci Yang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0422">
        <w:rPr>
          <w:rFonts w:ascii="Times New Roman" w:hAnsi="Times New Roman" w:cs="Times New Roman"/>
          <w:sz w:val="24"/>
          <w:szCs w:val="24"/>
        </w:rPr>
        <w:t xml:space="preserve">, Xiaomin </w:t>
      </w:r>
      <w:r w:rsidRPr="006D0422">
        <w:rPr>
          <w:rFonts w:ascii="Times New Roman" w:hAnsi="Times New Roman" w:cs="Times New Roman"/>
          <w:sz w:val="24"/>
          <w:szCs w:val="24"/>
        </w:rPr>
        <w:t>Yang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0422">
        <w:rPr>
          <w:rFonts w:ascii="Times New Roman" w:hAnsi="Times New Roman" w:cs="Times New Roman"/>
          <w:sz w:val="24"/>
          <w:szCs w:val="24"/>
        </w:rPr>
        <w:t>, Zhiheng Xu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0422">
        <w:rPr>
          <w:rFonts w:ascii="Times New Roman" w:hAnsi="Times New Roman" w:cs="Times New Roman"/>
          <w:sz w:val="24"/>
          <w:szCs w:val="24"/>
        </w:rPr>
        <w:t>, Haibin Dai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6D0422">
        <w:rPr>
          <w:rFonts w:ascii="Times New Roman" w:hAnsi="Times New Roman" w:cs="Times New Roman"/>
          <w:sz w:val="24"/>
          <w:szCs w:val="24"/>
        </w:rPr>
        <w:t>, Huimin Xu</w:t>
      </w: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:rsidR="00314F75" w:rsidRPr="006D0422" w:rsidRDefault="00413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042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12"/>
      <w:r w:rsidRPr="006D0422">
        <w:rPr>
          <w:rFonts w:ascii="Times New Roman" w:hAnsi="Times New Roman" w:cs="Times New Roman"/>
          <w:sz w:val="24"/>
          <w:szCs w:val="24"/>
        </w:rPr>
        <w:t>Department of Pharmacy, The Second Affiliated Hospital, Zhejiang University School of Medicine, Hangzhou, China</w:t>
      </w:r>
    </w:p>
    <w:bookmarkEnd w:id="1"/>
    <w:p w:rsidR="00314F75" w:rsidRPr="006D0422" w:rsidRDefault="00413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D0422">
        <w:rPr>
          <w:rFonts w:ascii="Times New Roman" w:hAnsi="Times New Roman" w:cs="Times New Roman"/>
          <w:sz w:val="24"/>
          <w:szCs w:val="24"/>
        </w:rPr>
        <w:t xml:space="preserve">Department of Clinical Pharmacy, The First Affiliated Hospital of Kunming Medical University, </w:t>
      </w:r>
      <w:r w:rsidRPr="006D0422">
        <w:rPr>
          <w:rFonts w:ascii="Times New Roman" w:hAnsi="Times New Roman" w:cs="Times New Roman"/>
          <w:sz w:val="24"/>
          <w:szCs w:val="24"/>
        </w:rPr>
        <w:t>Kunming, China</w:t>
      </w:r>
    </w:p>
    <w:p w:rsidR="00314F75" w:rsidRPr="006D0422" w:rsidRDefault="00413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6D0422">
        <w:rPr>
          <w:rFonts w:ascii="Times New Roman" w:hAnsi="Times New Roman" w:cs="Times New Roman"/>
          <w:sz w:val="24"/>
          <w:szCs w:val="24"/>
        </w:rPr>
        <w:t>School of Pharmaceutical Sciences, Wenzhou Medical University, Wenzhou, Chin</w:t>
      </w:r>
      <w:r w:rsidRPr="006D0422">
        <w:rPr>
          <w:rFonts w:ascii="Times New Roman" w:hAnsi="Times New Roman" w:cs="Times New Roman"/>
          <w:sz w:val="24"/>
        </w:rPr>
        <w:t>a</w:t>
      </w:r>
    </w:p>
    <w:p w:rsidR="00314F75" w:rsidRPr="006D0422" w:rsidRDefault="00413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422">
        <w:rPr>
          <w:rFonts w:ascii="Times New Roman" w:hAnsi="Times New Roman" w:cs="Times New Roman"/>
          <w:sz w:val="24"/>
          <w:vertAlign w:val="superscript"/>
        </w:rPr>
        <w:t>†</w:t>
      </w:r>
      <w:r w:rsidRPr="006D0422">
        <w:rPr>
          <w:rFonts w:ascii="Times New Roman" w:hAnsi="Times New Roman" w:cs="Times New Roman"/>
          <w:sz w:val="24"/>
          <w:szCs w:val="24"/>
        </w:rPr>
        <w:t>Xiaoyu Zhang, Ruming Liu and Yani Hu</w:t>
      </w:r>
      <w:r w:rsidRPr="006D0422">
        <w:rPr>
          <w:rFonts w:ascii="Times New Roman" w:hAnsi="Times New Roman" w:cs="Times New Roman"/>
          <w:sz w:val="24"/>
          <w:szCs w:val="24"/>
        </w:rPr>
        <w:t xml:space="preserve">, </w:t>
      </w:r>
      <w:r w:rsidRPr="006D0422">
        <w:rPr>
          <w:rFonts w:ascii="Times New Roman" w:hAnsi="Times New Roman" w:cs="Times New Roman"/>
          <w:sz w:val="24"/>
          <w:szCs w:val="24"/>
        </w:rPr>
        <w:t>contributed equally to this work as co-first authors.</w:t>
      </w:r>
    </w:p>
    <w:p w:rsidR="00314F75" w:rsidRPr="006D0422" w:rsidRDefault="00413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422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6D0422">
        <w:rPr>
          <w:rFonts w:ascii="Times New Roman" w:hAnsi="Times New Roman" w:cs="Times New Roman"/>
          <w:sz w:val="24"/>
          <w:szCs w:val="24"/>
        </w:rPr>
        <w:t>Haibin Dai and Huimin Xu contributed equally to this work as co-cor</w:t>
      </w:r>
      <w:r w:rsidRPr="006D0422">
        <w:rPr>
          <w:rFonts w:ascii="Times New Roman" w:hAnsi="Times New Roman" w:cs="Times New Roman"/>
          <w:sz w:val="24"/>
          <w:szCs w:val="24"/>
        </w:rPr>
        <w:t>responding authors.</w:t>
      </w:r>
    </w:p>
    <w:p w:rsidR="00314F75" w:rsidRPr="006D0422" w:rsidRDefault="00413C6D">
      <w:pPr>
        <w:spacing w:line="480" w:lineRule="auto"/>
        <w:rPr>
          <w:rFonts w:ascii="Times New Roman" w:hAnsi="Times New Roman" w:cs="Times New Roman"/>
          <w:sz w:val="24"/>
        </w:rPr>
      </w:pPr>
      <w:r w:rsidRPr="006D0422">
        <w:rPr>
          <w:rFonts w:ascii="Times New Roman" w:hAnsi="Times New Roman" w:cs="Times New Roman"/>
          <w:sz w:val="24"/>
        </w:rPr>
        <w:t xml:space="preserve">*Correspondence: </w:t>
      </w:r>
      <w:r>
        <w:rPr>
          <w:rFonts w:ascii="Times New Roman" w:hAnsi="Times New Roman" w:cs="Times New Roman"/>
          <w:sz w:val="24"/>
          <w:szCs w:val="24"/>
        </w:rPr>
        <w:t xml:space="preserve">Huimin Xu, Department of Pharmacy, The Second Affiliated Hospital, Zhejiang University School of Medicine, No. 88 Jiefang Road, Shangcheng District, Hangzhou, Zhejiang, 310009, People’s Republic of China, </w:t>
      </w:r>
      <w:r>
        <w:rPr>
          <w:rFonts w:ascii="Times New Roman" w:hAnsi="Times New Roman" w:cs="Times New Roman"/>
          <w:sz w:val="24"/>
          <w:szCs w:val="24"/>
        </w:rPr>
        <w:t>Email xuhuimin78@zju.edu.cn; Haibin Dai, Department of Pharmacy, The Second Affiliated Hospital, Zhejiang University School of Medicine, No. 88 Jiefang Road, Shangcheng District, Hangzhou, Zhejiang, 310009, People’s Republic of China, Email haibindai@zju.e</w:t>
      </w:r>
      <w:r>
        <w:rPr>
          <w:rFonts w:ascii="Times New Roman" w:hAnsi="Times New Roman" w:cs="Times New Roman"/>
          <w:sz w:val="24"/>
          <w:szCs w:val="24"/>
        </w:rPr>
        <w:t>du.cn</w:t>
      </w:r>
    </w:p>
    <w:p w:rsidR="00314F75" w:rsidRPr="006D0422" w:rsidRDefault="00413C6D">
      <w:pPr>
        <w:pStyle w:val="SupplementaryMaterial"/>
        <w:spacing w:line="480" w:lineRule="auto"/>
        <w:rPr>
          <w:b w:val="0"/>
          <w:sz w:val="24"/>
          <w:szCs w:val="24"/>
          <w:lang w:eastAsia="zh-CN"/>
        </w:rPr>
      </w:pPr>
      <w:r w:rsidRPr="006D0422">
        <w:rPr>
          <w:rFonts w:eastAsia="宋体"/>
          <w:b w:val="0"/>
          <w:sz w:val="24"/>
          <w:szCs w:val="24"/>
        </w:rPr>
        <w:lastRenderedPageBreak/>
        <w:t>Supplementary Materials</w:t>
      </w:r>
    </w:p>
    <w:p w:rsidR="00314F75" w:rsidRDefault="00413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422">
        <w:rPr>
          <w:rFonts w:ascii="Times New Roman" w:hAnsi="Times New Roman" w:cs="Times New Roman"/>
          <w:sz w:val="24"/>
          <w:szCs w:val="24"/>
        </w:rPr>
        <w:t>Table S1.</w:t>
      </w:r>
      <w:r>
        <w:rPr>
          <w:rFonts w:ascii="Times New Roman" w:hAnsi="Times New Roman" w:cs="Times New Roman"/>
          <w:sz w:val="24"/>
          <w:szCs w:val="24"/>
        </w:rPr>
        <w:t xml:space="preserve"> CHEERS Checklist (2022)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1"/>
        <w:gridCol w:w="570"/>
        <w:gridCol w:w="3930"/>
        <w:gridCol w:w="1265"/>
      </w:tblGrid>
      <w:tr w:rsidR="00314F75" w:rsidTr="00314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314F75" w:rsidRDefault="00413C6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422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422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422"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422">
              <w:rPr>
                <w:rFonts w:ascii="Times New Roman" w:eastAsia="Times New Roman" w:hAnsi="Times New Roman" w:cs="Times New Roman"/>
                <w:sz w:val="24"/>
                <w:szCs w:val="24"/>
              </w:rPr>
              <w:t>Reported?</w:t>
            </w:r>
          </w:p>
        </w:tc>
      </w:tr>
      <w:tr w:rsidR="00314F75" w:rsidTr="00314F75">
        <w:tc>
          <w:tcPr>
            <w:tcW w:w="0" w:type="auto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Title and abstract</w:t>
            </w: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Pr="006D0422" w:rsidRDefault="00314F7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Title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Identify the study as an economic evaluation and specify the interventions being compared.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Abstract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Provide a structured summary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that highlights context, key methods, results, and alternative analyses.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Introduction</w:t>
            </w: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Background and objectives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Give the context for the study, the study question, and its practical relevance for decision making in policy or practice.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Methods</w:t>
            </w: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Health economic analysis plan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Indicate whether a health economic analysis plan was developed and where available.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Study population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Describe characteristics of the study population (such as age range,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lastRenderedPageBreak/>
              <w:t xml:space="preserve">demographics, socioeconomic, or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clinical characteristics).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lastRenderedPageBreak/>
              <w:t>Setting and location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Provide relevant contextual information that may influence findings.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Comparators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Describe the interventions or strategies being compared and why chosen.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Perspective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State the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perspective(s) adopted by the study and why chosen.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Time horizon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State the time horizon for the study and why appropriate.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Discount rate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Report the discount rate(s) and reason chosen.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Selection of outcomes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Describe what outcomes were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used as the measure(s) of benefit(s) and harm(s).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Measurement of outcomes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Describe how outcomes used to capture benefit(s) and harm(s) were measured.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Valuation of outcomes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Describe the population and methods used to measure and value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outcomes.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lastRenderedPageBreak/>
              <w:t>Measurement and valuation of resources and costs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Describe how costs were valued.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Currency, price date, and conversion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Report the dates of the estimated resource quantities and unit costs, plus the currency and year of conversion.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Rationale and description of model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If modelling is used, describe in detail and why used. Report if the model is publicly available and where it can be accessed.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Analytics and assumptions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Describe any methods for analysing or statistically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transforming data, any extrapolation methods, and approaches for validating any model used.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Characterising heterogeneity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Describe any methods used for estimating how the results of the study vary for subgroups.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Characterising distributional ef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fects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Describe how impacts are distributed across different individuals or adjustments made to reflect priority populations.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lastRenderedPageBreak/>
              <w:t>Characterising uncertainty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Describe methods to characterise any sources of uncertainty in the analysis.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Approach to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engagement with patients and others affected by the study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Describe any approaches to engage patients or service recipients, the general public, communities, or stakeholders (such as clinicians or payers) in the design of the study.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314F75" w:rsidTr="00314F75">
        <w:tc>
          <w:tcPr>
            <w:tcW w:w="0" w:type="auto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Results</w:t>
            </w: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Study parameters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Report all analytic inputs (such as values, ranges, references) including uncertainty or distributional assumptions.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Summary of main results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Report the mean values for the main categories of costs and outcomes of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interest and summarise them in the most appropriate overall measure.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Effect of uncertainty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Describe how uncertainty about analytic judgments, inputs, or projections affect findings. Report the effect of choice of discount rate and time horizon, if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applicable.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lastRenderedPageBreak/>
              <w:t>Effect of engagement with patients and others affected by the study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Report on any difference patient/service recipient, general public, community, or stakeholder involvement made to the approach or findings of the study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314F75" w:rsidTr="00314F75">
        <w:tc>
          <w:tcPr>
            <w:tcW w:w="0" w:type="auto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Discussion</w:t>
            </w: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Study findings, limitations, generalisability, and current knowledge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Report key findings, limitations, ethical or equity considerations not captured, and how these could affect patients, policy, or practice.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Other relevant informatio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314F75" w:rsidRDefault="00314F7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Source of funding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Describe how the study was funded and any role of the funder in the identification, design, conduct, and reporting of the analysis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14F75" w:rsidTr="00314F75"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Conflicts of interest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314F75" w:rsidRDefault="00413C6D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Report authors conflicts of interest according to journal or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International Committee of Medical Journal Editors requirements.</w:t>
            </w:r>
          </w:p>
        </w:tc>
        <w:tc>
          <w:tcPr>
            <w:tcW w:w="0" w:type="auto"/>
          </w:tcPr>
          <w:p w:rsidR="00314F75" w:rsidRDefault="00413C6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:rsidR="00314F75" w:rsidRDefault="00413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Husereau, D., Drummond, M., Augustovski, F., de Bekker-Grob, E., Briggs, A. H., Carswell, C., et al. (2022). Consolidated health economic evaluation reporting </w:t>
      </w:r>
      <w:r>
        <w:rPr>
          <w:rFonts w:ascii="Times New Roman" w:hAnsi="Times New Roman" w:cs="Times New Roman"/>
          <w:sz w:val="24"/>
          <w:szCs w:val="24"/>
        </w:rPr>
        <w:lastRenderedPageBreak/>
        <w:t>standards 2022 (CHEER</w:t>
      </w:r>
      <w:r>
        <w:rPr>
          <w:rFonts w:ascii="Times New Roman" w:hAnsi="Times New Roman" w:cs="Times New Roman"/>
          <w:sz w:val="24"/>
          <w:szCs w:val="24"/>
        </w:rPr>
        <w:t xml:space="preserve">S 2022) statement: Updated reporting guidance for health economic evaluations. </w:t>
      </w:r>
      <w:r>
        <w:rPr>
          <w:rFonts w:ascii="Times New Roman" w:hAnsi="Times New Roman" w:cs="Times New Roman"/>
          <w:i/>
          <w:sz w:val="24"/>
          <w:szCs w:val="24"/>
        </w:rPr>
        <w:t>MDM Policy Pract.</w:t>
      </w:r>
      <w:r>
        <w:rPr>
          <w:rFonts w:ascii="Times New Roman" w:hAnsi="Times New Roman" w:cs="Times New Roman"/>
          <w:sz w:val="24"/>
          <w:szCs w:val="24"/>
        </w:rPr>
        <w:t xml:space="preserve"> 7(1)</w:t>
      </w:r>
      <w:r w:rsidRPr="006D04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23814683211061097. doi:10.1177/2381468321106109</w:t>
      </w:r>
    </w:p>
    <w:p w:rsidR="00314F75" w:rsidRDefault="00413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422">
        <w:rPr>
          <w:rFonts w:ascii="Times New Roman" w:hAnsi="Times New Roman" w:cs="Times New Roman"/>
          <w:sz w:val="24"/>
          <w:szCs w:val="24"/>
        </w:rPr>
        <w:t>Table S2</w:t>
      </w:r>
      <w:r>
        <w:rPr>
          <w:rFonts w:ascii="Times New Roman" w:hAnsi="Times New Roman" w:cs="Times New Roman"/>
          <w:sz w:val="24"/>
          <w:szCs w:val="24"/>
        </w:rPr>
        <w:t xml:space="preserve"> Summary of the statistical goodness-of-fit of Kaplan Meier survival curves.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504"/>
        <w:gridCol w:w="1576"/>
        <w:gridCol w:w="1738"/>
        <w:gridCol w:w="1749"/>
        <w:gridCol w:w="1739"/>
        <w:tblGridChange w:id="2">
          <w:tblGrid>
            <w:gridCol w:w="1504"/>
            <w:gridCol w:w="1576"/>
            <w:gridCol w:w="1738"/>
            <w:gridCol w:w="1749"/>
            <w:gridCol w:w="1739"/>
          </w:tblGrid>
        </w:tblGridChange>
      </w:tblGrid>
      <w:tr w:rsidR="006D0422" w:rsidTr="00314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tcW w:w="905" w:type="pct"/>
            <w:noWrap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Distribution</w:t>
            </w:r>
          </w:p>
        </w:tc>
        <w:tc>
          <w:tcPr>
            <w:tcW w:w="949" w:type="pct"/>
            <w:noWrap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AIC in </w:t>
            </w: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tivozanib</w:t>
            </w:r>
          </w:p>
        </w:tc>
        <w:tc>
          <w:tcPr>
            <w:tcW w:w="1046" w:type="pct"/>
            <w:noWrap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BIC in tivozanib</w:t>
            </w:r>
          </w:p>
        </w:tc>
        <w:tc>
          <w:tcPr>
            <w:tcW w:w="1053" w:type="pct"/>
            <w:noWrap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AIC in sorafenib</w:t>
            </w:r>
          </w:p>
        </w:tc>
        <w:tc>
          <w:tcPr>
            <w:tcW w:w="1046" w:type="pct"/>
            <w:noWrap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BIC in sorafenib</w:t>
            </w:r>
          </w:p>
        </w:tc>
      </w:tr>
      <w:tr w:rsidR="00314F75" w:rsidTr="006D0422">
        <w:trPr>
          <w:trHeight w:val="555"/>
        </w:trPr>
        <w:tc>
          <w:tcPr>
            <w:tcW w:w="5000" w:type="pct"/>
            <w:gridSpan w:val="5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PFS curve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Exponential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811.3039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814.4686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716.6637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719.8285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Weibull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813.3034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819.633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699.7159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706.0454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Gamma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812.3513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818.6809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690.5313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696.8608</w:t>
            </w:r>
          </w:p>
        </w:tc>
      </w:tr>
      <w:tr w:rsidR="00314F75" w:rsidTr="006D0422">
        <w:trPr>
          <w:trHeight w:val="555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Generalized Gamma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781.5972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791.0915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674.4151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683.9095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Gompertz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804.7518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811.0814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716.5697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722.8993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Log-normal</w:t>
            </w:r>
          </w:p>
        </w:tc>
        <w:tc>
          <w:tcPr>
            <w:tcW w:w="949" w:type="pct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785.961</w:t>
            </w:r>
          </w:p>
        </w:tc>
        <w:tc>
          <w:tcPr>
            <w:tcW w:w="1046" w:type="pct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792.29</w:t>
            </w:r>
          </w:p>
        </w:tc>
        <w:tc>
          <w:tcPr>
            <w:tcW w:w="1053" w:type="pct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674.402</w:t>
            </w:r>
          </w:p>
        </w:tc>
        <w:tc>
          <w:tcPr>
            <w:tcW w:w="1046" w:type="pct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680.731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Log-logistic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789.2582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795.5877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678.0438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684.3734</w:t>
            </w:r>
          </w:p>
        </w:tc>
      </w:tr>
      <w:tr w:rsidR="00314F75" w:rsidTr="006D0422">
        <w:trPr>
          <w:trHeight w:val="278"/>
        </w:trPr>
        <w:tc>
          <w:tcPr>
            <w:tcW w:w="5000" w:type="pct"/>
            <w:gridSpan w:val="5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 curve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Exponential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950.6354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953.8002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972.4392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975.604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Weibull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951.0369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957.3664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971.4095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977.7391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Gamma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949.4945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955.8241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970.1107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976.4403</w:t>
            </w:r>
          </w:p>
        </w:tc>
      </w:tr>
      <w:tr w:rsidR="00314F75" w:rsidTr="006D0422">
        <w:trPr>
          <w:trHeight w:val="555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Generalized Gamma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941.5654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951.0598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966.5954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976.0898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Gompertz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952.2417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958.5713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974.2195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980.5491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Log-normal</w:t>
            </w:r>
          </w:p>
        </w:tc>
        <w:tc>
          <w:tcPr>
            <w:tcW w:w="949" w:type="pct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939.665</w:t>
            </w:r>
          </w:p>
        </w:tc>
        <w:tc>
          <w:tcPr>
            <w:tcW w:w="1046" w:type="pct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945.994</w:t>
            </w:r>
          </w:p>
        </w:tc>
        <w:tc>
          <w:tcPr>
            <w:tcW w:w="1053" w:type="pct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964.604</w:t>
            </w:r>
          </w:p>
        </w:tc>
        <w:tc>
          <w:tcPr>
            <w:tcW w:w="1046" w:type="pct"/>
          </w:tcPr>
          <w:p w:rsidR="00314F75" w:rsidRPr="006D0422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D042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970.934</w:t>
            </w:r>
          </w:p>
        </w:tc>
      </w:tr>
      <w:tr w:rsidR="00314F75" w:rsidTr="006D0422">
        <w:trPr>
          <w:trHeight w:val="278"/>
        </w:trPr>
        <w:tc>
          <w:tcPr>
            <w:tcW w:w="905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Log-logistic</w:t>
            </w:r>
          </w:p>
        </w:tc>
        <w:tc>
          <w:tcPr>
            <w:tcW w:w="949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941.2374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947.5669</w:t>
            </w:r>
          </w:p>
        </w:tc>
        <w:tc>
          <w:tcPr>
            <w:tcW w:w="1053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966.4419</w:t>
            </w:r>
          </w:p>
        </w:tc>
        <w:tc>
          <w:tcPr>
            <w:tcW w:w="1046" w:type="pct"/>
          </w:tcPr>
          <w:p w:rsidR="00314F75" w:rsidRDefault="00413C6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972.7715</w:t>
            </w:r>
          </w:p>
        </w:tc>
      </w:tr>
    </w:tbl>
    <w:p w:rsidR="00314F75" w:rsidRDefault="00314F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14F75" w:rsidRDefault="00413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53585" cy="7369810"/>
            <wp:effectExtent l="0" t="0" r="0" b="2540"/>
            <wp:docPr id="15821444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4447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3721" cy="737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F75" w:rsidRDefault="00413C6D">
      <w:pPr>
        <w:pStyle w:val="a3"/>
        <w:spacing w:line="480" w:lineRule="auto"/>
        <w:rPr>
          <w:rFonts w:eastAsiaTheme="minorEastAsia"/>
          <w:sz w:val="24"/>
          <w:szCs w:val="24"/>
        </w:rPr>
      </w:pPr>
      <w:r w:rsidRPr="006D0422">
        <w:rPr>
          <w:sz w:val="24"/>
          <w:szCs w:val="24"/>
        </w:rPr>
        <w:lastRenderedPageBreak/>
        <w:t>Fig</w:t>
      </w:r>
      <w:r w:rsidRPr="006D0422">
        <w:rPr>
          <w:rFonts w:eastAsia="宋体"/>
          <w:sz w:val="24"/>
          <w:szCs w:val="24"/>
        </w:rPr>
        <w:t>ure</w:t>
      </w:r>
      <w:r w:rsidRPr="006D0422">
        <w:rPr>
          <w:sz w:val="24"/>
          <w:szCs w:val="24"/>
        </w:rPr>
        <w:t xml:space="preserve"> </w:t>
      </w:r>
      <w:r w:rsidRPr="006D0422">
        <w:rPr>
          <w:rFonts w:eastAsiaTheme="minorEastAsia"/>
          <w:sz w:val="24"/>
          <w:szCs w:val="24"/>
        </w:rPr>
        <w:t>S1</w:t>
      </w:r>
      <w:r>
        <w:rPr>
          <w:rFonts w:eastAsiaTheme="minorEastAsia"/>
          <w:sz w:val="24"/>
          <w:szCs w:val="24"/>
        </w:rPr>
        <w:t xml:space="preserve"> </w:t>
      </w:r>
      <w:r>
        <w:rPr>
          <w:sz w:val="24"/>
          <w:szCs w:val="24"/>
        </w:rPr>
        <w:t>Reconstruction of Kaplan Meier survival curve.</w:t>
      </w:r>
      <w:r>
        <w:rPr>
          <w:rFonts w:eastAsiaTheme="minorEastAsia"/>
          <w:sz w:val="24"/>
          <w:szCs w:val="24"/>
        </w:rPr>
        <w:t xml:space="preserve"> Overall survival curve(a), progression-free survival curve (b).</w:t>
      </w:r>
    </w:p>
    <w:p w:rsidR="00314F75" w:rsidRDefault="00413C6D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3926840"/>
            <wp:effectExtent l="0" t="0" r="2540" b="0"/>
            <wp:docPr id="15853904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9049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F75" w:rsidRDefault="00413C6D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D0422">
        <w:rPr>
          <w:rFonts w:ascii="Times New Roman" w:hAnsi="Times New Roman" w:cs="Times New Roman"/>
          <w:sz w:val="24"/>
          <w:szCs w:val="24"/>
        </w:rPr>
        <w:t>Figure S2</w:t>
      </w:r>
      <w:r>
        <w:rPr>
          <w:rFonts w:ascii="Times New Roman" w:hAnsi="Times New Roman" w:cs="Times New Roman"/>
          <w:sz w:val="24"/>
          <w:szCs w:val="24"/>
        </w:rPr>
        <w:t xml:space="preserve"> Fitting and extrapolation of Kaplan Meier survival curve. The results of tivozanib OS curve (a); the results of sorafenib OS curve (b</w:t>
      </w:r>
      <w:r>
        <w:rPr>
          <w:rFonts w:ascii="Times New Roman" w:hAnsi="Times New Roman" w:cs="Times New Roman"/>
          <w:sz w:val="24"/>
          <w:szCs w:val="24"/>
        </w:rPr>
        <w:t>); the results of tivozanib PFS curve (c); the results of sorafenib PFS curve (d). Abbreviations: OS: overall survival; PFS: progression-free survival.</w:t>
      </w:r>
    </w:p>
    <w:p w:rsidR="00314F75" w:rsidRDefault="00314F75">
      <w:pPr>
        <w:widowControl/>
        <w:spacing w:line="480" w:lineRule="auto"/>
        <w:jc w:val="left"/>
        <w:rPr>
          <w:rFonts w:ascii="Times New Roman" w:hAnsi="Times New Roman" w:cs="Times New Roman"/>
          <w:szCs w:val="24"/>
        </w:rPr>
      </w:pPr>
    </w:p>
    <w:p w:rsidR="00314F75" w:rsidRDefault="00413C6D">
      <w:pPr>
        <w:tabs>
          <w:tab w:val="left" w:pos="5748"/>
        </w:tabs>
        <w:jc w:val="left"/>
      </w:pPr>
      <w:r>
        <w:rPr>
          <w:rFonts w:hint="eastAsia"/>
        </w:rPr>
        <w:tab/>
      </w:r>
    </w:p>
    <w:sectPr w:rsidR="00314F7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C6D" w:rsidRDefault="00413C6D">
      <w:r>
        <w:separator/>
      </w:r>
    </w:p>
  </w:endnote>
  <w:endnote w:type="continuationSeparator" w:id="0">
    <w:p w:rsidR="00413C6D" w:rsidRDefault="0041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97818"/>
    </w:sdtPr>
    <w:sdtEndPr>
      <w:rPr>
        <w:rFonts w:ascii="Times New Roman" w:hAnsi="Times New Roman" w:cs="Times New Roman"/>
      </w:rPr>
    </w:sdtEndPr>
    <w:sdtContent>
      <w:p w:rsidR="00314F75" w:rsidRDefault="00413C6D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D0422" w:rsidRPr="006D0422">
          <w:rPr>
            <w:rFonts w:ascii="Times New Roman" w:hAnsi="Times New Roman" w:cs="Times New Roman"/>
            <w:noProof/>
            <w:lang w:val="zh-CN"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14F75" w:rsidRDefault="00314F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C6D" w:rsidRDefault="00413C6D">
      <w:r>
        <w:separator/>
      </w:r>
    </w:p>
  </w:footnote>
  <w:footnote w:type="continuationSeparator" w:id="0">
    <w:p w:rsidR="00413C6D" w:rsidRDefault="0041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C55F0"/>
    <w:multiLevelType w:val="multilevel"/>
    <w:tmpl w:val="399C55F0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E1"/>
    <w:rsid w:val="00010F9F"/>
    <w:rsid w:val="0004727E"/>
    <w:rsid w:val="00055550"/>
    <w:rsid w:val="00074637"/>
    <w:rsid w:val="0009073D"/>
    <w:rsid w:val="000A6A38"/>
    <w:rsid w:val="000D05C7"/>
    <w:rsid w:val="000F597B"/>
    <w:rsid w:val="001068E1"/>
    <w:rsid w:val="00173E51"/>
    <w:rsid w:val="00192140"/>
    <w:rsid w:val="0019723C"/>
    <w:rsid w:val="001C5EA8"/>
    <w:rsid w:val="001D3A1D"/>
    <w:rsid w:val="001F3FAD"/>
    <w:rsid w:val="001F779F"/>
    <w:rsid w:val="00202C5B"/>
    <w:rsid w:val="002323E3"/>
    <w:rsid w:val="002645F9"/>
    <w:rsid w:val="00265FD7"/>
    <w:rsid w:val="0028091D"/>
    <w:rsid w:val="002A537C"/>
    <w:rsid w:val="002A7BE6"/>
    <w:rsid w:val="002B6750"/>
    <w:rsid w:val="002C3952"/>
    <w:rsid w:val="002D1345"/>
    <w:rsid w:val="00314F75"/>
    <w:rsid w:val="00327D70"/>
    <w:rsid w:val="00341E4B"/>
    <w:rsid w:val="00395464"/>
    <w:rsid w:val="003A49B9"/>
    <w:rsid w:val="003D5591"/>
    <w:rsid w:val="003E5BFE"/>
    <w:rsid w:val="003E77C8"/>
    <w:rsid w:val="00413C6D"/>
    <w:rsid w:val="0044392B"/>
    <w:rsid w:val="004469BA"/>
    <w:rsid w:val="00474D2F"/>
    <w:rsid w:val="004771C0"/>
    <w:rsid w:val="00483314"/>
    <w:rsid w:val="00496ADB"/>
    <w:rsid w:val="004A11FA"/>
    <w:rsid w:val="004A6DA0"/>
    <w:rsid w:val="004B7417"/>
    <w:rsid w:val="004F633A"/>
    <w:rsid w:val="00513952"/>
    <w:rsid w:val="00533674"/>
    <w:rsid w:val="00534D76"/>
    <w:rsid w:val="005372A2"/>
    <w:rsid w:val="00590AAD"/>
    <w:rsid w:val="005B70A8"/>
    <w:rsid w:val="005C2814"/>
    <w:rsid w:val="005D61E1"/>
    <w:rsid w:val="006069DE"/>
    <w:rsid w:val="006A2456"/>
    <w:rsid w:val="006A4536"/>
    <w:rsid w:val="006D0422"/>
    <w:rsid w:val="006F127D"/>
    <w:rsid w:val="0077671D"/>
    <w:rsid w:val="0079096F"/>
    <w:rsid w:val="00797247"/>
    <w:rsid w:val="00816C4B"/>
    <w:rsid w:val="00837BC1"/>
    <w:rsid w:val="00861324"/>
    <w:rsid w:val="008A1256"/>
    <w:rsid w:val="0090382E"/>
    <w:rsid w:val="00915116"/>
    <w:rsid w:val="0094708F"/>
    <w:rsid w:val="00964096"/>
    <w:rsid w:val="009B21F4"/>
    <w:rsid w:val="009D4320"/>
    <w:rsid w:val="00A2452B"/>
    <w:rsid w:val="00A34A4A"/>
    <w:rsid w:val="00A41DE8"/>
    <w:rsid w:val="00A52049"/>
    <w:rsid w:val="00A7615C"/>
    <w:rsid w:val="00A916B0"/>
    <w:rsid w:val="00AE3446"/>
    <w:rsid w:val="00B26BDD"/>
    <w:rsid w:val="00B615FE"/>
    <w:rsid w:val="00B930DE"/>
    <w:rsid w:val="00BB4807"/>
    <w:rsid w:val="00C05478"/>
    <w:rsid w:val="00CB03AE"/>
    <w:rsid w:val="00CC0CEC"/>
    <w:rsid w:val="00CD2F4D"/>
    <w:rsid w:val="00CE7639"/>
    <w:rsid w:val="00D01F19"/>
    <w:rsid w:val="00D117C0"/>
    <w:rsid w:val="00D228A1"/>
    <w:rsid w:val="00D24130"/>
    <w:rsid w:val="00D5725D"/>
    <w:rsid w:val="00D60C65"/>
    <w:rsid w:val="00DB6FAC"/>
    <w:rsid w:val="00DE19B6"/>
    <w:rsid w:val="00E14F6C"/>
    <w:rsid w:val="00E17169"/>
    <w:rsid w:val="00E44184"/>
    <w:rsid w:val="00E557F2"/>
    <w:rsid w:val="00EC070E"/>
    <w:rsid w:val="00EC7FE2"/>
    <w:rsid w:val="00F01311"/>
    <w:rsid w:val="00F43C24"/>
    <w:rsid w:val="00F50D5B"/>
    <w:rsid w:val="00F81904"/>
    <w:rsid w:val="00FF6A03"/>
    <w:rsid w:val="041F53C3"/>
    <w:rsid w:val="0AC970E3"/>
    <w:rsid w:val="0C0F56F3"/>
    <w:rsid w:val="116A6B7F"/>
    <w:rsid w:val="11B20C52"/>
    <w:rsid w:val="122265BC"/>
    <w:rsid w:val="131147C3"/>
    <w:rsid w:val="14393753"/>
    <w:rsid w:val="1D7D279D"/>
    <w:rsid w:val="1DB124D4"/>
    <w:rsid w:val="27B81A6F"/>
    <w:rsid w:val="29752839"/>
    <w:rsid w:val="29C82CA3"/>
    <w:rsid w:val="3102666E"/>
    <w:rsid w:val="3D9C1C41"/>
    <w:rsid w:val="4F91082B"/>
    <w:rsid w:val="54347783"/>
    <w:rsid w:val="59610775"/>
    <w:rsid w:val="64BF5FF6"/>
    <w:rsid w:val="77955396"/>
    <w:rsid w:val="781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EA034459-8217-4FCE-9A6E-C5AFDF5C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semiHidden/>
    <w:unhideWhenUsed/>
    <w:qFormat/>
    <w:rPr>
      <w:rFonts w:ascii="Times New Roman" w:eastAsia="Times New Roman" w:hAnsi="Times New Roman" w:cs="Times New Roman"/>
    </w:rPr>
  </w:style>
  <w:style w:type="character" w:styleId="af">
    <w:name w:val="line number"/>
    <w:basedOn w:val="a0"/>
    <w:uiPriority w:val="99"/>
    <w:semiHidden/>
    <w:unhideWhenUsed/>
    <w:qFormat/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af1">
    <w:name w:val="三线表"/>
    <w:basedOn w:val="a1"/>
    <w:uiPriority w:val="99"/>
    <w:qFormat/>
    <w:rPr>
      <w:rFonts w:ascii="Times New Roman" w:eastAsia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1">
    <w:name w:val="标题 1 字符"/>
    <w:basedOn w:val="a0"/>
    <w:link w:val="10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2">
    <w:name w:val="Quote"/>
    <w:basedOn w:val="a"/>
    <w:next w:val="a"/>
    <w:link w:val="af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明显引用 字符"/>
    <w:basedOn w:val="a0"/>
    <w:link w:val="af5"/>
    <w:uiPriority w:val="30"/>
    <w:qFormat/>
    <w:rPr>
      <w:i/>
      <w:iCs/>
      <w:color w:val="0F4761" w:themeColor="accent1" w:themeShade="BF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upplementaryMaterial">
    <w:name w:val="Supplementary Material"/>
    <w:basedOn w:val="ab"/>
    <w:next w:val="ab"/>
    <w:autoRedefine/>
    <w:qFormat/>
    <w:pPr>
      <w:widowControl/>
      <w:suppressLineNumbers/>
      <w:spacing w:before="240" w:after="120"/>
      <w:contextualSpacing w:val="0"/>
    </w:pPr>
    <w:rPr>
      <w:rFonts w:ascii="Times New Roman" w:eastAsiaTheme="minorEastAsia" w:hAnsi="Times New Roman" w:cs="Times New Roman"/>
      <w:b/>
      <w:i/>
      <w:spacing w:val="0"/>
      <w:kern w:val="0"/>
      <w:sz w:val="32"/>
      <w:szCs w:val="32"/>
      <w:lang w:eastAsia="en-US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f7">
    <w:name w:val="No Spacing"/>
    <w:link w:val="af8"/>
    <w:uiPriority w:val="1"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af8">
    <w:name w:val="无间隔 字符"/>
    <w:basedOn w:val="a0"/>
    <w:link w:val="af7"/>
    <w:uiPriority w:val="1"/>
    <w:qFormat/>
  </w:style>
  <w:style w:type="paragraph" w:customStyle="1" w:styleId="1">
    <w:name w:val="正文1"/>
    <w:qFormat/>
    <w:pPr>
      <w:numPr>
        <w:numId w:val="1"/>
      </w:numPr>
      <w:spacing w:line="480" w:lineRule="auto"/>
      <w:jc w:val="both"/>
    </w:pPr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D0422"/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6D04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A84A-6F9C-487D-AD45-BEDA92DE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家明 竺</dc:creator>
  <cp:lastModifiedBy>bjyy</cp:lastModifiedBy>
  <cp:revision>18</cp:revision>
  <dcterms:created xsi:type="dcterms:W3CDTF">2025-07-18T01:29:00Z</dcterms:created>
  <dcterms:modified xsi:type="dcterms:W3CDTF">2026-06-16T03:09:00Z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eyJoZGlkIjoiYjNjNWVjMjFkZDk3YzhjZDBhNzU4OThkMTIwZGRiYTgiLCJ1c2VySWQiOiI5NzYyMTAyODYifQ==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1B9CCFD6869C4CF585EAACA0BF80110F_12</vt:lpwstr>
  </property>
</Properties>
</file>