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58D6" w14:textId="77777777" w:rsidR="0023548C" w:rsidRPr="00592332" w:rsidRDefault="007C52F9">
      <w:pPr>
        <w:rPr>
          <w:color w:val="000000"/>
        </w:rPr>
      </w:pPr>
      <w:r w:rsidRPr="00592332">
        <w:rPr>
          <w:rFonts w:ascii="Cambria" w:hAnsi="Cambria" w:cs="Cambria"/>
          <w:color w:val="000000"/>
          <w:sz w:val="28"/>
          <w:szCs w:val="28"/>
        </w:rPr>
        <w:t>Supporting</w:t>
      </w:r>
      <w:r w:rsidRPr="00592332">
        <w:rPr>
          <w:rFonts w:ascii="Cambria" w:hAnsi="Cambria" w:cs="Cambria"/>
          <w:color w:val="000000"/>
          <w:sz w:val="28"/>
          <w:szCs w:val="28"/>
        </w:rPr>
        <w:t xml:space="preserve"> Information</w:t>
      </w:r>
    </w:p>
    <w:p w14:paraId="0D970AD9" w14:textId="77777777" w:rsidR="0023548C" w:rsidRPr="00592332" w:rsidRDefault="0023548C">
      <w:pPr>
        <w:rPr>
          <w:color w:val="000000"/>
        </w:rPr>
      </w:pPr>
    </w:p>
    <w:p w14:paraId="7687D91B" w14:textId="77777777" w:rsidR="0023548C" w:rsidRPr="00592332" w:rsidRDefault="0023548C">
      <w:pPr>
        <w:rPr>
          <w:color w:val="000000"/>
        </w:rPr>
      </w:pPr>
    </w:p>
    <w:p w14:paraId="54A0DC70" w14:textId="77777777" w:rsidR="0023548C" w:rsidRPr="00592332" w:rsidRDefault="007C52F9">
      <w:pPr>
        <w:jc w:val="center"/>
        <w:rPr>
          <w:color w:val="000000"/>
        </w:rPr>
      </w:pPr>
      <w:r w:rsidRPr="00592332">
        <w:rPr>
          <w:color w:val="000000"/>
        </w:rPr>
        <w:drawing>
          <wp:inline distT="0" distB="0" distL="114300" distR="114300">
            <wp:extent cx="4483100" cy="160718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A9CD" w14:textId="77777777" w:rsidR="0023548C" w:rsidRPr="00592332" w:rsidRDefault="007C52F9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  <w:r w:rsidRPr="00592332">
        <w:rPr>
          <w:rFonts w:ascii="Cambria" w:eastAsia="SimSun" w:hAnsi="Cambria" w:cs="Cambria" w:hint="eastAsia"/>
          <w:b/>
          <w:bCs/>
          <w:color w:val="000000"/>
          <w:kern w:val="0"/>
          <w:szCs w:val="21"/>
          <w:lang w:bidi="ar"/>
        </w:rPr>
        <w:t>Figure S1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 xml:space="preserve">. Direct evidence of HS integration and loading quantification. (A) FTIR spectra of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>pure HS, PEG-TiO₂, and PEG-HS/TiO₂. (B) TGA thermograms of pure HS, PEG-TiO₂, and PEG-HS/TiO₂.</w:t>
      </w:r>
    </w:p>
    <w:p w14:paraId="37BFF3A4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59F2B012" w14:textId="77777777" w:rsidR="0023548C" w:rsidRPr="00592332" w:rsidRDefault="0023548C">
      <w:pPr>
        <w:rPr>
          <w:color w:val="000000"/>
        </w:rPr>
      </w:pPr>
    </w:p>
    <w:p w14:paraId="4E59860B" w14:textId="77777777" w:rsidR="0023548C" w:rsidRPr="00592332" w:rsidRDefault="0023548C">
      <w:pPr>
        <w:rPr>
          <w:color w:val="000000"/>
        </w:rPr>
      </w:pPr>
    </w:p>
    <w:p w14:paraId="5B78363A" w14:textId="77777777" w:rsidR="0023548C" w:rsidRPr="00592332" w:rsidRDefault="007C52F9">
      <w:pPr>
        <w:jc w:val="center"/>
        <w:rPr>
          <w:b/>
          <w:bCs/>
          <w:color w:val="000000"/>
        </w:rPr>
      </w:pPr>
      <w:r w:rsidRPr="00592332">
        <w:rPr>
          <w:b/>
          <w:bCs/>
          <w:color w:val="000000"/>
        </w:rPr>
        <w:drawing>
          <wp:inline distT="0" distB="0" distL="114300" distR="114300">
            <wp:extent cx="2144395" cy="1423670"/>
            <wp:effectExtent l="0" t="0" r="1905" b="1143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2DEE" w14:textId="77777777" w:rsidR="0023548C" w:rsidRPr="00592332" w:rsidRDefault="007C52F9">
      <w:pPr>
        <w:rPr>
          <w:rFonts w:ascii="Cambria" w:hAnsi="Cambria" w:cs="Cambria"/>
          <w:color w:val="000000"/>
        </w:rPr>
      </w:pPr>
      <w:r w:rsidRPr="00592332">
        <w:rPr>
          <w:rFonts w:ascii="Cambria" w:hAnsi="Cambria" w:cs="Cambria"/>
          <w:b/>
          <w:bCs/>
          <w:color w:val="000000"/>
        </w:rPr>
        <w:t>Figure S</w:t>
      </w:r>
      <w:r w:rsidRPr="00592332">
        <w:rPr>
          <w:rFonts w:ascii="Cambria" w:hAnsi="Cambria" w:cs="Cambria" w:hint="eastAsia"/>
          <w:b/>
          <w:bCs/>
          <w:color w:val="000000"/>
        </w:rPr>
        <w:t>2</w:t>
      </w:r>
      <w:r w:rsidRPr="00592332">
        <w:rPr>
          <w:rFonts w:ascii="Cambria" w:hAnsi="Cambria" w:cs="Cambria"/>
          <w:b/>
          <w:bCs/>
          <w:color w:val="000000"/>
        </w:rPr>
        <w:t>.</w:t>
      </w:r>
      <w:r w:rsidRPr="00592332">
        <w:rPr>
          <w:rFonts w:ascii="Cambria" w:hAnsi="Cambria" w:cs="Cambria"/>
          <w:color w:val="000000"/>
        </w:rPr>
        <w:t xml:space="preserve"> Zeta potentials of TiO₂, PEG-TiO₂, and PEG-HS/TiO₂. Measurements were performed in deionized water (pH 7.4) at 25 °C. Data are presented as mean ± SD (n = 3).</w:t>
      </w:r>
    </w:p>
    <w:p w14:paraId="007FDBA8" w14:textId="77777777" w:rsidR="0023548C" w:rsidRPr="00592332" w:rsidRDefault="0023548C">
      <w:pPr>
        <w:rPr>
          <w:color w:val="000000"/>
        </w:rPr>
      </w:pPr>
    </w:p>
    <w:p w14:paraId="441A677D" w14:textId="77777777" w:rsidR="0023548C" w:rsidRPr="00592332" w:rsidRDefault="0023548C">
      <w:pPr>
        <w:rPr>
          <w:color w:val="000000"/>
        </w:rPr>
      </w:pPr>
    </w:p>
    <w:p w14:paraId="44010DBD" w14:textId="77777777" w:rsidR="0023548C" w:rsidRPr="00592332" w:rsidRDefault="0023548C">
      <w:pPr>
        <w:rPr>
          <w:color w:val="000000"/>
        </w:rPr>
      </w:pPr>
    </w:p>
    <w:p w14:paraId="7778DD1B" w14:textId="77777777" w:rsidR="0023548C" w:rsidRPr="00592332" w:rsidRDefault="0023548C">
      <w:pPr>
        <w:rPr>
          <w:color w:val="000000"/>
        </w:rPr>
      </w:pPr>
    </w:p>
    <w:p w14:paraId="72C73FA7" w14:textId="77777777" w:rsidR="0023548C" w:rsidRPr="00592332" w:rsidRDefault="007C52F9">
      <w:pPr>
        <w:jc w:val="center"/>
        <w:rPr>
          <w:rFonts w:ascii="Cambria" w:eastAsia="SimSun" w:hAnsi="Cambria" w:cs="Cambria"/>
          <w:color w:val="000000"/>
          <w:kern w:val="0"/>
          <w:szCs w:val="21"/>
          <w:lang w:bidi="ar"/>
        </w:rPr>
      </w:pPr>
      <w:r w:rsidRPr="00592332">
        <w:rPr>
          <w:color w:val="000000"/>
        </w:rPr>
        <w:drawing>
          <wp:inline distT="0" distB="0" distL="114300" distR="114300">
            <wp:extent cx="2051050" cy="1503045"/>
            <wp:effectExtent l="0" t="0" r="6350" b="825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EAC5" w14:textId="77777777" w:rsidR="0023548C" w:rsidRPr="00592332" w:rsidRDefault="007C52F9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  <w:r w:rsidRPr="00592332">
        <w:rPr>
          <w:rFonts w:ascii="Cambria" w:eastAsia="SimSun" w:hAnsi="Cambria" w:cs="Cambria"/>
          <w:b/>
          <w:bCs/>
          <w:color w:val="000000"/>
          <w:kern w:val="0"/>
          <w:szCs w:val="21"/>
          <w:lang w:bidi="ar"/>
        </w:rPr>
        <w:t>Figure S</w:t>
      </w:r>
      <w:r w:rsidRPr="00592332">
        <w:rPr>
          <w:rFonts w:ascii="Cambria" w:eastAsia="SimSun" w:hAnsi="Cambria" w:cs="Cambria" w:hint="eastAsia"/>
          <w:b/>
          <w:bCs/>
          <w:color w:val="000000"/>
          <w:kern w:val="0"/>
          <w:szCs w:val="21"/>
          <w:lang w:bidi="ar"/>
        </w:rPr>
        <w:t>3</w:t>
      </w:r>
      <w:r w:rsidRPr="00592332">
        <w:rPr>
          <w:rFonts w:ascii="Cambria" w:eastAsia="SimSun" w:hAnsi="Cambria" w:cs="Cambria"/>
          <w:b/>
          <w:bCs/>
          <w:color w:val="000000"/>
          <w:kern w:val="0"/>
          <w:szCs w:val="21"/>
          <w:lang w:bidi="ar"/>
        </w:rPr>
        <w:t xml:space="preserve">.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 xml:space="preserve">Release kinetics and first-order fitting of HS from PEG-HS/TiO₂. Cumulative release profiles of HS at pH 7.4 (left) and pH 5.5 (right) over 72 h. Symbols represent experimental data (mean ± SD, n = 3). Solid lines represent first-order kinetic fitting. The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lastRenderedPageBreak/>
        <w:t>release rate constants (k) and correlation coefficients (R²) are indicated.</w:t>
      </w:r>
    </w:p>
    <w:p w14:paraId="55F86035" w14:textId="77777777" w:rsidR="0023548C" w:rsidRPr="00592332" w:rsidRDefault="0023548C">
      <w:pPr>
        <w:rPr>
          <w:color w:val="000000"/>
        </w:rPr>
      </w:pPr>
    </w:p>
    <w:p w14:paraId="348FA686" w14:textId="77777777" w:rsidR="0023548C" w:rsidRPr="00592332" w:rsidRDefault="0023548C">
      <w:pPr>
        <w:rPr>
          <w:color w:val="000000"/>
        </w:rPr>
      </w:pPr>
    </w:p>
    <w:p w14:paraId="05F43149" w14:textId="77777777" w:rsidR="0023548C" w:rsidRPr="00592332" w:rsidRDefault="007C52F9">
      <w:pPr>
        <w:rPr>
          <w:rFonts w:ascii="Cambria" w:hAnsi="Cambria" w:cs="Cambria"/>
          <w:color w:val="000000"/>
        </w:rPr>
      </w:pPr>
      <w:r w:rsidRPr="00592332">
        <w:rPr>
          <w:color w:val="000000"/>
        </w:rPr>
        <w:drawing>
          <wp:inline distT="0" distB="0" distL="114300" distR="114300">
            <wp:extent cx="5270500" cy="2608580"/>
            <wp:effectExtent l="0" t="0" r="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5F64" w14:textId="77777777" w:rsidR="0023548C" w:rsidRPr="00592332" w:rsidRDefault="007C52F9">
      <w:pPr>
        <w:rPr>
          <w:rFonts w:ascii="Cambria" w:hAnsi="Cambria" w:cs="Cambria"/>
          <w:color w:val="000000"/>
        </w:rPr>
      </w:pPr>
      <w:r w:rsidRPr="00592332">
        <w:rPr>
          <w:rFonts w:ascii="Cambria" w:eastAsia="SimSun" w:hAnsi="Cambria" w:cs="Cambria"/>
          <w:b/>
          <w:bCs/>
          <w:color w:val="000000"/>
          <w:kern w:val="0"/>
          <w:szCs w:val="21"/>
          <w:lang w:bidi="ar"/>
        </w:rPr>
        <w:t>Figure S</w:t>
      </w:r>
      <w:r w:rsidRPr="00592332">
        <w:rPr>
          <w:rFonts w:ascii="Cambria" w:eastAsia="SimSun" w:hAnsi="Cambria" w:cs="Cambria" w:hint="eastAsia"/>
          <w:b/>
          <w:bCs/>
          <w:color w:val="000000"/>
          <w:kern w:val="0"/>
          <w:szCs w:val="21"/>
          <w:lang w:bidi="ar"/>
        </w:rPr>
        <w:t>4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 xml:space="preserve">. In vivo biosafety assessment: peripheral blood parameters and systemic inflammatory cytokines. </w:t>
      </w:r>
      <w:r w:rsidRPr="00592332">
        <w:rPr>
          <w:rFonts w:ascii="Cambria" w:hAnsi="Cambria" w:cs="Cambria"/>
          <w:color w:val="000000"/>
        </w:rPr>
        <w:t>(</w:t>
      </w:r>
      <w:r w:rsidRPr="00592332">
        <w:rPr>
          <w:rFonts w:ascii="Cambria" w:hAnsi="Cambria" w:cs="Cambria" w:hint="eastAsia"/>
          <w:color w:val="000000"/>
        </w:rPr>
        <w:t>A</w:t>
      </w:r>
      <w:r w:rsidRPr="00592332">
        <w:rPr>
          <w:rFonts w:ascii="Cambria" w:hAnsi="Cambria" w:cs="Cambria"/>
          <w:color w:val="000000"/>
        </w:rPr>
        <w:t>–</w:t>
      </w:r>
      <w:r w:rsidRPr="00592332">
        <w:rPr>
          <w:rFonts w:ascii="Cambria" w:hAnsi="Cambria" w:cs="Cambria" w:hint="eastAsia"/>
          <w:color w:val="000000"/>
        </w:rPr>
        <w:t>C</w:t>
      </w:r>
      <w:r w:rsidRPr="00592332">
        <w:rPr>
          <w:rFonts w:ascii="Cambria" w:hAnsi="Cambria" w:cs="Cambria"/>
          <w:color w:val="000000"/>
        </w:rPr>
        <w:t>) RBC, WBC, PLT counts at days 0, 7, 14, 21</w:t>
      </w:r>
      <w:r w:rsidRPr="00592332">
        <w:rPr>
          <w:rFonts w:ascii="Cambria" w:hAnsi="Cambria" w:cs="Cambria" w:hint="eastAsia"/>
          <w:color w:val="000000"/>
        </w:rPr>
        <w:t xml:space="preserve">. </w:t>
      </w:r>
      <w:r w:rsidRPr="00592332">
        <w:rPr>
          <w:rFonts w:ascii="Cambria" w:hAnsi="Cambria" w:cs="Cambria"/>
          <w:color w:val="000000"/>
        </w:rPr>
        <w:t>(</w:t>
      </w:r>
      <w:r w:rsidRPr="00592332">
        <w:rPr>
          <w:rFonts w:ascii="Cambria" w:hAnsi="Cambria" w:cs="Cambria" w:hint="eastAsia"/>
          <w:color w:val="000000"/>
        </w:rPr>
        <w:t>D</w:t>
      </w:r>
      <w:r w:rsidRPr="00592332">
        <w:rPr>
          <w:rFonts w:ascii="Cambria" w:hAnsi="Cambria" w:cs="Cambria"/>
          <w:color w:val="000000"/>
        </w:rPr>
        <w:t>–</w:t>
      </w:r>
      <w:r w:rsidRPr="00592332">
        <w:rPr>
          <w:rFonts w:ascii="Cambria" w:hAnsi="Cambria" w:cs="Cambria" w:hint="eastAsia"/>
          <w:color w:val="000000"/>
        </w:rPr>
        <w:t>E</w:t>
      </w:r>
      <w:r w:rsidRPr="00592332">
        <w:rPr>
          <w:rFonts w:ascii="Cambria" w:hAnsi="Cambria" w:cs="Cambria"/>
          <w:color w:val="000000"/>
        </w:rPr>
        <w:t xml:space="preserve">) </w:t>
      </w:r>
      <w:r w:rsidRPr="00592332">
        <w:rPr>
          <w:rFonts w:ascii="Cambria" w:hAnsi="Cambria" w:cs="Cambria"/>
          <w:color w:val="000000"/>
        </w:rPr>
        <w:t>Serum IFN-γ and IL-1β levels at days 0, 7, 14, 21</w:t>
      </w:r>
      <w:r w:rsidRPr="00592332">
        <w:rPr>
          <w:rFonts w:ascii="Cambria" w:hAnsi="Cambria" w:cs="Cambria" w:hint="eastAsia"/>
          <w:color w:val="000000"/>
        </w:rPr>
        <w:t xml:space="preserve">. </w:t>
      </w:r>
      <w:r w:rsidRPr="00592332">
        <w:rPr>
          <w:rFonts w:ascii="Cambria" w:hAnsi="Cambria" w:cs="Cambria"/>
          <w:color w:val="000000"/>
        </w:rPr>
        <w:t>Data are presented as mean ± SD</w:t>
      </w:r>
      <w:r w:rsidRPr="00592332">
        <w:rPr>
          <w:rFonts w:ascii="Cambria" w:hAnsi="Cambria" w:cs="Cambria" w:hint="eastAsia"/>
          <w:color w:val="000000"/>
        </w:rPr>
        <w:t>, n=5.</w:t>
      </w:r>
    </w:p>
    <w:p w14:paraId="763F36B2" w14:textId="77777777" w:rsidR="0023548C" w:rsidRPr="00592332" w:rsidRDefault="0023548C">
      <w:pPr>
        <w:rPr>
          <w:color w:val="000000"/>
        </w:rPr>
      </w:pPr>
    </w:p>
    <w:p w14:paraId="722253C8" w14:textId="77777777" w:rsidR="0023548C" w:rsidRPr="00592332" w:rsidRDefault="0023548C">
      <w:pPr>
        <w:rPr>
          <w:color w:val="000000"/>
        </w:rPr>
      </w:pPr>
    </w:p>
    <w:p w14:paraId="29F50915" w14:textId="77777777" w:rsidR="0023548C" w:rsidRPr="00592332" w:rsidRDefault="0023548C">
      <w:pPr>
        <w:rPr>
          <w:color w:val="000000"/>
        </w:rPr>
      </w:pPr>
    </w:p>
    <w:p w14:paraId="386A33FC" w14:textId="77777777" w:rsidR="0023548C" w:rsidRPr="00592332" w:rsidRDefault="0023548C">
      <w:pPr>
        <w:rPr>
          <w:color w:val="000000"/>
        </w:rPr>
      </w:pPr>
    </w:p>
    <w:p w14:paraId="5D591DB7" w14:textId="77777777" w:rsidR="0023548C" w:rsidRPr="00592332" w:rsidRDefault="007C52F9">
      <w:pPr>
        <w:rPr>
          <w:color w:val="000000"/>
        </w:rPr>
      </w:pPr>
      <w:r w:rsidRPr="00592332">
        <w:rPr>
          <w:color w:val="000000"/>
        </w:rPr>
        <w:drawing>
          <wp:inline distT="0" distB="0" distL="114300" distR="114300">
            <wp:extent cx="5269865" cy="2272665"/>
            <wp:effectExtent l="0" t="0" r="63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E726" w14:textId="77777777" w:rsidR="0023548C" w:rsidRPr="00592332" w:rsidRDefault="007C52F9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  <w:r w:rsidRPr="00592332">
        <w:rPr>
          <w:rFonts w:ascii="Cambria" w:eastAsia="SimSun" w:hAnsi="Cambria" w:cs="Cambria" w:hint="eastAsia"/>
          <w:b/>
          <w:bCs/>
          <w:color w:val="000000"/>
          <w:kern w:val="0"/>
          <w:szCs w:val="21"/>
          <w:lang w:bidi="ar"/>
        </w:rPr>
        <w:t>Figure S5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>.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 xml:space="preserve"> PEG‑HS/TiO₂ inhibits H₂O₂‑induced HIF‑1α nuclear translocation and downregulates HIF‑1α target gene expression in macrophages.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 xml:space="preserve">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>(A–B) Representative immunofluorescence images of HIF‑1α (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>red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 xml:space="preserve">)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>and DAPI (blue) in RAW264.7 macrophages treated with PBS, H₂O₂, or H₂O₂ + PEG‑HS/TiO₂ (100 μg/mL) for 24 h. (C) qPCR analysis of HIF‑1α downstream target genes LDHA and PDK1. Data are presented as mean ± SD (n = 3 independent biological replicates).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 xml:space="preserve"> </w:t>
      </w:r>
      <w:r w:rsidRPr="00592332">
        <w:rPr>
          <w:rFonts w:ascii="Cambria" w:hAnsi="Cambria" w:cs="Cambria"/>
          <w:color w:val="000000"/>
        </w:rPr>
        <w:t>*</w:t>
      </w:r>
      <w:r w:rsidRPr="00592332">
        <w:rPr>
          <w:rFonts w:ascii="Cambria" w:hAnsi="Cambria" w:cs="Cambria"/>
          <w:i/>
          <w:iCs/>
          <w:color w:val="000000"/>
        </w:rPr>
        <w:t>p</w:t>
      </w:r>
      <w:r w:rsidRPr="00592332">
        <w:rPr>
          <w:rFonts w:ascii="Cambria" w:hAnsi="Cambria" w:cs="Cambria"/>
          <w:color w:val="000000"/>
        </w:rPr>
        <w:t xml:space="preserve"> &lt; 0.0</w:t>
      </w:r>
      <w:r w:rsidRPr="00592332">
        <w:rPr>
          <w:rFonts w:ascii="Cambria" w:hAnsi="Cambria" w:cs="Cambria" w:hint="eastAsia"/>
          <w:color w:val="000000"/>
        </w:rPr>
        <w:t xml:space="preserve">5 and 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>***</w:t>
      </w:r>
      <w:r w:rsidRPr="00592332">
        <w:rPr>
          <w:rFonts w:ascii="Cambria" w:eastAsia="SimSun" w:hAnsi="Cambria" w:cs="Cambria"/>
          <w:i/>
          <w:iCs/>
          <w:color w:val="000000"/>
          <w:kern w:val="0"/>
          <w:szCs w:val="21"/>
          <w:lang w:bidi="ar"/>
        </w:rPr>
        <w:t>p</w:t>
      </w:r>
      <w:r w:rsidRPr="00592332">
        <w:rPr>
          <w:rFonts w:ascii="Cambria" w:eastAsia="SimSun" w:hAnsi="Cambria" w:cs="Cambria"/>
          <w:color w:val="000000"/>
          <w:kern w:val="0"/>
          <w:szCs w:val="21"/>
          <w:lang w:bidi="ar"/>
        </w:rPr>
        <w:t xml:space="preserve"> &lt; 0.001.</w:t>
      </w:r>
    </w:p>
    <w:p w14:paraId="2F116556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4969677D" w14:textId="77777777" w:rsidR="0023548C" w:rsidRPr="00592332" w:rsidRDefault="007C52F9">
      <w:pPr>
        <w:jc w:val="center"/>
        <w:rPr>
          <w:color w:val="000000"/>
        </w:rPr>
      </w:pPr>
      <w:r w:rsidRPr="00592332">
        <w:rPr>
          <w:color w:val="000000"/>
        </w:rPr>
        <w:lastRenderedPageBreak/>
        <w:drawing>
          <wp:inline distT="0" distB="0" distL="114300" distR="114300">
            <wp:extent cx="2033270" cy="1369695"/>
            <wp:effectExtent l="0" t="0" r="1143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55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F8AE" w14:textId="77777777" w:rsidR="0023548C" w:rsidRPr="00592332" w:rsidRDefault="007C52F9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  <w:r w:rsidRPr="00592332">
        <w:rPr>
          <w:rFonts w:ascii="Cambria" w:eastAsia="SimSun" w:hAnsi="Cambria" w:cs="Cambria"/>
          <w:b/>
          <w:bCs/>
          <w:color w:val="000000"/>
          <w:kern w:val="0"/>
          <w:szCs w:val="21"/>
          <w:lang w:bidi="ar"/>
        </w:rPr>
        <w:t>Figure S</w:t>
      </w:r>
      <w:r w:rsidRPr="00592332">
        <w:rPr>
          <w:rFonts w:ascii="Cambria" w:eastAsia="SimSun" w:hAnsi="Cambria" w:cs="Cambria" w:hint="eastAsia"/>
          <w:b/>
          <w:bCs/>
          <w:color w:val="000000"/>
          <w:kern w:val="0"/>
          <w:szCs w:val="21"/>
          <w:lang w:bidi="ar"/>
        </w:rPr>
        <w:t>6</w:t>
      </w:r>
      <w:r w:rsidRPr="00592332">
        <w:rPr>
          <w:rFonts w:ascii="Cambria" w:eastAsia="SimSun" w:hAnsi="Cambria" w:cs="Cambria" w:hint="eastAsia"/>
          <w:color w:val="000000"/>
          <w:kern w:val="0"/>
          <w:szCs w:val="21"/>
          <w:lang w:bidi="ar"/>
        </w:rPr>
        <w:t xml:space="preserve">. Changes in serum glucose levels of the mice subjected to different treatments at various times after STZ treatment. </w:t>
      </w:r>
      <w:r w:rsidRPr="00592332">
        <w:rPr>
          <w:rFonts w:ascii="Cambria" w:hAnsi="Cambria" w:cs="Cambria"/>
          <w:color w:val="000000"/>
        </w:rPr>
        <w:t>Data are presented as mean ± SD</w:t>
      </w:r>
      <w:r w:rsidRPr="00592332">
        <w:rPr>
          <w:rFonts w:ascii="Cambria" w:hAnsi="Cambria" w:cs="Cambria" w:hint="eastAsia"/>
          <w:color w:val="000000"/>
        </w:rPr>
        <w:t>, n=3.</w:t>
      </w:r>
    </w:p>
    <w:p w14:paraId="725815FB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3850383E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788A7850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73369470" w14:textId="77777777" w:rsidR="0023548C" w:rsidRPr="00592332" w:rsidRDefault="0023548C">
      <w:pPr>
        <w:rPr>
          <w:rFonts w:ascii="Cambria" w:eastAsia="SimSun" w:hAnsi="Cambria" w:cs="Cambria"/>
          <w:color w:val="000000"/>
          <w:kern w:val="0"/>
          <w:szCs w:val="21"/>
          <w:lang w:bidi="ar"/>
        </w:rPr>
      </w:pPr>
    </w:p>
    <w:p w14:paraId="0FE984CD" w14:textId="77777777" w:rsidR="0023548C" w:rsidRPr="00592332" w:rsidRDefault="007C52F9">
      <w:pPr>
        <w:rPr>
          <w:color w:val="000000"/>
        </w:rPr>
      </w:pPr>
      <w:r w:rsidRPr="00592332">
        <w:rPr>
          <w:color w:val="000000"/>
        </w:rPr>
        <w:drawing>
          <wp:inline distT="0" distB="0" distL="114300" distR="114300">
            <wp:extent cx="5247005" cy="1306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809" t="11545" r="1719" b="324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668C" w14:textId="77777777" w:rsidR="0023548C" w:rsidRPr="00592332" w:rsidRDefault="007C52F9">
      <w:pPr>
        <w:rPr>
          <w:rFonts w:ascii="Cambria" w:hAnsi="Cambria" w:cs="Cambria"/>
          <w:color w:val="000000"/>
        </w:rPr>
      </w:pPr>
      <w:r w:rsidRPr="00592332">
        <w:rPr>
          <w:rFonts w:ascii="Cambria" w:hAnsi="Cambria" w:cs="Cambria"/>
          <w:b/>
          <w:bCs/>
          <w:color w:val="000000"/>
        </w:rPr>
        <w:t>Figure S</w:t>
      </w:r>
      <w:r w:rsidRPr="00592332">
        <w:rPr>
          <w:rFonts w:ascii="Cambria" w:hAnsi="Cambria" w:cs="Cambria" w:hint="eastAsia"/>
          <w:b/>
          <w:bCs/>
          <w:color w:val="000000"/>
        </w:rPr>
        <w:t>7</w:t>
      </w:r>
      <w:r w:rsidRPr="00592332">
        <w:rPr>
          <w:rFonts w:ascii="Cambria" w:hAnsi="Cambria" w:cs="Cambria"/>
          <w:color w:val="000000"/>
        </w:rPr>
        <w:t>. Representative images of HE staining on day 14. The areas between arrows indicate the dermal region.</w:t>
      </w:r>
    </w:p>
    <w:p w14:paraId="4DA2B391" w14:textId="77777777" w:rsidR="0023548C" w:rsidRPr="00592332" w:rsidRDefault="0023548C">
      <w:pPr>
        <w:rPr>
          <w:rFonts w:ascii="Cambria" w:hAnsi="Cambria" w:cs="Cambria"/>
          <w:color w:val="000000"/>
        </w:rPr>
      </w:pPr>
    </w:p>
    <w:p w14:paraId="75CFB00B" w14:textId="77777777" w:rsidR="0023548C" w:rsidRPr="00592332" w:rsidRDefault="0023548C">
      <w:pPr>
        <w:rPr>
          <w:rFonts w:ascii="Cambria" w:hAnsi="Cambria" w:cs="Cambria"/>
          <w:color w:val="000000"/>
        </w:rPr>
      </w:pPr>
    </w:p>
    <w:p w14:paraId="3BA18531" w14:textId="77777777" w:rsidR="0023548C" w:rsidRPr="00592332" w:rsidRDefault="0023548C">
      <w:pPr>
        <w:rPr>
          <w:rFonts w:ascii="Cambria" w:hAnsi="Cambria" w:cs="Cambria"/>
          <w:color w:val="000000"/>
        </w:rPr>
      </w:pPr>
    </w:p>
    <w:p w14:paraId="3E7F718E" w14:textId="77777777" w:rsidR="0023548C" w:rsidRPr="00592332" w:rsidRDefault="0023548C">
      <w:pPr>
        <w:rPr>
          <w:rFonts w:ascii="Cambria" w:hAnsi="Cambria" w:cs="Cambria"/>
          <w:color w:val="000000"/>
        </w:rPr>
      </w:pPr>
    </w:p>
    <w:p w14:paraId="3A343CBD" w14:textId="77777777" w:rsidR="0023548C" w:rsidRPr="00592332" w:rsidRDefault="0023548C">
      <w:pPr>
        <w:rPr>
          <w:rFonts w:ascii="Cambria" w:hAnsi="Cambria" w:cs="Cambria"/>
          <w:color w:val="000000"/>
        </w:rPr>
      </w:pPr>
    </w:p>
    <w:sectPr w:rsidR="0023548C" w:rsidRPr="00592332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C44A8" w14:textId="77777777" w:rsidR="007C52F9" w:rsidRDefault="007C52F9">
      <w:r>
        <w:separator/>
      </w:r>
    </w:p>
  </w:endnote>
  <w:endnote w:type="continuationSeparator" w:id="0">
    <w:p w14:paraId="3CFA026A" w14:textId="77777777" w:rsidR="007C52F9" w:rsidRDefault="007C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C9E12" w14:textId="77777777" w:rsidR="0023548C" w:rsidRDefault="007C52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36891932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43D9B" w14:textId="77777777" w:rsidR="0023548C" w:rsidRDefault="007C52F9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41B43D9B" w14:textId="77777777" w:rsidR="0023548C" w:rsidRDefault="007C52F9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A42A" w14:textId="77777777" w:rsidR="0023548C" w:rsidRDefault="007C52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57189368" name="Text Box 4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52C69A" w14:textId="77777777" w:rsidR="0023548C" w:rsidRDefault="007C52F9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3.55pt;height:25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2652C69A" w14:textId="77777777" w:rsidR="0023548C" w:rsidRDefault="007C52F9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12537" w14:textId="77777777" w:rsidR="0023548C" w:rsidRDefault="007C52F9">
                          <w:pPr>
                            <w:pStyle w:val="Footer"/>
                          </w:pPr>
                          <w:r>
                            <w:rPr>
                              <w:rFonts w:ascii="Cambria" w:hAnsi="Cambria" w:cs="Cambria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 w:cs="Cambr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mbria" w:hAnsi="Cambria" w:cs="Cambria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 w:cs="Cambria"/>
                            </w:rPr>
                            <w:t>1</w:t>
                          </w:r>
                          <w:r>
                            <w:rPr>
                              <w:rFonts w:ascii="Cambria" w:hAnsi="Cambria" w:cs="Cambr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9012537" w14:textId="77777777" w:rsidR="0023548C" w:rsidRDefault="007C52F9">
                    <w:pPr>
                      <w:pStyle w:val="Footer"/>
                    </w:pPr>
                    <w:r>
                      <w:rPr>
                        <w:rFonts w:ascii="Cambria" w:hAnsi="Cambria" w:cs="Cambria"/>
                      </w:rPr>
                      <w:fldChar w:fldCharType="begin"/>
                    </w:r>
                    <w:r>
                      <w:rPr>
                        <w:rFonts w:ascii="Cambria" w:hAnsi="Cambria" w:cs="Cambria"/>
                      </w:rPr>
                      <w:instrText xml:space="preserve"> PAGE  \* MERGEFORMAT </w:instrText>
                    </w:r>
                    <w:r>
                      <w:rPr>
                        <w:rFonts w:ascii="Cambria" w:hAnsi="Cambria" w:cs="Cambria"/>
                      </w:rPr>
                      <w:fldChar w:fldCharType="separate"/>
                    </w:r>
                    <w:r>
                      <w:rPr>
                        <w:rFonts w:ascii="Cambria" w:hAnsi="Cambria" w:cs="Cambria"/>
                      </w:rPr>
                      <w:t>1</w:t>
                    </w:r>
                    <w:r>
                      <w:rPr>
                        <w:rFonts w:ascii="Cambria" w:hAnsi="Cambria" w:cs="Cambr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962B2" w14:textId="77777777" w:rsidR="0023548C" w:rsidRDefault="007C52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49578989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11B70E" w14:textId="77777777" w:rsidR="0023548C" w:rsidRDefault="007C52F9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B6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i0/t19CccSoH48K95dsOS++YDy/M4YZxEFRt&#10;eMZDKugrChdESQvu+9/sMR6JRy8lPSqmogYlTYn6ZHAhxXKR51Fh6YbATaBOYP4+X0a/OepHQDHO&#10;8V1YnmAMDmqC0oH+hqLexGroYoZjzYrWE3wMo37xUXCx2aQgFJNlYWf2lsfUkTNvN8eARCZ+I0sj&#10;JxfyUE5pQxfpR73+fE9Rtwe6/g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LxpUHr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011B70E" w14:textId="77777777" w:rsidR="0023548C" w:rsidRDefault="007C52F9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D35E7" w14:textId="77777777" w:rsidR="007C52F9" w:rsidRDefault="007C52F9">
      <w:r>
        <w:separator/>
      </w:r>
    </w:p>
  </w:footnote>
  <w:footnote w:type="continuationSeparator" w:id="0">
    <w:p w14:paraId="518BDB60" w14:textId="77777777" w:rsidR="007C52F9" w:rsidRDefault="007C5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091B2" w14:textId="77777777" w:rsidR="0023548C" w:rsidRDefault="0023548C">
    <w:pPr>
      <w:pStyle w:val="Header"/>
      <w:jc w:val="center"/>
      <w:rPr>
        <w:rFonts w:ascii="Cambria" w:hAnsi="Cambria" w:cs="Cambri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DCC"/>
    <w:rsid w:val="00060C56"/>
    <w:rsid w:val="00191038"/>
    <w:rsid w:val="001B472B"/>
    <w:rsid w:val="0023548C"/>
    <w:rsid w:val="0033505E"/>
    <w:rsid w:val="004151F9"/>
    <w:rsid w:val="0044108B"/>
    <w:rsid w:val="00592332"/>
    <w:rsid w:val="00673DCC"/>
    <w:rsid w:val="007C52F9"/>
    <w:rsid w:val="00840710"/>
    <w:rsid w:val="009247EA"/>
    <w:rsid w:val="00960912"/>
    <w:rsid w:val="00BE323C"/>
    <w:rsid w:val="00C80AFD"/>
    <w:rsid w:val="00CB3314"/>
    <w:rsid w:val="00D53FB0"/>
    <w:rsid w:val="00FA776D"/>
    <w:rsid w:val="085409E1"/>
    <w:rsid w:val="09675321"/>
    <w:rsid w:val="14021145"/>
    <w:rsid w:val="14787805"/>
    <w:rsid w:val="1AA2382E"/>
    <w:rsid w:val="2DEE51E2"/>
    <w:rsid w:val="2EDE5620"/>
    <w:rsid w:val="368C11C2"/>
    <w:rsid w:val="38B40A07"/>
    <w:rsid w:val="4CE54D31"/>
    <w:rsid w:val="52CA0C50"/>
    <w:rsid w:val="61073923"/>
    <w:rsid w:val="72F97425"/>
    <w:rsid w:val="787D7956"/>
    <w:rsid w:val="7950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docId w15:val="{05C22F1C-3695-42CD-A86B-AD0EE469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1506</Characters>
  <Application>Microsoft Office Word</Application>
  <DocSecurity>0</DocSecurity>
  <Lines>12</Lines>
  <Paragraphs>3</Paragraphs>
  <ScaleCrop>false</ScaleCrop>
  <Company>HP Inc.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Sivaraj, Shamini</cp:lastModifiedBy>
  <cp:revision>2</cp:revision>
  <dcterms:created xsi:type="dcterms:W3CDTF">2026-06-19T04:53:00Z</dcterms:created>
  <dcterms:modified xsi:type="dcterms:W3CDTF">2026-06-19T04:53:00Z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E5776BD34E194679B8C8B2DA678BE2E1_12</vt:lpwstr>
  </property>
  <property fmtid="{D5CDD505-2E9C-101B-9397-08002B2CF9AE}" pid="4" name="KSOTemplateDocerSaveRecord">
    <vt:lpwstr>eyJoZGlkIjoiNjVjY2E2OTE2OGUxMmFjYmYxNTlkYzUxYTZlOTVlYTQiLCJ1c2VySWQiOiIzMTcwNDAzODcifQ==</vt:lpwstr>
  </property>
  <property fmtid="{D5CDD505-2E9C-101B-9397-08002B2CF9AE}" pid="5" name="ClassificationContentMarkingFooterShapeIds">
    <vt:lpwstr>743436ed,e1eaf1c,62c6b3f8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2026-06-18T05:59:08Z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d6b317ad-d57c-4f97-80c5-58e10ae700b5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