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4AD78">
      <w:pPr>
        <w:pStyle w:val="2"/>
        <w:jc w:val="center"/>
        <w:rPr>
          <w:rFonts w:hint="default" w:ascii="Times New Roman" w:hAnsi="Times New Roman" w:cs="Times New Roman"/>
          <w:sz w:val="30"/>
          <w:szCs w:val="30"/>
        </w:rPr>
      </w:pPr>
      <w:r>
        <w:rPr>
          <w:rFonts w:hint="default" w:ascii="Times New Roman" w:hAnsi="Times New Roman" w:cs="Times New Roman"/>
          <w:sz w:val="30"/>
          <w:szCs w:val="30"/>
        </w:rPr>
        <w:t>Supplementary Materials</w:t>
      </w:r>
    </w:p>
    <w:p w14:paraId="3F6A8E32">
      <w:pPr>
        <w:jc w:val="center"/>
        <w:rPr>
          <w:rFonts w:hint="eastAsia" w:eastAsia="宋体"/>
          <w:i/>
          <w:sz w:val="28"/>
          <w:szCs w:val="28"/>
          <w:lang w:eastAsia="zh-CN"/>
        </w:rPr>
      </w:pPr>
      <w:r>
        <w:rPr>
          <w:i/>
          <w:sz w:val="28"/>
          <w:szCs w:val="28"/>
        </w:rPr>
        <w:t>Diagnostic Value of Bilateral Pectoralis Major Total Cross-Sectional Area</w:t>
      </w:r>
    </w:p>
    <w:p w14:paraId="4BC3B12A">
      <w:pPr>
        <w:jc w:val="center"/>
        <w:rPr>
          <w:rFonts w:hint="eastAsia" w:eastAsia="宋体"/>
          <w:i/>
          <w:sz w:val="28"/>
          <w:szCs w:val="28"/>
          <w:lang w:eastAsia="zh-CN"/>
        </w:rPr>
      </w:pPr>
      <w:r>
        <w:rPr>
          <w:i/>
          <w:sz w:val="28"/>
          <w:szCs w:val="28"/>
        </w:rPr>
        <w:t>in Patients with AECOPD Complicated by Malnutrition</w:t>
      </w:r>
    </w:p>
    <w:p w14:paraId="112B34D1">
      <w:pPr>
        <w:jc w:val="center"/>
        <w:rPr>
          <w:rFonts w:hint="eastAsia" w:eastAsia="宋体"/>
          <w:i/>
          <w:lang w:eastAsia="zh-CN"/>
        </w:rPr>
      </w:pPr>
    </w:p>
    <w:p w14:paraId="72B04B86">
      <w:pPr>
        <w:jc w:val="center"/>
        <w:rPr>
          <w:rFonts w:hint="eastAsia" w:eastAsia="宋体"/>
          <w:i/>
          <w:lang w:eastAsia="zh-CN"/>
        </w:rPr>
      </w:pPr>
    </w:p>
    <w:p w14:paraId="1254F678">
      <w:pPr>
        <w:jc w:val="center"/>
        <w:rPr>
          <w:rFonts w:hint="eastAsia" w:eastAsia="宋体"/>
          <w:b/>
          <w:sz w:val="28"/>
          <w:szCs w:val="28"/>
          <w:lang w:eastAsia="zh-CN"/>
        </w:rPr>
      </w:pPr>
      <w:r>
        <w:rPr>
          <w:b/>
          <w:sz w:val="28"/>
          <w:szCs w:val="28"/>
        </w:rPr>
        <w:t>Manuscript ID: 616277</w:t>
      </w:r>
    </w:p>
    <w:p w14:paraId="248D7DC1">
      <w:pPr>
        <w:jc w:val="center"/>
        <w:rPr>
          <w:rFonts w:hint="eastAsia" w:eastAsia="宋体"/>
          <w:sz w:val="28"/>
          <w:szCs w:val="28"/>
          <w:lang w:eastAsia="zh-CN"/>
        </w:rPr>
      </w:pPr>
      <w:r>
        <w:rPr>
          <w:sz w:val="28"/>
          <w:szCs w:val="28"/>
        </w:rPr>
        <w:t>International Journal of COPD</w:t>
      </w:r>
    </w:p>
    <w:p w14:paraId="48168521">
      <w:pPr>
        <w:jc w:val="center"/>
        <w:rPr>
          <w:rFonts w:hint="eastAsia" w:eastAsia="宋体"/>
          <w:sz w:val="28"/>
          <w:szCs w:val="28"/>
          <w:lang w:eastAsia="zh-CN"/>
        </w:rPr>
      </w:pPr>
      <w:r>
        <w:rPr>
          <w:sz w:val="28"/>
          <w:szCs w:val="28"/>
        </w:rPr>
        <w:t>Dovepress, Taylor &amp; Francis Group</w:t>
      </w:r>
    </w:p>
    <w:p w14:paraId="48BE29F8">
      <w:pPr>
        <w:rPr>
          <w:rFonts w:hint="eastAsia"/>
          <w:sz w:val="28"/>
          <w:szCs w:val="28"/>
        </w:rPr>
      </w:pPr>
    </w:p>
    <w:p w14:paraId="15D2A5FA">
      <w:pPr>
        <w:rPr>
          <w:rFonts w:hint="eastAsia"/>
          <w:sz w:val="28"/>
          <w:szCs w:val="28"/>
        </w:rPr>
      </w:pPr>
    </w:p>
    <w:p w14:paraId="6EFC3405">
      <w:pPr>
        <w:rPr>
          <w:rFonts w:hint="eastAsia"/>
          <w:sz w:val="28"/>
          <w:szCs w:val="28"/>
        </w:rPr>
      </w:pPr>
    </w:p>
    <w:p w14:paraId="6EDF9C56">
      <w:pPr>
        <w:rPr>
          <w:rFonts w:hint="eastAsia"/>
          <w:sz w:val="28"/>
          <w:szCs w:val="28"/>
        </w:rPr>
      </w:pPr>
    </w:p>
    <w:p w14:paraId="72912F0D">
      <w:pPr>
        <w:rPr>
          <w:rFonts w:hint="eastAsia" w:eastAsia="宋体"/>
          <w:sz w:val="28"/>
          <w:szCs w:val="28"/>
          <w:lang w:val="en-US" w:eastAsia="zh-CN"/>
        </w:rPr>
      </w:pPr>
      <w:r>
        <w:rPr>
          <w:rFonts w:hint="eastAsia"/>
          <w:b/>
          <w:bCs/>
          <w:sz w:val="28"/>
          <w:szCs w:val="28"/>
        </w:rPr>
        <w:t>Supplementary Table S1</w:t>
      </w:r>
      <w:r>
        <w:rPr>
          <w:rFonts w:hint="eastAsia" w:eastAsia="宋体"/>
          <w:sz w:val="28"/>
          <w:szCs w:val="28"/>
          <w:lang w:val="en-US" w:eastAsia="zh-CN"/>
        </w:rPr>
        <w:t xml:space="preserve">. Multicollinearity diagnostics before and after variable selection </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721"/>
        <w:gridCol w:w="4721"/>
        <w:gridCol w:w="4721"/>
      </w:tblGrid>
      <w:tr w14:paraId="33E8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Borders>
              <w:top w:val="single" w:color="auto" w:sz="12" w:space="0"/>
              <w:bottom w:val="single" w:color="auto" w:sz="8" w:space="0"/>
            </w:tcBorders>
            <w:vAlign w:val="center"/>
          </w:tcPr>
          <w:p w14:paraId="475CD741">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Variable</w:t>
            </w:r>
          </w:p>
        </w:tc>
        <w:tc>
          <w:tcPr>
            <w:tcW w:w="1666" w:type="pct"/>
            <w:tcBorders>
              <w:top w:val="single" w:color="auto" w:sz="12" w:space="0"/>
              <w:bottom w:val="single" w:color="auto" w:sz="8" w:space="0"/>
            </w:tcBorders>
            <w:vAlign w:val="center"/>
          </w:tcPr>
          <w:p w14:paraId="14397F09">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VIF(before)</w:t>
            </w:r>
          </w:p>
        </w:tc>
        <w:tc>
          <w:tcPr>
            <w:tcW w:w="1666" w:type="pct"/>
            <w:tcBorders>
              <w:top w:val="single" w:color="auto" w:sz="12" w:space="0"/>
              <w:bottom w:val="single" w:color="auto" w:sz="8" w:space="0"/>
            </w:tcBorders>
            <w:vAlign w:val="center"/>
          </w:tcPr>
          <w:p w14:paraId="1E2204E8">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VIF(after)</w:t>
            </w:r>
          </w:p>
        </w:tc>
      </w:tr>
      <w:tr w14:paraId="4006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tcBorders>
              <w:top w:val="single" w:color="auto" w:sz="8" w:space="0"/>
            </w:tcBorders>
            <w:vAlign w:val="center"/>
          </w:tcPr>
          <w:p w14:paraId="4660BF3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MAC</w:t>
            </w:r>
          </w:p>
        </w:tc>
        <w:tc>
          <w:tcPr>
            <w:tcW w:w="1666" w:type="pct"/>
            <w:tcBorders>
              <w:top w:val="single" w:color="auto" w:sz="8" w:space="0"/>
            </w:tcBorders>
            <w:vAlign w:val="center"/>
          </w:tcPr>
          <w:p w14:paraId="21148DAF">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11.88</w:t>
            </w:r>
          </w:p>
        </w:tc>
        <w:tc>
          <w:tcPr>
            <w:tcW w:w="1666" w:type="pct"/>
            <w:tcBorders>
              <w:top w:val="single" w:color="auto" w:sz="8" w:space="0"/>
            </w:tcBorders>
            <w:vAlign w:val="center"/>
          </w:tcPr>
          <w:p w14:paraId="3E6FB3CE">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1.71</w:t>
            </w:r>
          </w:p>
        </w:tc>
      </w:tr>
      <w:tr w14:paraId="1724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010324B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CC</w:t>
            </w:r>
          </w:p>
        </w:tc>
        <w:tc>
          <w:tcPr>
            <w:tcW w:w="1666" w:type="pct"/>
            <w:vAlign w:val="center"/>
          </w:tcPr>
          <w:p w14:paraId="6CF765AD">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9.39</w:t>
            </w:r>
          </w:p>
        </w:tc>
        <w:tc>
          <w:tcPr>
            <w:tcW w:w="1666" w:type="pct"/>
            <w:vAlign w:val="center"/>
          </w:tcPr>
          <w:p w14:paraId="1CFCEBCB">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3D59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7ADD120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NRS2002</w:t>
            </w:r>
          </w:p>
        </w:tc>
        <w:tc>
          <w:tcPr>
            <w:tcW w:w="1666" w:type="pct"/>
            <w:vAlign w:val="center"/>
          </w:tcPr>
          <w:p w14:paraId="67AE27AF">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2.26</w:t>
            </w:r>
          </w:p>
        </w:tc>
        <w:tc>
          <w:tcPr>
            <w:tcW w:w="1666" w:type="pct"/>
            <w:vAlign w:val="center"/>
          </w:tcPr>
          <w:p w14:paraId="518280B4">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2129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1BE5286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FVC</w:t>
            </w:r>
          </w:p>
        </w:tc>
        <w:tc>
          <w:tcPr>
            <w:tcW w:w="1666" w:type="pct"/>
            <w:vAlign w:val="center"/>
          </w:tcPr>
          <w:p w14:paraId="63611E36">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3.07</w:t>
            </w:r>
          </w:p>
        </w:tc>
        <w:tc>
          <w:tcPr>
            <w:tcW w:w="1666" w:type="pct"/>
            <w:vAlign w:val="center"/>
          </w:tcPr>
          <w:p w14:paraId="2741FD78">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37CC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40A278D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FEV1</w:t>
            </w:r>
          </w:p>
        </w:tc>
        <w:tc>
          <w:tcPr>
            <w:tcW w:w="1666" w:type="pct"/>
            <w:vAlign w:val="center"/>
          </w:tcPr>
          <w:p w14:paraId="017879BF">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9.08</w:t>
            </w:r>
          </w:p>
        </w:tc>
        <w:tc>
          <w:tcPr>
            <w:tcW w:w="1666" w:type="pct"/>
            <w:vAlign w:val="center"/>
          </w:tcPr>
          <w:p w14:paraId="06007153">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443D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4D819CD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FEV1pre</w:t>
            </w:r>
          </w:p>
        </w:tc>
        <w:tc>
          <w:tcPr>
            <w:tcW w:w="1666" w:type="pct"/>
            <w:vAlign w:val="center"/>
          </w:tcPr>
          <w:p w14:paraId="100A47DA">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9.88</w:t>
            </w:r>
          </w:p>
        </w:tc>
        <w:tc>
          <w:tcPr>
            <w:tcW w:w="1666" w:type="pct"/>
            <w:vAlign w:val="center"/>
          </w:tcPr>
          <w:p w14:paraId="62D186DD">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7C6A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74E10E7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GLOD</w:t>
            </w:r>
          </w:p>
        </w:tc>
        <w:tc>
          <w:tcPr>
            <w:tcW w:w="1666" w:type="pct"/>
            <w:vAlign w:val="center"/>
          </w:tcPr>
          <w:p w14:paraId="0123A7D0">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8.62</w:t>
            </w:r>
          </w:p>
        </w:tc>
        <w:tc>
          <w:tcPr>
            <w:tcW w:w="1666" w:type="pct"/>
            <w:vAlign w:val="center"/>
          </w:tcPr>
          <w:p w14:paraId="2DC31840">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05BB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0FB36CE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mMRC</w:t>
            </w:r>
          </w:p>
        </w:tc>
        <w:tc>
          <w:tcPr>
            <w:tcW w:w="1666" w:type="pct"/>
            <w:vAlign w:val="center"/>
          </w:tcPr>
          <w:p w14:paraId="103EEDA8">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5.62</w:t>
            </w:r>
          </w:p>
        </w:tc>
        <w:tc>
          <w:tcPr>
            <w:tcW w:w="1666" w:type="pct"/>
            <w:vAlign w:val="center"/>
          </w:tcPr>
          <w:p w14:paraId="06984737">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55FE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4537E97C">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CAT</w:t>
            </w:r>
          </w:p>
        </w:tc>
        <w:tc>
          <w:tcPr>
            <w:tcW w:w="1666" w:type="pct"/>
            <w:vAlign w:val="center"/>
          </w:tcPr>
          <w:p w14:paraId="27C50F7B">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4.20</w:t>
            </w:r>
          </w:p>
        </w:tc>
        <w:tc>
          <w:tcPr>
            <w:tcW w:w="1666" w:type="pct"/>
            <w:vAlign w:val="center"/>
          </w:tcPr>
          <w:p w14:paraId="3AA4D784">
            <w:pPr>
              <w:jc w:val="center"/>
              <w:rPr>
                <w:rFonts w:hint="default" w:ascii="Times New Roman" w:hAnsi="Times New Roman" w:eastAsia="宋体" w:cs="Times New Roman"/>
                <w:b/>
                <w:bCs/>
                <w:sz w:val="24"/>
                <w:szCs w:val="24"/>
                <w:vertAlign w:val="baseline"/>
                <w:lang w:val="en-US" w:eastAsia="zh-CN"/>
              </w:rPr>
            </w:pPr>
            <w:r>
              <w:rPr>
                <w:rFonts w:hint="eastAsia" w:eastAsia="宋体" w:cs="Times New Roman"/>
                <w:sz w:val="24"/>
                <w:szCs w:val="24"/>
                <w:vertAlign w:val="baseline"/>
                <w:lang w:val="en-US" w:eastAsia="zh-CN"/>
              </w:rPr>
              <w:t>-(excluded)</w:t>
            </w:r>
          </w:p>
        </w:tc>
      </w:tr>
      <w:tr w14:paraId="160F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5859E37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TP</w:t>
            </w:r>
          </w:p>
        </w:tc>
        <w:tc>
          <w:tcPr>
            <w:tcW w:w="1666" w:type="pct"/>
            <w:vAlign w:val="center"/>
          </w:tcPr>
          <w:p w14:paraId="66523191">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8.24</w:t>
            </w:r>
          </w:p>
        </w:tc>
        <w:tc>
          <w:tcPr>
            <w:tcW w:w="1666" w:type="pct"/>
            <w:vAlign w:val="center"/>
          </w:tcPr>
          <w:p w14:paraId="41F391D0">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267A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0F72F7C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ALB</w:t>
            </w:r>
          </w:p>
        </w:tc>
        <w:tc>
          <w:tcPr>
            <w:tcW w:w="1666" w:type="pct"/>
            <w:vAlign w:val="center"/>
          </w:tcPr>
          <w:p w14:paraId="239F1BD8">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8.96</w:t>
            </w:r>
          </w:p>
        </w:tc>
        <w:tc>
          <w:tcPr>
            <w:tcW w:w="1666" w:type="pct"/>
            <w:vAlign w:val="center"/>
          </w:tcPr>
          <w:p w14:paraId="028F6218">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1.47</w:t>
            </w:r>
          </w:p>
        </w:tc>
      </w:tr>
      <w:tr w14:paraId="2491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171BC5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eastAsia="宋体" w:cs="Times New Roman"/>
                <w:i w:val="0"/>
                <w:iCs w:val="0"/>
                <w:color w:val="auto"/>
                <w:kern w:val="0"/>
                <w:sz w:val="24"/>
                <w:szCs w:val="24"/>
                <w:u w:val="none"/>
                <w:lang w:val="en-US" w:eastAsia="zh-CN" w:bidi="ar"/>
              </w:rPr>
              <w:t>PNI</w:t>
            </w:r>
          </w:p>
        </w:tc>
        <w:tc>
          <w:tcPr>
            <w:tcW w:w="1666" w:type="pct"/>
            <w:vAlign w:val="center"/>
          </w:tcPr>
          <w:p w14:paraId="69E5981B">
            <w:pPr>
              <w:jc w:val="center"/>
              <w:rPr>
                <w:rFonts w:hint="default" w:eastAsia="宋体" w:cs="Times New Roman"/>
                <w:sz w:val="24"/>
                <w:szCs w:val="24"/>
                <w:vertAlign w:val="baseline"/>
                <w:lang w:val="en-US" w:eastAsia="zh-CN"/>
              </w:rPr>
            </w:pPr>
            <w:r>
              <w:rPr>
                <w:rFonts w:hint="eastAsia" w:eastAsia="宋体" w:cs="Times New Roman"/>
                <w:sz w:val="24"/>
                <w:szCs w:val="24"/>
                <w:vertAlign w:val="baseline"/>
                <w:lang w:val="en-US" w:eastAsia="zh-CN"/>
              </w:rPr>
              <w:t>2.97</w:t>
            </w:r>
          </w:p>
        </w:tc>
        <w:tc>
          <w:tcPr>
            <w:tcW w:w="1666" w:type="pct"/>
            <w:vAlign w:val="center"/>
          </w:tcPr>
          <w:p w14:paraId="44AE9A4A">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081A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6B65D5C6">
            <w:pPr>
              <w:keepNext w:val="0"/>
              <w:keepLines w:val="0"/>
              <w:widowControl/>
              <w:suppressLineNumbers w:val="0"/>
              <w:jc w:val="center"/>
              <w:textAlignment w:val="center"/>
              <w:rPr>
                <w:rFonts w:hint="default" w:eastAsia="宋体" w:cs="Times New Roman"/>
                <w:i w:val="0"/>
                <w:iCs w:val="0"/>
                <w:color w:val="auto"/>
                <w:kern w:val="0"/>
                <w:sz w:val="24"/>
                <w:szCs w:val="24"/>
                <w:u w:val="none"/>
                <w:lang w:val="en-US" w:eastAsia="zh-CN" w:bidi="ar"/>
              </w:rPr>
            </w:pPr>
            <w:r>
              <w:rPr>
                <w:rFonts w:hint="eastAsia" w:eastAsia="宋体" w:cs="Times New Roman"/>
                <w:i w:val="0"/>
                <w:iCs w:val="0"/>
                <w:color w:val="auto"/>
                <w:kern w:val="0"/>
                <w:sz w:val="24"/>
                <w:szCs w:val="24"/>
                <w:u w:val="none"/>
                <w:lang w:val="en-US" w:eastAsia="zh-CN" w:bidi="ar"/>
              </w:rPr>
              <w:t>CRP</w:t>
            </w:r>
          </w:p>
        </w:tc>
        <w:tc>
          <w:tcPr>
            <w:tcW w:w="1666" w:type="pct"/>
            <w:vAlign w:val="center"/>
          </w:tcPr>
          <w:p w14:paraId="426A5BC7">
            <w:pPr>
              <w:jc w:val="center"/>
              <w:rPr>
                <w:rFonts w:hint="default" w:eastAsia="宋体" w:cs="Times New Roman"/>
                <w:sz w:val="24"/>
                <w:szCs w:val="24"/>
                <w:vertAlign w:val="baseline"/>
                <w:lang w:val="en-US" w:eastAsia="zh-CN"/>
              </w:rPr>
            </w:pPr>
            <w:r>
              <w:rPr>
                <w:rFonts w:hint="eastAsia" w:eastAsia="宋体" w:cs="Times New Roman"/>
                <w:sz w:val="24"/>
                <w:szCs w:val="24"/>
                <w:vertAlign w:val="baseline"/>
                <w:lang w:val="en-US" w:eastAsia="zh-CN"/>
              </w:rPr>
              <w:t>379.12</w:t>
            </w:r>
          </w:p>
        </w:tc>
        <w:tc>
          <w:tcPr>
            <w:tcW w:w="1666" w:type="pct"/>
            <w:vAlign w:val="center"/>
          </w:tcPr>
          <w:p w14:paraId="573BEC1F">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56D7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5F5FA47A">
            <w:pPr>
              <w:keepNext w:val="0"/>
              <w:keepLines w:val="0"/>
              <w:widowControl/>
              <w:suppressLineNumbers w:val="0"/>
              <w:jc w:val="center"/>
              <w:textAlignment w:val="center"/>
              <w:rPr>
                <w:rFonts w:hint="default" w:eastAsia="宋体" w:cs="Times New Roman"/>
                <w:i w:val="0"/>
                <w:iCs w:val="0"/>
                <w:color w:val="auto"/>
                <w:kern w:val="0"/>
                <w:sz w:val="24"/>
                <w:szCs w:val="24"/>
                <w:u w:val="none"/>
                <w:lang w:val="en-US" w:eastAsia="zh-CN" w:bidi="ar"/>
              </w:rPr>
            </w:pPr>
            <w:r>
              <w:rPr>
                <w:rFonts w:hint="eastAsia" w:eastAsia="宋体" w:cs="Times New Roman"/>
                <w:i w:val="0"/>
                <w:iCs w:val="0"/>
                <w:color w:val="auto"/>
                <w:kern w:val="0"/>
                <w:sz w:val="24"/>
                <w:szCs w:val="24"/>
                <w:u w:val="none"/>
                <w:lang w:val="en-US" w:eastAsia="zh-CN" w:bidi="ar"/>
              </w:rPr>
              <w:t>CAR</w:t>
            </w:r>
          </w:p>
        </w:tc>
        <w:tc>
          <w:tcPr>
            <w:tcW w:w="1666" w:type="pct"/>
            <w:vAlign w:val="center"/>
          </w:tcPr>
          <w:p w14:paraId="61A07977">
            <w:pPr>
              <w:jc w:val="center"/>
              <w:rPr>
                <w:rFonts w:hint="default" w:eastAsia="宋体" w:cs="Times New Roman"/>
                <w:sz w:val="24"/>
                <w:szCs w:val="24"/>
                <w:vertAlign w:val="baseline"/>
                <w:lang w:val="en-US" w:eastAsia="zh-CN"/>
              </w:rPr>
            </w:pPr>
            <w:r>
              <w:rPr>
                <w:rFonts w:hint="eastAsia" w:eastAsia="宋体" w:cs="Times New Roman"/>
                <w:sz w:val="24"/>
                <w:szCs w:val="24"/>
                <w:vertAlign w:val="baseline"/>
                <w:lang w:val="en-US" w:eastAsia="zh-CN"/>
              </w:rPr>
              <w:t>383.15</w:t>
            </w:r>
          </w:p>
        </w:tc>
        <w:tc>
          <w:tcPr>
            <w:tcW w:w="1666" w:type="pct"/>
            <w:vAlign w:val="center"/>
          </w:tcPr>
          <w:p w14:paraId="11FA5417">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60F2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42FD383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eastAsia" w:eastAsia="宋体"/>
                <w:lang w:val="en-US" w:eastAsia="zh-CN"/>
              </w:rPr>
              <w:t>Left PMA</w:t>
            </w:r>
          </w:p>
        </w:tc>
        <w:tc>
          <w:tcPr>
            <w:tcW w:w="1666" w:type="pct"/>
            <w:vAlign w:val="center"/>
          </w:tcPr>
          <w:p w14:paraId="19B3AB76">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w:t>
            </w:r>
          </w:p>
        </w:tc>
        <w:tc>
          <w:tcPr>
            <w:tcW w:w="1666" w:type="pct"/>
            <w:vAlign w:val="center"/>
          </w:tcPr>
          <w:p w14:paraId="679AA0F5">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4A8D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49D7966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eastAsia" w:eastAsia="宋体"/>
                <w:lang w:val="en-US" w:eastAsia="zh-CN"/>
              </w:rPr>
              <w:t>Right PMA</w:t>
            </w:r>
          </w:p>
        </w:tc>
        <w:tc>
          <w:tcPr>
            <w:tcW w:w="1666" w:type="pct"/>
            <w:vAlign w:val="center"/>
          </w:tcPr>
          <w:p w14:paraId="48FEC4F5">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14.81</w:t>
            </w:r>
          </w:p>
        </w:tc>
        <w:tc>
          <w:tcPr>
            <w:tcW w:w="1666" w:type="pct"/>
            <w:vAlign w:val="center"/>
          </w:tcPr>
          <w:p w14:paraId="354A3262">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-(excluded)</w:t>
            </w:r>
          </w:p>
        </w:tc>
      </w:tr>
      <w:tr w14:paraId="318B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vAlign w:val="center"/>
          </w:tcPr>
          <w:p w14:paraId="398D0B2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tMPA</w:t>
            </w:r>
          </w:p>
        </w:tc>
        <w:tc>
          <w:tcPr>
            <w:tcW w:w="1666" w:type="pct"/>
            <w:vAlign w:val="center"/>
          </w:tcPr>
          <w:p w14:paraId="76F92897">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14.80</w:t>
            </w:r>
          </w:p>
        </w:tc>
        <w:tc>
          <w:tcPr>
            <w:tcW w:w="1666" w:type="pct"/>
            <w:vAlign w:val="center"/>
          </w:tcPr>
          <w:p w14:paraId="37B12B46">
            <w:pPr>
              <w:jc w:val="center"/>
              <w:rPr>
                <w:rFonts w:hint="default" w:ascii="Times New Roman" w:hAnsi="Times New Roman" w:eastAsia="宋体" w:cs="Times New Roman"/>
                <w:sz w:val="24"/>
                <w:szCs w:val="24"/>
                <w:vertAlign w:val="baseline"/>
                <w:lang w:val="en-US" w:eastAsia="zh-CN"/>
              </w:rPr>
            </w:pPr>
            <w:r>
              <w:rPr>
                <w:rFonts w:hint="eastAsia" w:eastAsia="宋体" w:cs="Times New Roman"/>
                <w:sz w:val="24"/>
                <w:szCs w:val="24"/>
                <w:vertAlign w:val="baseline"/>
                <w:lang w:val="en-US" w:eastAsia="zh-CN"/>
              </w:rPr>
              <w:t>1.44</w:t>
            </w:r>
          </w:p>
        </w:tc>
      </w:tr>
      <w:tr w14:paraId="5FA4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666" w:type="pct"/>
            <w:tcBorders>
              <w:bottom w:val="single" w:color="auto" w:sz="12" w:space="0"/>
            </w:tcBorders>
            <w:vAlign w:val="center"/>
          </w:tcPr>
          <w:p w14:paraId="563CC7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eastAsia="宋体" w:cs="Times New Roman"/>
                <w:i w:val="0"/>
                <w:iCs w:val="0"/>
                <w:color w:val="auto"/>
                <w:kern w:val="0"/>
                <w:sz w:val="24"/>
                <w:szCs w:val="24"/>
                <w:u w:val="none"/>
                <w:lang w:val="en-US" w:eastAsia="zh-CN" w:bidi="ar"/>
              </w:rPr>
              <w:t>Total model</w:t>
            </w:r>
          </w:p>
        </w:tc>
        <w:tc>
          <w:tcPr>
            <w:tcW w:w="1666" w:type="pct"/>
            <w:tcBorders>
              <w:bottom w:val="single" w:color="auto" w:sz="12" w:space="0"/>
            </w:tcBorders>
            <w:vAlign w:val="center"/>
          </w:tcPr>
          <w:p w14:paraId="7BE0D984">
            <w:pPr>
              <w:jc w:val="center"/>
              <w:rPr>
                <w:rFonts w:hint="default" w:eastAsia="宋体" w:cs="Times New Roman"/>
                <w:sz w:val="24"/>
                <w:szCs w:val="24"/>
                <w:vertAlign w:val="baseline"/>
                <w:lang w:val="en-US" w:eastAsia="zh-CN"/>
              </w:rPr>
            </w:pPr>
            <w:r>
              <w:rPr>
                <w:rFonts w:hint="eastAsia" w:eastAsia="宋体" w:cs="Times New Roman"/>
                <w:sz w:val="24"/>
                <w:szCs w:val="24"/>
                <w:vertAlign w:val="baseline"/>
                <w:lang w:val="en-US" w:eastAsia="zh-CN"/>
              </w:rPr>
              <w:t>54.75</w:t>
            </w:r>
          </w:p>
        </w:tc>
        <w:tc>
          <w:tcPr>
            <w:tcW w:w="1666" w:type="pct"/>
            <w:tcBorders>
              <w:bottom w:val="single" w:color="auto" w:sz="12" w:space="0"/>
            </w:tcBorders>
            <w:vAlign w:val="center"/>
          </w:tcPr>
          <w:p w14:paraId="03C1FD1E">
            <w:pPr>
              <w:jc w:val="center"/>
              <w:rPr>
                <w:rFonts w:hint="default" w:eastAsia="宋体" w:cs="Times New Roman"/>
                <w:sz w:val="24"/>
                <w:szCs w:val="24"/>
                <w:vertAlign w:val="baseline"/>
                <w:lang w:val="en-US" w:eastAsia="zh-CN"/>
              </w:rPr>
            </w:pPr>
            <w:r>
              <w:rPr>
                <w:rFonts w:hint="eastAsia" w:eastAsia="宋体" w:cs="Times New Roman"/>
                <w:sz w:val="24"/>
                <w:szCs w:val="24"/>
                <w:vertAlign w:val="baseline"/>
                <w:lang w:val="en-US" w:eastAsia="zh-CN"/>
              </w:rPr>
              <w:t>1.54</w:t>
            </w:r>
          </w:p>
        </w:tc>
      </w:tr>
    </w:tbl>
    <w:p w14:paraId="6872D14D">
      <w:pPr>
        <w:rPr>
          <w:rFonts w:hint="default" w:eastAsia="宋体"/>
          <w:lang w:val="en-US" w:eastAsia="zh-CN"/>
        </w:rPr>
      </w:pPr>
      <w:bookmarkStart w:id="0" w:name="_GoBack"/>
      <w:r>
        <w:rPr>
          <w:rFonts w:hint="eastAsia" w:eastAsia="宋体"/>
          <w:lang w:val="en-US" w:eastAsia="zh-CN"/>
        </w:rPr>
        <w:t>NRS2002: Nutrition Risk Screening 2002; MAC: Upper Arm Circumference; CC: Calf Circumference; FVC: Forced Vital Capacity; FEV1: Forced Expiratory Volume in 1 Second; FEV1pre: FEV1 as a percentage of predicted value; GLOD: Global Initiative for Chronic Obstructive Lung Disease; mMRC: Modified Medical Research Council Dyspnea Scale; CAT: COPD Patient Self-Assessment Questionnaire; TP Total protein; ALB Albumin; CRP C-reactive protein; CAR C-reactive protein/albumin ratio; PNI: Prognostic Nutritional Index; LAC: Lactate; Left PMA: Left Pectoralis Major Muscle Cross-sectional Area; Right PMA: Right Pectoralis Major Muscle Cross-sectional Area; tPMA: Total Pectoralis Major Muscle Cross-sectional Area;</w:t>
      </w:r>
    </w:p>
    <w:bookmarkEnd w:id="0"/>
    <w:p w14:paraId="679E786D">
      <w:pPr>
        <w:rPr>
          <w:rFonts w:hint="eastAsia" w:eastAsia="宋体"/>
          <w:lang w:val="en-US" w:eastAsia="zh-CN"/>
        </w:rPr>
      </w:pPr>
      <w:r>
        <w:rPr>
          <w:rFonts w:hint="eastAsia" w:eastAsia="宋体"/>
          <w:lang w:val="en-US" w:eastAsia="zh-CN"/>
        </w:rPr>
        <w:t>Note: Variables were sequentially removed based on clinical relevance and VIF magnitude. First, CRP and CAR were removed due to excessively high VIF values; since tPMA is similar to the cross-sectional areas of the left and right pectoralis major muscles, and tPMA is a more representative measure of the study subjects, the cross-sectional areas of the left and right pectoralis major muscles were excluded; MAC and CC were similar and highly collinear; since MAC is more commonly used clinically, CC was excluded; PNI is calculated from ALB and lymphocytes; since ALB is more commonly used clinically and TP also belongs to the protein group, PNI and TP were excluded; in the pulmonary function group, FEV1 is more representative, so FVC, FEV1pre, and GLOD were excluded; Symptoms/ Other group: The NRS2002 score includes the BMI factor, which introduces confounding with the malnutrition grouping (based on BMI), so it was excluded; mMRC is correlated with CAT, so it was excluded, leaving only CAT; According to the EPV principle, the final model should contain only 3 variables, and tPMA is the study subject, so it was retained; MAC is moderately correlated with tPMA (r = 0.52), ALB, CAT, and FEV1 showed weak correlations with tPMA (r = 0.38, 0.32, and 0.38, respectively). However, since MAC represents peripheral muscle status, ALB represents visceral protein status, and CAT and FEV1 represent disease symptoms and lung function, respectively, the final model includes tPMA, MAC, and ALB. The VIF values for all variables were &lt;5, and the EPV was ≥10.</w:t>
      </w:r>
    </w:p>
    <w:p w14:paraId="243188F9">
      <w:pPr>
        <w:rPr>
          <w:rFonts w:hint="default" w:eastAsia="宋体"/>
          <w:lang w:val="en-US" w:eastAsia="zh-CN"/>
        </w:rPr>
      </w:pPr>
    </w:p>
    <w:p w14:paraId="70E8E579">
      <w:pPr>
        <w:rPr>
          <w:rFonts w:hint="default" w:eastAsia="宋体"/>
          <w:sz w:val="28"/>
          <w:szCs w:val="28"/>
          <w:lang w:val="en-US" w:eastAsia="zh-CN"/>
        </w:rPr>
      </w:pPr>
      <w:r>
        <w:rPr>
          <w:b/>
          <w:bCs/>
          <w:sz w:val="28"/>
          <w:szCs w:val="28"/>
        </w:rPr>
        <w:t>Supplementary Table S</w:t>
      </w:r>
      <w:r>
        <w:rPr>
          <w:rFonts w:hint="eastAsia" w:eastAsia="宋体"/>
          <w:b/>
          <w:bCs/>
          <w:sz w:val="28"/>
          <w:szCs w:val="28"/>
          <w:lang w:val="en-US" w:eastAsia="zh-CN"/>
        </w:rPr>
        <w:t>2.</w:t>
      </w:r>
      <w:r>
        <w:rPr>
          <w:rFonts w:hint="eastAsia" w:eastAsia="宋体"/>
          <w:sz w:val="28"/>
          <w:szCs w:val="28"/>
          <w:lang w:val="en-US" w:eastAsia="zh-CN"/>
        </w:rPr>
        <w:t xml:space="preserve"> </w:t>
      </w:r>
      <w:r>
        <w:rPr>
          <w:rFonts w:hint="default" w:eastAsia="宋体"/>
          <w:sz w:val="28"/>
          <w:szCs w:val="28"/>
          <w:lang w:val="en-US" w:eastAsia="zh-CN"/>
        </w:rPr>
        <w:t>Multivariate Logistic Regression Analysis of Factors Associated with Malnutrition in Patients with AECOPD (Nested Model) (Continuous variables and OR values have been standardized)</w:t>
      </w:r>
    </w:p>
    <w:tbl>
      <w:tblPr>
        <w:tblStyle w:val="8"/>
        <w:tblpPr w:leftFromText="180" w:rightFromText="180" w:vertAnchor="text" w:horzAnchor="page" w:tblpX="1782" w:tblpY="3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2915"/>
        <w:gridCol w:w="2980"/>
        <w:gridCol w:w="3156"/>
        <w:gridCol w:w="3218"/>
      </w:tblGrid>
      <w:tr w14:paraId="29B1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single" w:color="auto" w:sz="12" w:space="0"/>
              <w:left w:val="nil"/>
              <w:bottom w:val="single" w:color="auto" w:sz="8" w:space="0"/>
              <w:right w:val="nil"/>
            </w:tcBorders>
            <w:vAlign w:val="center"/>
          </w:tcPr>
          <w:p w14:paraId="7B7B8165">
            <w:pPr>
              <w:widowControl w:val="0"/>
              <w:numPr>
                <w:ilvl w:val="0"/>
                <w:numId w:val="0"/>
              </w:numPr>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variable</w:t>
            </w:r>
          </w:p>
        </w:tc>
        <w:tc>
          <w:tcPr>
            <w:tcW w:w="1028" w:type="pct"/>
            <w:tcBorders>
              <w:top w:val="single" w:color="auto" w:sz="12" w:space="0"/>
              <w:left w:val="nil"/>
              <w:bottom w:val="single" w:color="auto" w:sz="8" w:space="0"/>
              <w:right w:val="nil"/>
            </w:tcBorders>
            <w:vAlign w:val="center"/>
          </w:tcPr>
          <w:p w14:paraId="24BB5654">
            <w:pPr>
              <w:widowControl w:val="0"/>
              <w:numPr>
                <w:ilvl w:val="0"/>
                <w:numId w:val="0"/>
              </w:numPr>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Model 1</w:t>
            </w:r>
          </w:p>
        </w:tc>
        <w:tc>
          <w:tcPr>
            <w:tcW w:w="1051" w:type="pct"/>
            <w:tcBorders>
              <w:top w:val="single" w:color="auto" w:sz="12" w:space="0"/>
              <w:left w:val="nil"/>
              <w:bottom w:val="single" w:color="auto" w:sz="8" w:space="0"/>
              <w:right w:val="nil"/>
            </w:tcBorders>
            <w:vAlign w:val="center"/>
          </w:tcPr>
          <w:p w14:paraId="0909DA1F">
            <w:pPr>
              <w:widowControl w:val="0"/>
              <w:numPr>
                <w:ilvl w:val="0"/>
                <w:numId w:val="0"/>
              </w:numPr>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Model 2</w:t>
            </w:r>
          </w:p>
        </w:tc>
        <w:tc>
          <w:tcPr>
            <w:tcW w:w="1113" w:type="pct"/>
            <w:tcBorders>
              <w:top w:val="single" w:color="auto" w:sz="12" w:space="0"/>
              <w:left w:val="nil"/>
              <w:bottom w:val="single" w:color="auto" w:sz="8" w:space="0"/>
              <w:right w:val="nil"/>
            </w:tcBorders>
            <w:vAlign w:val="center"/>
          </w:tcPr>
          <w:p w14:paraId="590F13FD">
            <w:pPr>
              <w:widowControl w:val="0"/>
              <w:numPr>
                <w:ilvl w:val="0"/>
                <w:numId w:val="0"/>
              </w:numPr>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Model 3</w:t>
            </w:r>
            <w:r>
              <w:rPr>
                <w:rFonts w:hint="default" w:ascii="Times New Roman" w:hAnsi="Times New Roman" w:cs="Times New Roman"/>
                <w:color w:val="auto"/>
                <w:sz w:val="28"/>
                <w:szCs w:val="28"/>
                <w:vertAlign w:val="superscript"/>
                <w:lang w:val="en-US" w:eastAsia="zh-CN"/>
              </w:rPr>
              <w:t>#</w:t>
            </w:r>
          </w:p>
        </w:tc>
        <w:tc>
          <w:tcPr>
            <w:tcW w:w="1135" w:type="pct"/>
            <w:tcBorders>
              <w:top w:val="single" w:color="auto" w:sz="12" w:space="0"/>
              <w:left w:val="nil"/>
              <w:bottom w:val="single" w:color="auto" w:sz="8" w:space="0"/>
              <w:right w:val="nil"/>
            </w:tcBorders>
            <w:vAlign w:val="center"/>
          </w:tcPr>
          <w:p w14:paraId="1E216436">
            <w:pPr>
              <w:widowControl w:val="0"/>
              <w:numPr>
                <w:ilvl w:val="0"/>
                <w:numId w:val="0"/>
              </w:numPr>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Model 4</w:t>
            </w:r>
          </w:p>
        </w:tc>
      </w:tr>
      <w:tr w14:paraId="5D66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single" w:color="auto" w:sz="8" w:space="0"/>
              <w:left w:val="nil"/>
              <w:bottom w:val="nil"/>
              <w:right w:val="nil"/>
            </w:tcBorders>
            <w:vAlign w:val="center"/>
          </w:tcPr>
          <w:p w14:paraId="426987EB">
            <w:pPr>
              <w:keepNext w:val="0"/>
              <w:keepLines w:val="0"/>
              <w:widowControl/>
              <w:suppressLineNumbers w:val="0"/>
              <w:jc w:val="center"/>
              <w:textAlignment w:val="center"/>
              <w:rPr>
                <w:rFonts w:hint="default" w:ascii="Times New Roman" w:hAnsi="Times New Roman" w:cs="Times New Roman"/>
                <w:color w:val="auto"/>
                <w:sz w:val="28"/>
                <w:szCs w:val="28"/>
                <w:vertAlign w:val="baseline"/>
                <w:lang w:val="en-US" w:eastAsia="zh-CN"/>
              </w:rPr>
            </w:pPr>
          </w:p>
        </w:tc>
        <w:tc>
          <w:tcPr>
            <w:tcW w:w="1028" w:type="pct"/>
            <w:tcBorders>
              <w:top w:val="single" w:color="auto" w:sz="8" w:space="0"/>
              <w:left w:val="nil"/>
              <w:bottom w:val="nil"/>
              <w:right w:val="nil"/>
            </w:tcBorders>
            <w:vAlign w:val="center"/>
          </w:tcPr>
          <w:p w14:paraId="1E87E3CA">
            <w:pPr>
              <w:widowControl w:val="0"/>
              <w:numPr>
                <w:ilvl w:val="0"/>
                <w:numId w:val="0"/>
              </w:numPr>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OR(95%CI)</w:t>
            </w:r>
          </w:p>
        </w:tc>
        <w:tc>
          <w:tcPr>
            <w:tcW w:w="1051" w:type="pct"/>
            <w:tcBorders>
              <w:top w:val="single" w:color="auto" w:sz="8" w:space="0"/>
              <w:left w:val="nil"/>
              <w:bottom w:val="nil"/>
              <w:right w:val="nil"/>
            </w:tcBorders>
            <w:vAlign w:val="center"/>
          </w:tcPr>
          <w:p w14:paraId="3BEFCBDE">
            <w:pPr>
              <w:widowControl w:val="0"/>
              <w:numPr>
                <w:ilvl w:val="0"/>
                <w:numId w:val="0"/>
              </w:numPr>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OR(95%CI)</w:t>
            </w:r>
          </w:p>
        </w:tc>
        <w:tc>
          <w:tcPr>
            <w:tcW w:w="1113" w:type="pct"/>
            <w:tcBorders>
              <w:top w:val="single" w:color="auto" w:sz="8" w:space="0"/>
              <w:left w:val="nil"/>
              <w:bottom w:val="nil"/>
              <w:right w:val="nil"/>
            </w:tcBorders>
            <w:vAlign w:val="center"/>
          </w:tcPr>
          <w:p w14:paraId="36788BE0">
            <w:pPr>
              <w:widowControl w:val="0"/>
              <w:numPr>
                <w:ilvl w:val="0"/>
                <w:numId w:val="0"/>
              </w:numPr>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OR(95%CI)</w:t>
            </w:r>
          </w:p>
        </w:tc>
        <w:tc>
          <w:tcPr>
            <w:tcW w:w="1135" w:type="pct"/>
            <w:tcBorders>
              <w:top w:val="single" w:color="auto" w:sz="8" w:space="0"/>
              <w:left w:val="nil"/>
              <w:bottom w:val="nil"/>
              <w:right w:val="nil"/>
            </w:tcBorders>
            <w:vAlign w:val="center"/>
          </w:tcPr>
          <w:p w14:paraId="696422E9">
            <w:pPr>
              <w:widowControl w:val="0"/>
              <w:numPr>
                <w:ilvl w:val="0"/>
                <w:numId w:val="0"/>
              </w:numPr>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OR(95%CI)</w:t>
            </w:r>
          </w:p>
        </w:tc>
      </w:tr>
      <w:tr w14:paraId="465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1771BAAA">
            <w:pPr>
              <w:keepNext w:val="0"/>
              <w:keepLines w:val="0"/>
              <w:widowControl/>
              <w:suppressLineNumbers w:val="0"/>
              <w:jc w:val="center"/>
              <w:textAlignment w:val="center"/>
              <w:rPr>
                <w:rFonts w:hint="default" w:ascii="Times New Roman" w:hAnsi="Times New Roman" w:cs="Times New Roman"/>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tPMA</w:t>
            </w:r>
          </w:p>
        </w:tc>
        <w:tc>
          <w:tcPr>
            <w:tcW w:w="1028" w:type="pct"/>
            <w:tcBorders>
              <w:top w:val="nil"/>
              <w:left w:val="nil"/>
              <w:bottom w:val="nil"/>
              <w:right w:val="nil"/>
            </w:tcBorders>
            <w:shd w:val="clear" w:color="auto" w:fill="auto"/>
            <w:vAlign w:val="center"/>
          </w:tcPr>
          <w:p w14:paraId="4149C074">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0.302</w:t>
            </w:r>
            <w:r>
              <w:rPr>
                <w:rFonts w:hint="default" w:ascii="Times New Roman" w:hAnsi="Times New Roman" w:cs="Times New Roman"/>
                <w:color w:val="auto"/>
                <w:sz w:val="28"/>
                <w:szCs w:val="28"/>
                <w:vertAlign w:val="superscript"/>
                <w:lang w:val="en-US" w:eastAsia="zh-CN"/>
              </w:rPr>
              <w:t>***</w:t>
            </w:r>
          </w:p>
          <w:p w14:paraId="0299C012">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(0.165-0.550)</w:t>
            </w:r>
          </w:p>
        </w:tc>
        <w:tc>
          <w:tcPr>
            <w:tcW w:w="1051" w:type="pct"/>
            <w:tcBorders>
              <w:top w:val="nil"/>
              <w:left w:val="nil"/>
              <w:bottom w:val="nil"/>
              <w:right w:val="nil"/>
            </w:tcBorders>
            <w:vAlign w:val="center"/>
          </w:tcPr>
          <w:p w14:paraId="079750CD">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 0.256</w:t>
            </w:r>
            <w:r>
              <w:rPr>
                <w:rFonts w:hint="default" w:ascii="Times New Roman" w:hAnsi="Times New Roman" w:cs="Times New Roman"/>
                <w:color w:val="auto"/>
                <w:sz w:val="28"/>
                <w:szCs w:val="28"/>
                <w:vertAlign w:val="superscript"/>
                <w:lang w:val="en-US" w:eastAsia="zh-CN"/>
              </w:rPr>
              <w:t>***</w:t>
            </w:r>
          </w:p>
          <w:p w14:paraId="2E8DAF4E">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(0.136-0.482)</w:t>
            </w:r>
          </w:p>
        </w:tc>
        <w:tc>
          <w:tcPr>
            <w:tcW w:w="1113" w:type="pct"/>
            <w:tcBorders>
              <w:top w:val="nil"/>
              <w:left w:val="nil"/>
              <w:bottom w:val="nil"/>
              <w:right w:val="nil"/>
            </w:tcBorders>
            <w:vAlign w:val="center"/>
          </w:tcPr>
          <w:p w14:paraId="396050CB">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0.357</w:t>
            </w:r>
            <w:r>
              <w:rPr>
                <w:rFonts w:hint="default" w:ascii="Times New Roman" w:hAnsi="Times New Roman" w:cs="Times New Roman"/>
                <w:color w:val="auto"/>
                <w:sz w:val="28"/>
                <w:szCs w:val="28"/>
                <w:vertAlign w:val="superscript"/>
                <w:lang w:val="en-US" w:eastAsia="zh-CN"/>
              </w:rPr>
              <w:t>*</w:t>
            </w:r>
          </w:p>
          <w:p w14:paraId="2C72A213">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(0.146-0.873)</w:t>
            </w:r>
          </w:p>
        </w:tc>
        <w:tc>
          <w:tcPr>
            <w:tcW w:w="1135" w:type="pct"/>
            <w:tcBorders>
              <w:top w:val="nil"/>
              <w:left w:val="nil"/>
              <w:bottom w:val="nil"/>
              <w:right w:val="nil"/>
            </w:tcBorders>
            <w:vAlign w:val="center"/>
          </w:tcPr>
          <w:p w14:paraId="1828CDFD">
            <w:pPr>
              <w:widowControl w:val="0"/>
              <w:numPr>
                <w:ilvl w:val="0"/>
                <w:numId w:val="0"/>
              </w:numPr>
              <w:ind w:left="0" w:leftChars="0" w:firstLine="0" w:firstLineChars="0"/>
              <w:jc w:val="center"/>
              <w:rPr>
                <w:rFonts w:hint="default" w:ascii="Times New Roman" w:hAnsi="Times New Roman" w:cs="Times New Roman"/>
                <w:color w:val="auto"/>
                <w:sz w:val="28"/>
                <w:szCs w:val="28"/>
                <w:vertAlign w:val="superscript"/>
                <w:lang w:val="en-US" w:eastAsia="zh-CN"/>
              </w:rPr>
            </w:pPr>
            <w:r>
              <w:rPr>
                <w:rFonts w:hint="default" w:ascii="Times New Roman" w:hAnsi="Times New Roman" w:cs="Times New Roman"/>
                <w:color w:val="auto"/>
                <w:sz w:val="28"/>
                <w:szCs w:val="28"/>
                <w:vertAlign w:val="baseline"/>
                <w:lang w:val="en-US" w:eastAsia="zh-CN"/>
              </w:rPr>
              <w:t>0.</w:t>
            </w:r>
            <w:r>
              <w:rPr>
                <w:rFonts w:hint="eastAsia" w:cs="Times New Roman"/>
                <w:color w:val="auto"/>
                <w:sz w:val="28"/>
                <w:szCs w:val="28"/>
                <w:vertAlign w:val="baseline"/>
                <w:lang w:val="en-US" w:eastAsia="zh-CN"/>
              </w:rPr>
              <w:t>343</w:t>
            </w:r>
            <w:r>
              <w:rPr>
                <w:rFonts w:hint="default" w:ascii="Times New Roman" w:hAnsi="Times New Roman" w:cs="Times New Roman"/>
                <w:color w:val="auto"/>
                <w:sz w:val="28"/>
                <w:szCs w:val="28"/>
                <w:vertAlign w:val="superscript"/>
                <w:lang w:val="en-US" w:eastAsia="zh-CN"/>
              </w:rPr>
              <w:t>*</w:t>
            </w:r>
          </w:p>
          <w:p w14:paraId="0AD2AA44">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(0.135-0.872)</w:t>
            </w:r>
          </w:p>
        </w:tc>
      </w:tr>
      <w:tr w14:paraId="3364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36064087">
            <w:pPr>
              <w:keepNext w:val="0"/>
              <w:keepLines w:val="0"/>
              <w:widowControl/>
              <w:suppressLineNumbers w:val="0"/>
              <w:jc w:val="center"/>
              <w:textAlignment w:val="center"/>
              <w:rPr>
                <w:rFonts w:hint="default" w:ascii="Times New Roman" w:hAnsi="Times New Roman" w:cs="Times New Roman"/>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Age</w:t>
            </w:r>
          </w:p>
        </w:tc>
        <w:tc>
          <w:tcPr>
            <w:tcW w:w="1028" w:type="pct"/>
            <w:tcBorders>
              <w:top w:val="nil"/>
              <w:left w:val="nil"/>
              <w:bottom w:val="nil"/>
              <w:right w:val="nil"/>
            </w:tcBorders>
            <w:shd w:val="clear" w:color="auto" w:fill="auto"/>
            <w:vAlign w:val="center"/>
          </w:tcPr>
          <w:p w14:paraId="71310E8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u w:val="none"/>
                <w:lang w:val="en-US" w:eastAsia="zh-CN" w:bidi="ar-SA"/>
              </w:rPr>
            </w:pPr>
            <w:r>
              <w:rPr>
                <w:rFonts w:hint="default" w:ascii="Times New Roman" w:hAnsi="Times New Roman" w:eastAsia="宋体" w:cs="Times New Roman"/>
                <w:i w:val="0"/>
                <w:iCs w:val="0"/>
                <w:color w:val="auto"/>
                <w:kern w:val="0"/>
                <w:sz w:val="28"/>
                <w:szCs w:val="28"/>
                <w:u w:val="none"/>
                <w:lang w:val="en-US" w:eastAsia="zh-CN" w:bidi="ar"/>
              </w:rPr>
              <w:t>-</w:t>
            </w:r>
          </w:p>
        </w:tc>
        <w:tc>
          <w:tcPr>
            <w:tcW w:w="1051" w:type="pct"/>
            <w:tcBorders>
              <w:top w:val="nil"/>
              <w:left w:val="nil"/>
              <w:bottom w:val="nil"/>
              <w:right w:val="nil"/>
            </w:tcBorders>
            <w:vAlign w:val="center"/>
          </w:tcPr>
          <w:p w14:paraId="228EFC56">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0.802(0.500-1.288)</w:t>
            </w:r>
          </w:p>
        </w:tc>
        <w:tc>
          <w:tcPr>
            <w:tcW w:w="1113" w:type="pct"/>
            <w:tcBorders>
              <w:top w:val="nil"/>
              <w:left w:val="nil"/>
              <w:bottom w:val="nil"/>
              <w:right w:val="nil"/>
            </w:tcBorders>
            <w:vAlign w:val="center"/>
          </w:tcPr>
          <w:p w14:paraId="7D8A6185">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1.444(0.721-2.891)</w:t>
            </w:r>
          </w:p>
        </w:tc>
        <w:tc>
          <w:tcPr>
            <w:tcW w:w="1135" w:type="pct"/>
            <w:tcBorders>
              <w:top w:val="nil"/>
              <w:left w:val="nil"/>
              <w:bottom w:val="nil"/>
              <w:right w:val="nil"/>
            </w:tcBorders>
            <w:vAlign w:val="center"/>
          </w:tcPr>
          <w:p w14:paraId="588DD40F">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1.349(0.643-2.830)</w:t>
            </w:r>
          </w:p>
        </w:tc>
      </w:tr>
      <w:tr w14:paraId="108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57EB3120">
            <w:pPr>
              <w:keepNext w:val="0"/>
              <w:keepLines w:val="0"/>
              <w:widowControl/>
              <w:suppressLineNumbers w:val="0"/>
              <w:jc w:val="center"/>
              <w:textAlignment w:val="center"/>
              <w:rPr>
                <w:rFonts w:hint="default" w:ascii="Times New Roman" w:hAnsi="Times New Roman" w:cs="Times New Roman"/>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Sex</w:t>
            </w:r>
          </w:p>
        </w:tc>
        <w:tc>
          <w:tcPr>
            <w:tcW w:w="1028" w:type="pct"/>
            <w:tcBorders>
              <w:top w:val="nil"/>
              <w:left w:val="nil"/>
              <w:bottom w:val="nil"/>
              <w:right w:val="nil"/>
            </w:tcBorders>
            <w:shd w:val="clear" w:color="auto" w:fill="auto"/>
            <w:vAlign w:val="center"/>
          </w:tcPr>
          <w:p w14:paraId="399A592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u w:val="none"/>
                <w:lang w:val="en-US" w:eastAsia="zh-CN" w:bidi="ar-SA"/>
              </w:rPr>
            </w:pPr>
            <w:r>
              <w:rPr>
                <w:rFonts w:hint="default" w:ascii="Times New Roman" w:hAnsi="Times New Roman" w:eastAsia="宋体" w:cs="Times New Roman"/>
                <w:i w:val="0"/>
                <w:iCs w:val="0"/>
                <w:color w:val="auto"/>
                <w:kern w:val="0"/>
                <w:sz w:val="28"/>
                <w:szCs w:val="28"/>
                <w:u w:val="none"/>
                <w:lang w:val="en-US" w:eastAsia="zh-CN" w:bidi="ar"/>
              </w:rPr>
              <w:t>-</w:t>
            </w:r>
          </w:p>
        </w:tc>
        <w:tc>
          <w:tcPr>
            <w:tcW w:w="1051" w:type="pct"/>
            <w:tcBorders>
              <w:top w:val="nil"/>
              <w:left w:val="nil"/>
              <w:bottom w:val="nil"/>
              <w:right w:val="nil"/>
            </w:tcBorders>
            <w:vAlign w:val="center"/>
          </w:tcPr>
          <w:p w14:paraId="5756EB0A">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eastAsia="宋体" w:cs="Times New Roman"/>
                <w:i w:val="0"/>
                <w:iCs w:val="0"/>
                <w:color w:val="auto"/>
                <w:kern w:val="0"/>
                <w:sz w:val="28"/>
                <w:szCs w:val="28"/>
                <w:u w:val="none"/>
                <w:lang w:val="en-US" w:eastAsia="zh-CN" w:bidi="ar"/>
              </w:rPr>
              <w:t xml:space="preserve"> 0.644 (0.399-1.039)</w:t>
            </w:r>
          </w:p>
        </w:tc>
        <w:tc>
          <w:tcPr>
            <w:tcW w:w="1113" w:type="pct"/>
            <w:tcBorders>
              <w:top w:val="nil"/>
              <w:left w:val="nil"/>
              <w:bottom w:val="nil"/>
              <w:right w:val="nil"/>
            </w:tcBorders>
            <w:vAlign w:val="center"/>
          </w:tcPr>
          <w:p w14:paraId="632E079D">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0.428(0.220-0.833)</w:t>
            </w:r>
            <w:r>
              <w:rPr>
                <w:rFonts w:hint="eastAsia" w:cs="Times New Roman"/>
                <w:color w:val="auto"/>
                <w:sz w:val="28"/>
                <w:szCs w:val="28"/>
                <w:vertAlign w:val="superscript"/>
                <w:lang w:val="en-US" w:eastAsia="zh-CN"/>
              </w:rPr>
              <w:t>*</w:t>
            </w:r>
          </w:p>
        </w:tc>
        <w:tc>
          <w:tcPr>
            <w:tcW w:w="1135" w:type="pct"/>
            <w:tcBorders>
              <w:top w:val="nil"/>
              <w:left w:val="nil"/>
              <w:bottom w:val="nil"/>
              <w:right w:val="nil"/>
            </w:tcBorders>
            <w:vAlign w:val="center"/>
          </w:tcPr>
          <w:p w14:paraId="3903D239">
            <w:pPr>
              <w:widowControl w:val="0"/>
              <w:numPr>
                <w:ilvl w:val="0"/>
                <w:numId w:val="0"/>
              </w:numPr>
              <w:ind w:left="0" w:leftChars="0" w:firstLine="0" w:firstLineChars="0"/>
              <w:jc w:val="center"/>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0.405 (0.203-0.806)</w:t>
            </w:r>
            <w:r>
              <w:rPr>
                <w:rFonts w:hint="eastAsia" w:cs="Times New Roman"/>
                <w:color w:val="auto"/>
                <w:sz w:val="28"/>
                <w:szCs w:val="28"/>
                <w:vertAlign w:val="superscript"/>
                <w:lang w:val="en-US" w:eastAsia="zh-CN"/>
              </w:rPr>
              <w:t>**</w:t>
            </w:r>
          </w:p>
        </w:tc>
      </w:tr>
      <w:tr w14:paraId="538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202732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MAC</w:t>
            </w:r>
          </w:p>
        </w:tc>
        <w:tc>
          <w:tcPr>
            <w:tcW w:w="1028" w:type="pct"/>
            <w:tcBorders>
              <w:top w:val="nil"/>
              <w:left w:val="nil"/>
              <w:bottom w:val="nil"/>
              <w:right w:val="nil"/>
            </w:tcBorders>
            <w:shd w:val="clear" w:color="auto" w:fill="auto"/>
            <w:vAlign w:val="center"/>
          </w:tcPr>
          <w:p w14:paraId="5D6AF1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051" w:type="pct"/>
            <w:tcBorders>
              <w:top w:val="nil"/>
              <w:left w:val="nil"/>
              <w:bottom w:val="nil"/>
              <w:right w:val="nil"/>
            </w:tcBorders>
            <w:vAlign w:val="center"/>
          </w:tcPr>
          <w:p w14:paraId="4898E922">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113" w:type="pct"/>
            <w:tcBorders>
              <w:top w:val="nil"/>
              <w:left w:val="nil"/>
              <w:bottom w:val="nil"/>
              <w:right w:val="nil"/>
            </w:tcBorders>
            <w:vAlign w:val="center"/>
          </w:tcPr>
          <w:p w14:paraId="72F7841E">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0.456(0.198-1.054)</w:t>
            </w:r>
          </w:p>
        </w:tc>
        <w:tc>
          <w:tcPr>
            <w:tcW w:w="1135" w:type="pct"/>
            <w:tcBorders>
              <w:top w:val="nil"/>
              <w:left w:val="nil"/>
              <w:bottom w:val="nil"/>
              <w:right w:val="nil"/>
            </w:tcBorders>
            <w:vAlign w:val="center"/>
          </w:tcPr>
          <w:p w14:paraId="2388CB53">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0.596(0.253-1.402)</w:t>
            </w:r>
            <w:r>
              <w:rPr>
                <w:rFonts w:hint="eastAsia" w:eastAsia="宋体" w:cs="Times New Roman"/>
                <w:i w:val="0"/>
                <w:iCs w:val="0"/>
                <w:color w:val="auto"/>
                <w:kern w:val="0"/>
                <w:sz w:val="28"/>
                <w:szCs w:val="28"/>
                <w:u w:val="none"/>
                <w:vertAlign w:val="superscript"/>
                <w:lang w:val="en-US" w:eastAsia="zh-CN" w:bidi="ar"/>
              </w:rPr>
              <w:t>*</w:t>
            </w:r>
          </w:p>
        </w:tc>
      </w:tr>
      <w:tr w14:paraId="746E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6E7CAB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ALB</w:t>
            </w:r>
          </w:p>
        </w:tc>
        <w:tc>
          <w:tcPr>
            <w:tcW w:w="1028" w:type="pct"/>
            <w:tcBorders>
              <w:top w:val="nil"/>
              <w:left w:val="nil"/>
              <w:bottom w:val="nil"/>
              <w:right w:val="nil"/>
            </w:tcBorders>
            <w:shd w:val="clear" w:color="auto" w:fill="auto"/>
            <w:vAlign w:val="center"/>
          </w:tcPr>
          <w:p w14:paraId="173606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051" w:type="pct"/>
            <w:tcBorders>
              <w:top w:val="nil"/>
              <w:left w:val="nil"/>
              <w:bottom w:val="nil"/>
              <w:right w:val="nil"/>
            </w:tcBorders>
            <w:vAlign w:val="center"/>
          </w:tcPr>
          <w:p w14:paraId="66B3F66E">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113" w:type="pct"/>
            <w:tcBorders>
              <w:top w:val="nil"/>
              <w:left w:val="nil"/>
              <w:bottom w:val="nil"/>
              <w:right w:val="nil"/>
            </w:tcBorders>
            <w:vAlign w:val="center"/>
          </w:tcPr>
          <w:p w14:paraId="08D5175B">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w:t>
            </w:r>
            <w:r>
              <w:rPr>
                <w:rFonts w:hint="eastAsia" w:eastAsia="宋体" w:cs="Times New Roman"/>
                <w:i w:val="0"/>
                <w:iCs w:val="0"/>
                <w:color w:val="auto"/>
                <w:kern w:val="0"/>
                <w:sz w:val="28"/>
                <w:szCs w:val="28"/>
                <w:u w:val="none"/>
                <w:lang w:val="en-US" w:eastAsia="zh-CN" w:bidi="ar"/>
              </w:rPr>
              <w:t>047</w:t>
            </w:r>
            <w:r>
              <w:rPr>
                <w:rFonts w:hint="default" w:ascii="Times New Roman" w:hAnsi="Times New Roman" w:eastAsia="宋体" w:cs="Times New Roman"/>
                <w:i w:val="0"/>
                <w:iCs w:val="0"/>
                <w:color w:val="auto"/>
                <w:kern w:val="0"/>
                <w:sz w:val="28"/>
                <w:szCs w:val="28"/>
                <w:u w:val="none"/>
                <w:vertAlign w:val="superscript"/>
                <w:lang w:val="en-US" w:eastAsia="zh-CN" w:bidi="ar"/>
              </w:rPr>
              <w:t>***</w:t>
            </w:r>
          </w:p>
          <w:p w14:paraId="4357C2AA">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(0.012-0.189)</w:t>
            </w:r>
          </w:p>
        </w:tc>
        <w:tc>
          <w:tcPr>
            <w:tcW w:w="1135" w:type="pct"/>
            <w:tcBorders>
              <w:top w:val="nil"/>
              <w:left w:val="nil"/>
              <w:bottom w:val="nil"/>
              <w:right w:val="nil"/>
            </w:tcBorders>
            <w:vAlign w:val="center"/>
          </w:tcPr>
          <w:p w14:paraId="74441294">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w:t>
            </w:r>
            <w:r>
              <w:rPr>
                <w:rFonts w:hint="eastAsia" w:eastAsia="宋体" w:cs="Times New Roman"/>
                <w:i w:val="0"/>
                <w:iCs w:val="0"/>
                <w:color w:val="auto"/>
                <w:kern w:val="0"/>
                <w:sz w:val="28"/>
                <w:szCs w:val="28"/>
                <w:u w:val="none"/>
                <w:lang w:val="en-US" w:eastAsia="zh-CN" w:bidi="ar"/>
              </w:rPr>
              <w:t>0</w:t>
            </w:r>
            <w:r>
              <w:rPr>
                <w:rFonts w:hint="default" w:ascii="Times New Roman" w:hAnsi="Times New Roman" w:eastAsia="宋体" w:cs="Times New Roman"/>
                <w:i w:val="0"/>
                <w:iCs w:val="0"/>
                <w:color w:val="auto"/>
                <w:kern w:val="0"/>
                <w:sz w:val="28"/>
                <w:szCs w:val="28"/>
                <w:u w:val="none"/>
                <w:lang w:val="en-US" w:eastAsia="zh-CN" w:bidi="ar"/>
              </w:rPr>
              <w:t>49</w:t>
            </w:r>
            <w:r>
              <w:rPr>
                <w:rFonts w:hint="default" w:ascii="Times New Roman" w:hAnsi="Times New Roman" w:eastAsia="宋体" w:cs="Times New Roman"/>
                <w:i w:val="0"/>
                <w:iCs w:val="0"/>
                <w:color w:val="auto"/>
                <w:kern w:val="0"/>
                <w:sz w:val="28"/>
                <w:szCs w:val="28"/>
                <w:u w:val="none"/>
                <w:vertAlign w:val="superscript"/>
                <w:lang w:val="en-US" w:eastAsia="zh-CN" w:bidi="ar"/>
              </w:rPr>
              <w:t>***</w:t>
            </w:r>
          </w:p>
          <w:p w14:paraId="4EF54E54">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(0.012-0.203)</w:t>
            </w:r>
          </w:p>
        </w:tc>
      </w:tr>
      <w:tr w14:paraId="44AA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0C27E1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CAT</w:t>
            </w:r>
          </w:p>
        </w:tc>
        <w:tc>
          <w:tcPr>
            <w:tcW w:w="1028" w:type="pct"/>
            <w:tcBorders>
              <w:top w:val="nil"/>
              <w:left w:val="nil"/>
              <w:bottom w:val="nil"/>
              <w:right w:val="nil"/>
            </w:tcBorders>
            <w:shd w:val="clear" w:color="auto" w:fill="auto"/>
            <w:vAlign w:val="center"/>
          </w:tcPr>
          <w:p w14:paraId="17E877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051" w:type="pct"/>
            <w:tcBorders>
              <w:top w:val="nil"/>
              <w:left w:val="nil"/>
              <w:bottom w:val="nil"/>
              <w:right w:val="nil"/>
            </w:tcBorders>
            <w:vAlign w:val="center"/>
          </w:tcPr>
          <w:p w14:paraId="2603B9B5">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113" w:type="pct"/>
            <w:tcBorders>
              <w:top w:val="nil"/>
              <w:left w:val="nil"/>
              <w:bottom w:val="nil"/>
              <w:right w:val="nil"/>
            </w:tcBorders>
            <w:vAlign w:val="center"/>
          </w:tcPr>
          <w:p w14:paraId="601E0C73">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w:t>
            </w:r>
          </w:p>
        </w:tc>
        <w:tc>
          <w:tcPr>
            <w:tcW w:w="1135" w:type="pct"/>
            <w:tcBorders>
              <w:top w:val="nil"/>
              <w:left w:val="nil"/>
              <w:bottom w:val="nil"/>
              <w:right w:val="nil"/>
            </w:tcBorders>
            <w:vAlign w:val="center"/>
          </w:tcPr>
          <w:p w14:paraId="4420DEB8">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2.166 (1.058-4.435)</w:t>
            </w:r>
            <w:r>
              <w:rPr>
                <w:rFonts w:hint="default" w:ascii="Times New Roman" w:hAnsi="Times New Roman" w:eastAsia="宋体" w:cs="Times New Roman"/>
                <w:i w:val="0"/>
                <w:iCs w:val="0"/>
                <w:color w:val="auto"/>
                <w:kern w:val="0"/>
                <w:sz w:val="28"/>
                <w:szCs w:val="28"/>
                <w:u w:val="none"/>
                <w:vertAlign w:val="superscript"/>
                <w:lang w:val="en-US" w:eastAsia="zh-CN" w:bidi="ar"/>
              </w:rPr>
              <w:t>*</w:t>
            </w:r>
          </w:p>
        </w:tc>
      </w:tr>
      <w:tr w14:paraId="6B4C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59B4E6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p>
        </w:tc>
        <w:tc>
          <w:tcPr>
            <w:tcW w:w="1028" w:type="pct"/>
            <w:tcBorders>
              <w:top w:val="nil"/>
              <w:left w:val="nil"/>
              <w:bottom w:val="nil"/>
              <w:right w:val="nil"/>
            </w:tcBorders>
            <w:shd w:val="clear" w:color="auto" w:fill="auto"/>
            <w:vAlign w:val="center"/>
          </w:tcPr>
          <w:p w14:paraId="0D45C3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p>
        </w:tc>
        <w:tc>
          <w:tcPr>
            <w:tcW w:w="1051" w:type="pct"/>
            <w:tcBorders>
              <w:top w:val="nil"/>
              <w:left w:val="nil"/>
              <w:bottom w:val="nil"/>
              <w:right w:val="nil"/>
            </w:tcBorders>
            <w:vAlign w:val="center"/>
          </w:tcPr>
          <w:p w14:paraId="0F56B8EE">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p>
        </w:tc>
        <w:tc>
          <w:tcPr>
            <w:tcW w:w="1113" w:type="pct"/>
            <w:tcBorders>
              <w:top w:val="nil"/>
              <w:left w:val="nil"/>
              <w:bottom w:val="nil"/>
              <w:right w:val="nil"/>
            </w:tcBorders>
            <w:vAlign w:val="center"/>
          </w:tcPr>
          <w:p w14:paraId="1548B65C">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p>
        </w:tc>
        <w:tc>
          <w:tcPr>
            <w:tcW w:w="1135" w:type="pct"/>
            <w:tcBorders>
              <w:top w:val="nil"/>
              <w:left w:val="nil"/>
              <w:bottom w:val="nil"/>
              <w:right w:val="nil"/>
            </w:tcBorders>
            <w:vAlign w:val="center"/>
          </w:tcPr>
          <w:p w14:paraId="7CAE4910">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p>
        </w:tc>
      </w:tr>
      <w:tr w14:paraId="5438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nil"/>
              <w:right w:val="nil"/>
            </w:tcBorders>
            <w:vAlign w:val="center"/>
          </w:tcPr>
          <w:p w14:paraId="1A9CDC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Pseudo R</w:t>
            </w:r>
            <w:r>
              <w:rPr>
                <w:rFonts w:hint="default" w:ascii="Times New Roman" w:hAnsi="Times New Roman" w:eastAsia="宋体" w:cs="Times New Roman"/>
                <w:i w:val="0"/>
                <w:iCs w:val="0"/>
                <w:color w:val="auto"/>
                <w:kern w:val="0"/>
                <w:sz w:val="28"/>
                <w:szCs w:val="28"/>
                <w:u w:val="none"/>
                <w:vertAlign w:val="superscript"/>
                <w:lang w:val="en-US" w:eastAsia="zh-CN" w:bidi="ar"/>
              </w:rPr>
              <w:t>2</w:t>
            </w:r>
          </w:p>
        </w:tc>
        <w:tc>
          <w:tcPr>
            <w:tcW w:w="1028" w:type="pct"/>
            <w:tcBorders>
              <w:top w:val="nil"/>
              <w:left w:val="nil"/>
              <w:bottom w:val="nil"/>
              <w:right w:val="nil"/>
            </w:tcBorders>
            <w:shd w:val="clear" w:color="auto" w:fill="auto"/>
            <w:vAlign w:val="center"/>
          </w:tcPr>
          <w:p w14:paraId="6EA753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0.149</w:t>
            </w:r>
          </w:p>
        </w:tc>
        <w:tc>
          <w:tcPr>
            <w:tcW w:w="1051" w:type="pct"/>
            <w:tcBorders>
              <w:top w:val="nil"/>
              <w:left w:val="nil"/>
              <w:bottom w:val="nil"/>
              <w:right w:val="nil"/>
            </w:tcBorders>
            <w:vAlign w:val="center"/>
          </w:tcPr>
          <w:p w14:paraId="40CE3528">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0.180</w:t>
            </w:r>
          </w:p>
        </w:tc>
        <w:tc>
          <w:tcPr>
            <w:tcW w:w="1113" w:type="pct"/>
            <w:tcBorders>
              <w:top w:val="nil"/>
              <w:left w:val="nil"/>
              <w:bottom w:val="nil"/>
              <w:right w:val="nil"/>
            </w:tcBorders>
            <w:vAlign w:val="center"/>
          </w:tcPr>
          <w:p w14:paraId="50838A09">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0.493</w:t>
            </w:r>
          </w:p>
        </w:tc>
        <w:tc>
          <w:tcPr>
            <w:tcW w:w="1135" w:type="pct"/>
            <w:tcBorders>
              <w:top w:val="nil"/>
              <w:left w:val="nil"/>
              <w:bottom w:val="nil"/>
              <w:right w:val="nil"/>
            </w:tcBorders>
            <w:vAlign w:val="center"/>
          </w:tcPr>
          <w:p w14:paraId="4EA0403E">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0.525</w:t>
            </w:r>
          </w:p>
        </w:tc>
      </w:tr>
      <w:tr w14:paraId="0D15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Borders>
              <w:top w:val="nil"/>
              <w:left w:val="nil"/>
              <w:bottom w:val="single" w:color="auto" w:sz="12" w:space="0"/>
              <w:right w:val="nil"/>
            </w:tcBorders>
            <w:vAlign w:val="center"/>
          </w:tcPr>
          <w:p w14:paraId="2F9B6C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Log likelihood</w:t>
            </w:r>
          </w:p>
        </w:tc>
        <w:tc>
          <w:tcPr>
            <w:tcW w:w="1028" w:type="pct"/>
            <w:tcBorders>
              <w:top w:val="nil"/>
              <w:left w:val="nil"/>
              <w:bottom w:val="single" w:color="auto" w:sz="12" w:space="0"/>
              <w:right w:val="nil"/>
            </w:tcBorders>
            <w:shd w:val="clear" w:color="auto" w:fill="auto"/>
            <w:vAlign w:val="center"/>
          </w:tcPr>
          <w:p w14:paraId="7EF91A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-62.54</w:t>
            </w:r>
          </w:p>
        </w:tc>
        <w:tc>
          <w:tcPr>
            <w:tcW w:w="1051" w:type="pct"/>
            <w:tcBorders>
              <w:top w:val="nil"/>
              <w:left w:val="nil"/>
              <w:bottom w:val="single" w:color="auto" w:sz="12" w:space="0"/>
              <w:right w:val="nil"/>
            </w:tcBorders>
            <w:vAlign w:val="center"/>
          </w:tcPr>
          <w:p w14:paraId="37C42C9D">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-60.21</w:t>
            </w:r>
          </w:p>
        </w:tc>
        <w:tc>
          <w:tcPr>
            <w:tcW w:w="1113" w:type="pct"/>
            <w:tcBorders>
              <w:top w:val="nil"/>
              <w:left w:val="nil"/>
              <w:bottom w:val="single" w:color="auto" w:sz="12" w:space="0"/>
              <w:right w:val="nil"/>
            </w:tcBorders>
            <w:vAlign w:val="center"/>
          </w:tcPr>
          <w:p w14:paraId="4A1FF073">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-37.24</w:t>
            </w:r>
          </w:p>
        </w:tc>
        <w:tc>
          <w:tcPr>
            <w:tcW w:w="1135" w:type="pct"/>
            <w:tcBorders>
              <w:top w:val="nil"/>
              <w:left w:val="nil"/>
              <w:bottom w:val="single" w:color="auto" w:sz="12" w:space="0"/>
              <w:right w:val="nil"/>
            </w:tcBorders>
            <w:vAlign w:val="center"/>
          </w:tcPr>
          <w:p w14:paraId="0F4BC0A8">
            <w:pPr>
              <w:widowControl w:val="0"/>
              <w:numPr>
                <w:ilvl w:val="0"/>
                <w:numId w:val="0"/>
              </w:numPr>
              <w:ind w:left="0" w:leftChars="0"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-34.78</w:t>
            </w:r>
          </w:p>
        </w:tc>
      </w:tr>
    </w:tbl>
    <w:p w14:paraId="79D9B6F8">
      <w:pPr>
        <w:rPr>
          <w:rFonts w:hint="default" w:eastAsia="宋体"/>
          <w:sz w:val="24"/>
          <w:szCs w:val="24"/>
          <w:lang w:val="en-US" w:eastAsia="zh-CN"/>
        </w:rPr>
      </w:pPr>
      <w:r>
        <w:rPr>
          <w:rFonts w:hint="eastAsia" w:eastAsia="宋体"/>
          <w:lang w:val="en-US" w:eastAsia="zh-CN"/>
        </w:rPr>
        <w:t>CAT: COPD Patient Self-Assessment Questionnaire; ALB Albumin; MAC: Upper Arm Circumference; tPMA: Total Pectoralis Major Muscle Cross-sectional Area;</w:t>
      </w:r>
    </w:p>
    <w:p w14:paraId="21528C37">
      <w:pPr>
        <w:rPr>
          <w:rFonts w:hint="default" w:eastAsia="宋体"/>
          <w:sz w:val="24"/>
          <w:szCs w:val="24"/>
          <w:lang w:val="en-US" w:eastAsia="zh-CN"/>
        </w:rPr>
      </w:pPr>
      <w:r>
        <w:rPr>
          <w:rFonts w:hint="default" w:eastAsia="宋体"/>
          <w:sz w:val="24"/>
          <w:szCs w:val="24"/>
          <w:lang w:val="en-US" w:eastAsia="zh-CN"/>
        </w:rPr>
        <w:t>Model 1: Unadjusted;</w:t>
      </w:r>
    </w:p>
    <w:p w14:paraId="0641CC97">
      <w:pPr>
        <w:rPr>
          <w:rFonts w:hint="default" w:eastAsia="宋体"/>
          <w:sz w:val="24"/>
          <w:szCs w:val="24"/>
          <w:lang w:val="en-US" w:eastAsia="zh-CN"/>
        </w:rPr>
      </w:pPr>
      <w:r>
        <w:rPr>
          <w:rFonts w:hint="default" w:eastAsia="宋体"/>
          <w:sz w:val="24"/>
          <w:szCs w:val="24"/>
          <w:lang w:val="en-US" w:eastAsia="zh-CN"/>
        </w:rPr>
        <w:t>Model 2: Model 1 adjusted for gender and age;</w:t>
      </w:r>
    </w:p>
    <w:p w14:paraId="7C5F61B2">
      <w:pPr>
        <w:rPr>
          <w:rFonts w:hint="default" w:eastAsia="宋体"/>
          <w:sz w:val="24"/>
          <w:szCs w:val="24"/>
          <w:lang w:val="en-US" w:eastAsia="zh-CN"/>
        </w:rPr>
      </w:pPr>
      <w:r>
        <w:rPr>
          <w:rFonts w:hint="default" w:eastAsia="宋体"/>
          <w:sz w:val="24"/>
          <w:szCs w:val="24"/>
          <w:lang w:val="en-US" w:eastAsia="zh-CN"/>
        </w:rPr>
        <w:t>Model 3 (Final Model): Model 2 adjusted for MAC and ALB;</w:t>
      </w:r>
    </w:p>
    <w:p w14:paraId="26D5227E">
      <w:pPr>
        <w:rPr>
          <w:rFonts w:hint="default" w:eastAsia="宋体"/>
          <w:sz w:val="24"/>
          <w:szCs w:val="24"/>
          <w:lang w:val="en-US" w:eastAsia="zh-CN"/>
        </w:rPr>
      </w:pPr>
      <w:r>
        <w:rPr>
          <w:rFonts w:hint="default" w:eastAsia="宋体"/>
          <w:sz w:val="24"/>
          <w:szCs w:val="24"/>
          <w:lang w:val="en-US" w:eastAsia="zh-CN"/>
        </w:rPr>
        <w:t>Model 4 (Sensitivity Analysis): Model 3 adjusted for CAT;</w:t>
      </w:r>
    </w:p>
    <w:p w14:paraId="596A96E8">
      <w:pPr>
        <w:rPr>
          <w:rFonts w:hint="default" w:eastAsia="宋体"/>
          <w:sz w:val="24"/>
          <w:szCs w:val="24"/>
          <w:lang w:val="en-US" w:eastAsia="zh-CN"/>
        </w:rPr>
      </w:pPr>
      <w:r>
        <w:rPr>
          <w:rFonts w:hint="default" w:eastAsia="宋体"/>
          <w:sz w:val="24"/>
          <w:szCs w:val="24"/>
          <w:vertAlign w:val="superscript"/>
          <w:lang w:val="en-US" w:eastAsia="zh-CN"/>
        </w:rPr>
        <w:t>*</w:t>
      </w:r>
      <w:r>
        <w:rPr>
          <w:rFonts w:hint="default" w:eastAsia="宋体"/>
          <w:sz w:val="24"/>
          <w:szCs w:val="24"/>
          <w:lang w:val="en-US" w:eastAsia="zh-CN"/>
        </w:rPr>
        <w:t xml:space="preserve">P&lt;0.05, </w:t>
      </w:r>
      <w:r>
        <w:rPr>
          <w:rFonts w:hint="default" w:eastAsia="宋体"/>
          <w:sz w:val="24"/>
          <w:szCs w:val="24"/>
          <w:vertAlign w:val="superscript"/>
          <w:lang w:val="en-US" w:eastAsia="zh-CN"/>
        </w:rPr>
        <w:t>**</w:t>
      </w:r>
      <w:r>
        <w:rPr>
          <w:rFonts w:hint="default" w:eastAsia="宋体"/>
          <w:sz w:val="24"/>
          <w:szCs w:val="24"/>
          <w:lang w:val="en-US" w:eastAsia="zh-CN"/>
        </w:rPr>
        <w:t xml:space="preserve">P&lt;0.01, </w:t>
      </w:r>
      <w:r>
        <w:rPr>
          <w:rFonts w:hint="default" w:eastAsia="宋体"/>
          <w:sz w:val="24"/>
          <w:szCs w:val="24"/>
          <w:vertAlign w:val="superscript"/>
          <w:lang w:val="en-US" w:eastAsia="zh-CN"/>
        </w:rPr>
        <w:t>***</w:t>
      </w:r>
      <w:r>
        <w:rPr>
          <w:rFonts w:hint="default" w:eastAsia="宋体"/>
          <w:sz w:val="24"/>
          <w:szCs w:val="24"/>
          <w:lang w:val="en-US" w:eastAsia="zh-CN"/>
        </w:rPr>
        <w:t>P&lt;0.001;</w:t>
      </w:r>
    </w:p>
    <w:p w14:paraId="3DAAE78B">
      <w:pPr>
        <w:rPr>
          <w:rFonts w:hint="default" w:eastAsia="宋体"/>
          <w:sz w:val="21"/>
          <w:szCs w:val="21"/>
          <w:lang w:val="en-US" w:eastAsia="zh-CN"/>
        </w:rPr>
      </w:pPr>
      <w:r>
        <w:rPr>
          <w:rFonts w:hint="default" w:eastAsia="宋体"/>
          <w:sz w:val="24"/>
          <w:szCs w:val="24"/>
          <w:vertAlign w:val="superscript"/>
          <w:lang w:val="en-US" w:eastAsia="zh-CN"/>
        </w:rPr>
        <w:t>#</w:t>
      </w:r>
      <w:r>
        <w:rPr>
          <w:rFonts w:hint="default" w:eastAsia="宋体"/>
          <w:sz w:val="24"/>
          <w:szCs w:val="24"/>
          <w:lang w:val="en-US" w:eastAsia="zh-CN"/>
        </w:rPr>
        <w:t>The model showed good calibration according to the Hosmer-Lemeshow test (χ² = 3.56, P = 0.895)</w:t>
      </w:r>
    </w:p>
    <w:p w14:paraId="7E11D214">
      <w:pPr>
        <w:rPr>
          <w:rFonts w:hint="default" w:eastAsia="宋体"/>
          <w:sz w:val="21"/>
          <w:szCs w:val="21"/>
          <w:lang w:val="en-US" w:eastAsia="zh-CN"/>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7F5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411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7B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FDB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63E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DEE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42A53"/>
    <w:rsid w:val="03370BA3"/>
    <w:rsid w:val="05D64DFA"/>
    <w:rsid w:val="08BB76BE"/>
    <w:rsid w:val="108A1391"/>
    <w:rsid w:val="15604AE6"/>
    <w:rsid w:val="24B62F36"/>
    <w:rsid w:val="26A14FF6"/>
    <w:rsid w:val="2BB83EDD"/>
    <w:rsid w:val="3067523F"/>
    <w:rsid w:val="319C7C53"/>
    <w:rsid w:val="35374E47"/>
    <w:rsid w:val="427C23A2"/>
    <w:rsid w:val="445352E2"/>
    <w:rsid w:val="45242A53"/>
    <w:rsid w:val="4F905428"/>
    <w:rsid w:val="55B318A1"/>
    <w:rsid w:val="5A293649"/>
    <w:rsid w:val="5D956609"/>
    <w:rsid w:val="5E5D4910"/>
    <w:rsid w:val="66C037C7"/>
    <w:rsid w:val="784776FC"/>
    <w:rsid w:val="78F6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2026-05-24T14:01:00Z</dcterms:created>
  <dc:creator>lq</dc:creator>
  <cp:lastModifiedBy>lq</cp:lastModifiedBy>
  <dcterms:modified xsi:type="dcterms:W3CDTF">2026-05-26T10:22:41Z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2076829A806B4368920000F33EACE73B_13</vt:lpwstr>
  </property>
  <property fmtid="{D5CDD505-2E9C-101B-9397-08002B2CF9AE}" pid="4" name="KSOTemplateDocerSaveRecord">
    <vt:lpwstr>eyJoZGlkIjoiYWEyNDk2ZDkxYjRhZmZmZjA4NDg1N2I1MDMzMjQ5NjMiLCJ1c2VySWQiOiI2ODQ5NzY5NjAifQ==</vt:lpwstr>
  </property>
</Properties>
</file>