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80AB5" w14:textId="77777777" w:rsidR="00B822A8" w:rsidRPr="00220245" w:rsidRDefault="00B822A8" w:rsidP="00B822A8">
      <w:pPr>
        <w:spacing w:line="480" w:lineRule="auto"/>
        <w:rPr>
          <w:rFonts w:ascii="Times New Roman" w:hAnsi="Times New Roman" w:cs="Times New Roman"/>
          <w:color w:val="000000"/>
          <w:lang w:val="en-US"/>
        </w:rPr>
      </w:pPr>
      <w:r w:rsidRPr="00220245">
        <w:rPr>
          <w:rFonts w:ascii="Times New Roman" w:hAnsi="Times New Roman" w:cs="Times New Roman"/>
          <w:b/>
          <w:bCs/>
          <w:color w:val="000000"/>
          <w:lang w:val="en-US"/>
        </w:rPr>
        <w:t xml:space="preserve">Supplementary Figure 1: </w:t>
      </w:r>
      <w:r w:rsidRPr="00220245">
        <w:rPr>
          <w:rFonts w:ascii="Times New Roman" w:hAnsi="Times New Roman" w:cs="Times New Roman"/>
          <w:color w:val="000000"/>
          <w:lang w:val="en-US"/>
        </w:rPr>
        <w:t>Screenshot of A) intraoperative image-guidance system showing alignment of toric markings with nominated target axis and B) postoperative iTrace display showing in situ alignment of the IOL. Target axis (A) and postoperative alignment (B) are highlighted in red boxes. IOL = intraocular lens.</w:t>
      </w:r>
    </w:p>
    <w:p w14:paraId="61686ABF" w14:textId="1E8B6E11" w:rsidR="00B822A8" w:rsidRDefault="00B822A8">
      <w:pPr>
        <w:rPr>
          <w:b/>
          <w:bCs/>
        </w:rPr>
      </w:pPr>
      <w:r>
        <w:rPr>
          <w:b/>
          <w:bCs/>
          <w:noProof/>
        </w:rPr>
        <w:drawing>
          <wp:inline distT="0" distB="0" distL="0" distR="0" wp14:anchorId="017BE2C6" wp14:editId="4259D443">
            <wp:extent cx="4438650" cy="6629703"/>
            <wp:effectExtent l="0" t="0" r="0" b="0"/>
            <wp:docPr id="1726187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43020" cy="6636230"/>
                    </a:xfrm>
                    <a:prstGeom prst="rect">
                      <a:avLst/>
                    </a:prstGeom>
                    <a:noFill/>
                    <a:ln>
                      <a:noFill/>
                    </a:ln>
                  </pic:spPr>
                </pic:pic>
              </a:graphicData>
            </a:graphic>
          </wp:inline>
        </w:drawing>
      </w:r>
    </w:p>
    <w:p w14:paraId="48203454" w14:textId="77777777" w:rsidR="00B822A8" w:rsidRDefault="00B822A8">
      <w:pPr>
        <w:rPr>
          <w:b/>
          <w:bCs/>
        </w:rPr>
      </w:pPr>
    </w:p>
    <w:tbl>
      <w:tblPr>
        <w:tblStyle w:val="TableGrid"/>
        <w:tblpPr w:leftFromText="180" w:rightFromText="180" w:vertAnchor="text" w:horzAnchor="margin" w:tblpY="588"/>
        <w:tblW w:w="9634" w:type="dxa"/>
        <w:tblLook w:val="04A0" w:firstRow="1" w:lastRow="0" w:firstColumn="1" w:lastColumn="0" w:noHBand="0" w:noVBand="1"/>
      </w:tblPr>
      <w:tblGrid>
        <w:gridCol w:w="1264"/>
        <w:gridCol w:w="1226"/>
        <w:gridCol w:w="1341"/>
        <w:gridCol w:w="1239"/>
        <w:gridCol w:w="1125"/>
        <w:gridCol w:w="1123"/>
        <w:gridCol w:w="1182"/>
        <w:gridCol w:w="1134"/>
      </w:tblGrid>
      <w:tr w:rsidR="00B822A8" w14:paraId="1B553D66" w14:textId="77777777" w:rsidTr="00B822A8">
        <w:tc>
          <w:tcPr>
            <w:tcW w:w="1264" w:type="dxa"/>
          </w:tcPr>
          <w:p w14:paraId="644616D1" w14:textId="77777777" w:rsidR="00B822A8" w:rsidRDefault="00B822A8" w:rsidP="00B822A8"/>
        </w:tc>
        <w:tc>
          <w:tcPr>
            <w:tcW w:w="1226" w:type="dxa"/>
          </w:tcPr>
          <w:p w14:paraId="6FE64B08" w14:textId="77777777" w:rsidR="00B822A8" w:rsidRDefault="00B822A8" w:rsidP="00B822A8">
            <w:r>
              <w:t>NAVQ</w:t>
            </w:r>
          </w:p>
        </w:tc>
        <w:tc>
          <w:tcPr>
            <w:tcW w:w="1341" w:type="dxa"/>
          </w:tcPr>
          <w:p w14:paraId="70D95C74" w14:textId="77777777" w:rsidR="00B822A8" w:rsidRDefault="00B822A8" w:rsidP="00B822A8">
            <w:r>
              <w:t>Stereoacuity</w:t>
            </w:r>
          </w:p>
        </w:tc>
        <w:tc>
          <w:tcPr>
            <w:tcW w:w="1239" w:type="dxa"/>
          </w:tcPr>
          <w:p w14:paraId="5DBCB35E" w14:textId="77777777" w:rsidR="00B822A8" w:rsidRDefault="00B822A8" w:rsidP="00B822A8">
            <w:r>
              <w:t>CS</w:t>
            </w:r>
          </w:p>
        </w:tc>
        <w:tc>
          <w:tcPr>
            <w:tcW w:w="1125" w:type="dxa"/>
          </w:tcPr>
          <w:p w14:paraId="2B3A0646" w14:textId="77777777" w:rsidR="00B822A8" w:rsidRDefault="00B822A8" w:rsidP="00B822A8">
            <w:r>
              <w:t>UDVA</w:t>
            </w:r>
          </w:p>
        </w:tc>
        <w:tc>
          <w:tcPr>
            <w:tcW w:w="1123" w:type="dxa"/>
          </w:tcPr>
          <w:p w14:paraId="6C0F7F32" w14:textId="77777777" w:rsidR="00B822A8" w:rsidRDefault="00B822A8" w:rsidP="00B822A8">
            <w:r>
              <w:t>UIVA</w:t>
            </w:r>
          </w:p>
        </w:tc>
        <w:tc>
          <w:tcPr>
            <w:tcW w:w="1182" w:type="dxa"/>
          </w:tcPr>
          <w:p w14:paraId="298FA437" w14:textId="77777777" w:rsidR="00B822A8" w:rsidRDefault="00B822A8" w:rsidP="00B822A8">
            <w:r>
              <w:t>UNVA-40</w:t>
            </w:r>
          </w:p>
        </w:tc>
        <w:tc>
          <w:tcPr>
            <w:tcW w:w="1134" w:type="dxa"/>
          </w:tcPr>
          <w:p w14:paraId="069B9FFC" w14:textId="77777777" w:rsidR="00B822A8" w:rsidRDefault="00B822A8" w:rsidP="00B822A8">
            <w:r>
              <w:t>UNVA-33</w:t>
            </w:r>
          </w:p>
        </w:tc>
      </w:tr>
      <w:tr w:rsidR="00B822A8" w14:paraId="28BCDB2C" w14:textId="77777777" w:rsidTr="00B822A8">
        <w:tc>
          <w:tcPr>
            <w:tcW w:w="1264" w:type="dxa"/>
          </w:tcPr>
          <w:p w14:paraId="30212408" w14:textId="77777777" w:rsidR="00B822A8" w:rsidRDefault="00B822A8" w:rsidP="00B822A8">
            <w:r>
              <w:t>Patient satisfaction</w:t>
            </w:r>
          </w:p>
        </w:tc>
        <w:tc>
          <w:tcPr>
            <w:tcW w:w="1226" w:type="dxa"/>
          </w:tcPr>
          <w:p w14:paraId="027026AB" w14:textId="77777777" w:rsidR="00B822A8" w:rsidRDefault="00B822A8" w:rsidP="00B822A8">
            <w:r>
              <w:t>0.35; 0.11</w:t>
            </w:r>
          </w:p>
        </w:tc>
        <w:tc>
          <w:tcPr>
            <w:tcW w:w="1341" w:type="dxa"/>
          </w:tcPr>
          <w:p w14:paraId="238826D8" w14:textId="77777777" w:rsidR="00B822A8" w:rsidRDefault="00B822A8" w:rsidP="00B822A8">
            <w:r>
              <w:t>0.15; 0.11</w:t>
            </w:r>
          </w:p>
        </w:tc>
        <w:tc>
          <w:tcPr>
            <w:tcW w:w="1239" w:type="dxa"/>
          </w:tcPr>
          <w:p w14:paraId="3946F334" w14:textId="77777777" w:rsidR="00B822A8" w:rsidRDefault="00B822A8" w:rsidP="00B822A8">
            <w:r>
              <w:t>0.04; 0.83</w:t>
            </w:r>
          </w:p>
        </w:tc>
        <w:tc>
          <w:tcPr>
            <w:tcW w:w="1125" w:type="dxa"/>
          </w:tcPr>
          <w:p w14:paraId="71ECEE59" w14:textId="77777777" w:rsidR="00B822A8" w:rsidRDefault="00B822A8" w:rsidP="00B822A8">
            <w:r>
              <w:t>0.15; 0.52</w:t>
            </w:r>
          </w:p>
        </w:tc>
        <w:tc>
          <w:tcPr>
            <w:tcW w:w="1123" w:type="dxa"/>
          </w:tcPr>
          <w:p w14:paraId="2980D215" w14:textId="77777777" w:rsidR="00B822A8" w:rsidRDefault="00B822A8" w:rsidP="00B822A8">
            <w:r>
              <w:t>0.07; 0.76</w:t>
            </w:r>
          </w:p>
        </w:tc>
        <w:tc>
          <w:tcPr>
            <w:tcW w:w="1182" w:type="dxa"/>
          </w:tcPr>
          <w:p w14:paraId="4E082BF2" w14:textId="77777777" w:rsidR="00B822A8" w:rsidRDefault="00B822A8" w:rsidP="00B822A8">
            <w:r>
              <w:t>0.14; 0.54</w:t>
            </w:r>
          </w:p>
        </w:tc>
        <w:tc>
          <w:tcPr>
            <w:tcW w:w="1134" w:type="dxa"/>
          </w:tcPr>
          <w:p w14:paraId="2A8AC539" w14:textId="77777777" w:rsidR="00B822A8" w:rsidRDefault="00B822A8" w:rsidP="00B822A8">
            <w:r>
              <w:t>0.15; 0.52</w:t>
            </w:r>
          </w:p>
        </w:tc>
      </w:tr>
      <w:tr w:rsidR="00B822A8" w14:paraId="530CF2D8" w14:textId="77777777" w:rsidTr="00B822A8">
        <w:tc>
          <w:tcPr>
            <w:tcW w:w="1264" w:type="dxa"/>
          </w:tcPr>
          <w:p w14:paraId="7030FB0D" w14:textId="77777777" w:rsidR="00B822A8" w:rsidRDefault="00B822A8" w:rsidP="00B822A8">
            <w:r>
              <w:t>Visual function</w:t>
            </w:r>
          </w:p>
        </w:tc>
        <w:tc>
          <w:tcPr>
            <w:tcW w:w="1226" w:type="dxa"/>
          </w:tcPr>
          <w:p w14:paraId="221C1A49" w14:textId="77777777" w:rsidR="00B822A8" w:rsidRDefault="00B822A8" w:rsidP="00B822A8"/>
        </w:tc>
        <w:tc>
          <w:tcPr>
            <w:tcW w:w="1341" w:type="dxa"/>
          </w:tcPr>
          <w:p w14:paraId="2B29200A" w14:textId="77777777" w:rsidR="00B822A8" w:rsidRDefault="00B822A8" w:rsidP="00B822A8">
            <w:r>
              <w:t>0.23; 0.30</w:t>
            </w:r>
          </w:p>
        </w:tc>
        <w:tc>
          <w:tcPr>
            <w:tcW w:w="1239" w:type="dxa"/>
          </w:tcPr>
          <w:p w14:paraId="63BED7FA" w14:textId="77777777" w:rsidR="00B822A8" w:rsidRDefault="00B822A8" w:rsidP="00B822A8">
            <w:r>
              <w:t>0.1; 0.67</w:t>
            </w:r>
          </w:p>
        </w:tc>
        <w:tc>
          <w:tcPr>
            <w:tcW w:w="1125" w:type="dxa"/>
          </w:tcPr>
          <w:p w14:paraId="2B708270" w14:textId="77777777" w:rsidR="00B822A8" w:rsidRDefault="00B822A8" w:rsidP="00B822A8">
            <w:r>
              <w:t>-0.1; 0.70</w:t>
            </w:r>
          </w:p>
        </w:tc>
        <w:tc>
          <w:tcPr>
            <w:tcW w:w="1123" w:type="dxa"/>
          </w:tcPr>
          <w:p w14:paraId="1648DCC1" w14:textId="77777777" w:rsidR="00B822A8" w:rsidRDefault="00B822A8" w:rsidP="00B822A8">
            <w:r>
              <w:t>-0.15; 0.5</w:t>
            </w:r>
          </w:p>
        </w:tc>
        <w:tc>
          <w:tcPr>
            <w:tcW w:w="1182" w:type="dxa"/>
          </w:tcPr>
          <w:p w14:paraId="04499855" w14:textId="77777777" w:rsidR="00B822A8" w:rsidRDefault="00B822A8" w:rsidP="00B822A8">
            <w:r>
              <w:t>-0.07; 0.76</w:t>
            </w:r>
          </w:p>
        </w:tc>
        <w:tc>
          <w:tcPr>
            <w:tcW w:w="1134" w:type="dxa"/>
          </w:tcPr>
          <w:p w14:paraId="16659B8B" w14:textId="77777777" w:rsidR="00B822A8" w:rsidRDefault="00B822A8" w:rsidP="00B822A8">
            <w:r>
              <w:t>0.02; 0.93</w:t>
            </w:r>
          </w:p>
        </w:tc>
      </w:tr>
    </w:tbl>
    <w:p w14:paraId="432F8F16" w14:textId="7DD3F9B9" w:rsidR="00101D5B" w:rsidRDefault="003E539C">
      <w:r w:rsidRPr="00C77B77">
        <w:rPr>
          <w:b/>
          <w:bCs/>
        </w:rPr>
        <w:t xml:space="preserve">Supplementary </w:t>
      </w:r>
      <w:r w:rsidR="00C77B77">
        <w:rPr>
          <w:b/>
          <w:bCs/>
        </w:rPr>
        <w:t>Table 1</w:t>
      </w:r>
      <w:r w:rsidRPr="00C77B77">
        <w:rPr>
          <w:b/>
          <w:bCs/>
        </w:rPr>
        <w:t>:</w:t>
      </w:r>
      <w:r>
        <w:t xml:space="preserve"> Outcomes of Pearson correlation tests (r; P)</w:t>
      </w:r>
    </w:p>
    <w:sectPr w:rsidR="00101D5B">
      <w:footerReference w:type="even" r:id="rId7"/>
      <w:footerReference w:type="default" r:id="rId8"/>
      <w:footerReference w:type="firs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A5722" w14:textId="77777777" w:rsidR="00BB201F" w:rsidRDefault="00BB201F" w:rsidP="003E539C">
      <w:pPr>
        <w:spacing w:after="0" w:line="240" w:lineRule="auto"/>
      </w:pPr>
      <w:r>
        <w:separator/>
      </w:r>
    </w:p>
  </w:endnote>
  <w:endnote w:type="continuationSeparator" w:id="0">
    <w:p w14:paraId="00CC9AA6" w14:textId="77777777" w:rsidR="00BB201F" w:rsidRDefault="00BB201F" w:rsidP="003E5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AAFDB" w14:textId="0FD863BD" w:rsidR="00B822A8" w:rsidRDefault="00B822A8">
    <w:pPr>
      <w:pStyle w:val="Footer"/>
    </w:pPr>
    <w:r>
      <w:rPr>
        <w:noProof/>
      </w:rPr>
      <mc:AlternateContent>
        <mc:Choice Requires="wps">
          <w:drawing>
            <wp:anchor distT="0" distB="0" distL="0" distR="0" simplePos="0" relativeHeight="251659264" behindDoc="0" locked="0" layoutInCell="1" allowOverlap="1" wp14:anchorId="7B770959" wp14:editId="5FD47799">
              <wp:simplePos x="635" y="635"/>
              <wp:positionH relativeFrom="page">
                <wp:align>left</wp:align>
              </wp:positionH>
              <wp:positionV relativeFrom="page">
                <wp:align>bottom</wp:align>
              </wp:positionV>
              <wp:extent cx="2085975" cy="335280"/>
              <wp:effectExtent l="0" t="0" r="9525" b="0"/>
              <wp:wrapNone/>
              <wp:docPr id="236628259" name="Text Box 3"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35280"/>
                      </a:xfrm>
                      <a:prstGeom prst="rect">
                        <a:avLst/>
                      </a:prstGeom>
                      <a:noFill/>
                      <a:ln>
                        <a:noFill/>
                      </a:ln>
                    </wps:spPr>
                    <wps:txbx>
                      <w:txbxContent>
                        <w:p w14:paraId="16B67635" w14:textId="70E1984E" w:rsidR="00B822A8" w:rsidRPr="00B822A8" w:rsidRDefault="00B822A8" w:rsidP="00B822A8">
                          <w:pPr>
                            <w:spacing w:after="0"/>
                            <w:rPr>
                              <w:rFonts w:ascii="Rockwell" w:eastAsia="Rockwell" w:hAnsi="Rockwell" w:cs="Rockwell"/>
                              <w:noProof/>
                              <w:color w:val="0078D7"/>
                              <w:sz w:val="18"/>
                              <w:szCs w:val="18"/>
                            </w:rPr>
                          </w:pPr>
                          <w:r w:rsidRPr="00B822A8">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B770959" id="_x0000_t202" coordsize="21600,21600" o:spt="202" path="m,l,21600r21600,l21600,xe">
              <v:stroke joinstyle="miter"/>
              <v:path gradientshapeok="t" o:connecttype="rect"/>
            </v:shapetype>
            <v:shape id="Text Box 3" o:spid="_x0000_s1026" type="#_x0000_t202" alt="Information Classification: General" style="position:absolute;margin-left:0;margin-top:0;width:164.25pt;height:26.4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" filled="f" stroked="f">
              <v:fill o:detectmouseclick="t"/>
              <v:textbox style="mso-fit-shape-to-text:t" inset="20pt,0,0,15pt">
                <w:txbxContent>
                  <w:p w14:paraId="16B67635" w14:textId="70E1984E" w:rsidR="00B822A8" w:rsidRPr="00B822A8" w:rsidRDefault="00B822A8" w:rsidP="00B822A8">
                    <w:pPr>
                      <w:spacing w:after="0"/>
                      <w:rPr>
                        <w:rFonts w:ascii="Rockwell" w:eastAsia="Rockwell" w:hAnsi="Rockwell" w:cs="Rockwell"/>
                        <w:noProof/>
                        <w:color w:val="0078D7"/>
                        <w:sz w:val="18"/>
                        <w:szCs w:val="18"/>
                      </w:rPr>
                    </w:pPr>
                    <w:r w:rsidRPr="00B822A8">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E4489" w14:textId="2C271A51" w:rsidR="00B822A8" w:rsidRDefault="00B822A8">
    <w:pPr>
      <w:pStyle w:val="Footer"/>
    </w:pPr>
    <w:r>
      <w:rPr>
        <w:noProof/>
      </w:rPr>
      <mc:AlternateContent>
        <mc:Choice Requires="wps">
          <w:drawing>
            <wp:anchor distT="0" distB="0" distL="0" distR="0" simplePos="0" relativeHeight="251660288" behindDoc="0" locked="0" layoutInCell="1" allowOverlap="1" wp14:anchorId="73296C44" wp14:editId="5EF399A2">
              <wp:simplePos x="914400" y="10067925"/>
              <wp:positionH relativeFrom="page">
                <wp:align>left</wp:align>
              </wp:positionH>
              <wp:positionV relativeFrom="page">
                <wp:align>bottom</wp:align>
              </wp:positionV>
              <wp:extent cx="2085975" cy="335280"/>
              <wp:effectExtent l="0" t="0" r="9525" b="0"/>
              <wp:wrapNone/>
              <wp:docPr id="1503946965" name="Text Box 4"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35280"/>
                      </a:xfrm>
                      <a:prstGeom prst="rect">
                        <a:avLst/>
                      </a:prstGeom>
                      <a:noFill/>
                      <a:ln>
                        <a:noFill/>
                      </a:ln>
                    </wps:spPr>
                    <wps:txbx>
                      <w:txbxContent>
                        <w:p w14:paraId="560EBF8F" w14:textId="0ED7AE63" w:rsidR="00B822A8" w:rsidRPr="00B822A8" w:rsidRDefault="00B822A8" w:rsidP="00B822A8">
                          <w:pPr>
                            <w:spacing w:after="0"/>
                            <w:rPr>
                              <w:rFonts w:ascii="Rockwell" w:eastAsia="Rockwell" w:hAnsi="Rockwell" w:cs="Rockwell"/>
                              <w:noProof/>
                              <w:color w:val="0078D7"/>
                              <w:sz w:val="18"/>
                              <w:szCs w:val="18"/>
                            </w:rPr>
                          </w:pPr>
                          <w:r w:rsidRPr="00B822A8">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3296C44" id="_x0000_t202" coordsize="21600,21600" o:spt="202" path="m,l,21600r21600,l21600,xe">
              <v:stroke joinstyle="miter"/>
              <v:path gradientshapeok="t" o:connecttype="rect"/>
            </v:shapetype>
            <v:shape id="Text Box 4" o:spid="_x0000_s1027" type="#_x0000_t202" alt="Information Classification: General" style="position:absolute;margin-left:0;margin-top:0;width:164.25pt;height:26.4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" filled="f" stroked="f">
              <v:fill o:detectmouseclick="t"/>
              <v:textbox style="mso-fit-shape-to-text:t" inset="20pt,0,0,15pt">
                <w:txbxContent>
                  <w:p w14:paraId="560EBF8F" w14:textId="0ED7AE63" w:rsidR="00B822A8" w:rsidRPr="00B822A8" w:rsidRDefault="00B822A8" w:rsidP="00B822A8">
                    <w:pPr>
                      <w:spacing w:after="0"/>
                      <w:rPr>
                        <w:rFonts w:ascii="Rockwell" w:eastAsia="Rockwell" w:hAnsi="Rockwell" w:cs="Rockwell"/>
                        <w:noProof/>
                        <w:color w:val="0078D7"/>
                        <w:sz w:val="18"/>
                        <w:szCs w:val="18"/>
                      </w:rPr>
                    </w:pPr>
                    <w:r w:rsidRPr="00B822A8">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109E9" w14:textId="3252B06A" w:rsidR="00B822A8" w:rsidRDefault="00B822A8">
    <w:pPr>
      <w:pStyle w:val="Footer"/>
    </w:pPr>
    <w:r>
      <w:rPr>
        <w:noProof/>
      </w:rPr>
      <mc:AlternateContent>
        <mc:Choice Requires="wps">
          <w:drawing>
            <wp:anchor distT="0" distB="0" distL="0" distR="0" simplePos="0" relativeHeight="251658240" behindDoc="0" locked="0" layoutInCell="1" allowOverlap="1" wp14:anchorId="29469B0A" wp14:editId="74BB25EB">
              <wp:simplePos x="635" y="635"/>
              <wp:positionH relativeFrom="page">
                <wp:align>left</wp:align>
              </wp:positionH>
              <wp:positionV relativeFrom="page">
                <wp:align>bottom</wp:align>
              </wp:positionV>
              <wp:extent cx="2085975" cy="335280"/>
              <wp:effectExtent l="0" t="0" r="9525" b="0"/>
              <wp:wrapNone/>
              <wp:docPr id="1999419615" name="Text Box 2"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35280"/>
                      </a:xfrm>
                      <a:prstGeom prst="rect">
                        <a:avLst/>
                      </a:prstGeom>
                      <a:noFill/>
                      <a:ln>
                        <a:noFill/>
                      </a:ln>
                    </wps:spPr>
                    <wps:txbx>
                      <w:txbxContent>
                        <w:p w14:paraId="1AB2C281" w14:textId="56DC7C1E" w:rsidR="00B822A8" w:rsidRPr="00B822A8" w:rsidRDefault="00B822A8" w:rsidP="00B822A8">
                          <w:pPr>
                            <w:spacing w:after="0"/>
                            <w:rPr>
                              <w:rFonts w:ascii="Rockwell" w:eastAsia="Rockwell" w:hAnsi="Rockwell" w:cs="Rockwell"/>
                              <w:noProof/>
                              <w:color w:val="0078D7"/>
                              <w:sz w:val="18"/>
                              <w:szCs w:val="18"/>
                            </w:rPr>
                          </w:pPr>
                          <w:r w:rsidRPr="00B822A8">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9469B0A" id="_x0000_t202" coordsize="21600,21600" o:spt="202" path="m,l,21600r21600,l21600,xe">
              <v:stroke joinstyle="miter"/>
              <v:path gradientshapeok="t" o:connecttype="rect"/>
            </v:shapetype>
            <v:shape id="Text Box 2" o:spid="_x0000_s1028" type="#_x0000_t202" alt="Information Classification: General" style="position:absolute;margin-left:0;margin-top:0;width:164.25pt;height:26.4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" filled="f" stroked="f">
              <v:fill o:detectmouseclick="t"/>
              <v:textbox style="mso-fit-shape-to-text:t" inset="20pt,0,0,15pt">
                <w:txbxContent>
                  <w:p w14:paraId="1AB2C281" w14:textId="56DC7C1E" w:rsidR="00B822A8" w:rsidRPr="00B822A8" w:rsidRDefault="00B822A8" w:rsidP="00B822A8">
                    <w:pPr>
                      <w:spacing w:after="0"/>
                      <w:rPr>
                        <w:rFonts w:ascii="Rockwell" w:eastAsia="Rockwell" w:hAnsi="Rockwell" w:cs="Rockwell"/>
                        <w:noProof/>
                        <w:color w:val="0078D7"/>
                        <w:sz w:val="18"/>
                        <w:szCs w:val="18"/>
                      </w:rPr>
                    </w:pPr>
                    <w:r w:rsidRPr="00B822A8">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599C0" w14:textId="77777777" w:rsidR="00BB201F" w:rsidRDefault="00BB201F" w:rsidP="003E539C">
      <w:pPr>
        <w:spacing w:after="0" w:line="240" w:lineRule="auto"/>
      </w:pPr>
      <w:r>
        <w:separator/>
      </w:r>
    </w:p>
  </w:footnote>
  <w:footnote w:type="continuationSeparator" w:id="0">
    <w:p w14:paraId="517765FD" w14:textId="77777777" w:rsidR="00BB201F" w:rsidRDefault="00BB201F" w:rsidP="003E53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39C"/>
    <w:rsid w:val="00101D5B"/>
    <w:rsid w:val="003E539C"/>
    <w:rsid w:val="005122DE"/>
    <w:rsid w:val="00542C11"/>
    <w:rsid w:val="007D1895"/>
    <w:rsid w:val="00B601C8"/>
    <w:rsid w:val="00B822A8"/>
    <w:rsid w:val="00B95BA1"/>
    <w:rsid w:val="00BB201F"/>
    <w:rsid w:val="00C77B77"/>
    <w:rsid w:val="00D14E80"/>
    <w:rsid w:val="00F14D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FCDE6"/>
  <w15:chartTrackingRefBased/>
  <w15:docId w15:val="{60A3E713-B938-4178-9E4C-1050497CF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3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E53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E53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E53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53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53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3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3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3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3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E53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53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53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53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53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53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53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539C"/>
    <w:rPr>
      <w:rFonts w:eastAsiaTheme="majorEastAsia" w:cstheme="majorBidi"/>
      <w:color w:val="272727" w:themeColor="text1" w:themeTint="D8"/>
    </w:rPr>
  </w:style>
  <w:style w:type="paragraph" w:styleId="Title">
    <w:name w:val="Title"/>
    <w:basedOn w:val="Normal"/>
    <w:next w:val="Normal"/>
    <w:link w:val="TitleChar"/>
    <w:uiPriority w:val="10"/>
    <w:qFormat/>
    <w:rsid w:val="003E53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3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53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53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39C"/>
    <w:pPr>
      <w:spacing w:before="160"/>
      <w:jc w:val="center"/>
    </w:pPr>
    <w:rPr>
      <w:i/>
      <w:iCs/>
      <w:color w:val="404040" w:themeColor="text1" w:themeTint="BF"/>
    </w:rPr>
  </w:style>
  <w:style w:type="character" w:customStyle="1" w:styleId="QuoteChar">
    <w:name w:val="Quote Char"/>
    <w:basedOn w:val="DefaultParagraphFont"/>
    <w:link w:val="Quote"/>
    <w:uiPriority w:val="29"/>
    <w:rsid w:val="003E539C"/>
    <w:rPr>
      <w:i/>
      <w:iCs/>
      <w:color w:val="404040" w:themeColor="text1" w:themeTint="BF"/>
    </w:rPr>
  </w:style>
  <w:style w:type="paragraph" w:styleId="ListParagraph">
    <w:name w:val="List Paragraph"/>
    <w:basedOn w:val="Normal"/>
    <w:uiPriority w:val="34"/>
    <w:qFormat/>
    <w:rsid w:val="003E539C"/>
    <w:pPr>
      <w:ind w:left="720"/>
      <w:contextualSpacing/>
    </w:pPr>
  </w:style>
  <w:style w:type="character" w:styleId="IntenseEmphasis">
    <w:name w:val="Intense Emphasis"/>
    <w:basedOn w:val="DefaultParagraphFont"/>
    <w:uiPriority w:val="21"/>
    <w:qFormat/>
    <w:rsid w:val="003E539C"/>
    <w:rPr>
      <w:i/>
      <w:iCs/>
      <w:color w:val="2F5496" w:themeColor="accent1" w:themeShade="BF"/>
    </w:rPr>
  </w:style>
  <w:style w:type="paragraph" w:styleId="IntenseQuote">
    <w:name w:val="Intense Quote"/>
    <w:basedOn w:val="Normal"/>
    <w:next w:val="Normal"/>
    <w:link w:val="IntenseQuoteChar"/>
    <w:uiPriority w:val="30"/>
    <w:qFormat/>
    <w:rsid w:val="003E53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539C"/>
    <w:rPr>
      <w:i/>
      <w:iCs/>
      <w:color w:val="2F5496" w:themeColor="accent1" w:themeShade="BF"/>
    </w:rPr>
  </w:style>
  <w:style w:type="character" w:styleId="IntenseReference">
    <w:name w:val="Intense Reference"/>
    <w:basedOn w:val="DefaultParagraphFont"/>
    <w:uiPriority w:val="32"/>
    <w:qFormat/>
    <w:rsid w:val="003E539C"/>
    <w:rPr>
      <w:b/>
      <w:bCs/>
      <w:smallCaps/>
      <w:color w:val="2F5496" w:themeColor="accent1" w:themeShade="BF"/>
      <w:spacing w:val="5"/>
    </w:rPr>
  </w:style>
  <w:style w:type="table" w:styleId="TableGrid">
    <w:name w:val="Table Grid"/>
    <w:basedOn w:val="TableNormal"/>
    <w:uiPriority w:val="39"/>
    <w:rsid w:val="003E53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5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39C"/>
  </w:style>
  <w:style w:type="paragraph" w:styleId="Footer">
    <w:name w:val="footer"/>
    <w:basedOn w:val="Normal"/>
    <w:link w:val="FooterChar"/>
    <w:uiPriority w:val="99"/>
    <w:unhideWhenUsed/>
    <w:rsid w:val="003E5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3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92</Words>
  <Characters>528</Characters>
  <Application>Microsoft Office Word</Application>
  <DocSecurity>0</DocSecurity>
  <Lines>4</Lines>
  <Paragraphs>1</Paragraphs>
  <ScaleCrop>false</ScaleCrop>
  <Company/>
  <LinksUpToDate>false</LinksUpToDate>
  <CharactersWithSpaces>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Nowra Reception</dc:creator>
  <cp:keywords/>
  <dc:description/>
  <cp:lastModifiedBy>Buchanan, Grace</cp:lastModifiedBy>
  <cp:revision>2</cp:revision>
  <dcterms:created xsi:type="dcterms:W3CDTF">2026-06-05T00:01:00Z</dcterms:created>
  <dcterms:modified xsi:type="dcterms:W3CDTF">2026-06-05T00:01:00Z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772cb8df,e1aa923,59a468d5</vt:lpwstr>
  </property>
  <property fmtid="{D5CDD505-2E9C-101B-9397-08002B2CF9AE}" pid="3" name="ClassificationContentMarkingFooterFontProps">
    <vt:lpwstr>#0078d7,9,Rockwell</vt:lpwstr>
  </property>
  <property fmtid="{D5CDD505-2E9C-101B-9397-08002B2CF9AE}" pid="4" name="ClassificationContentMarkingFooterText">
    <vt:lpwstr>Information Classification: General</vt:lpwstr>
  </property>
  <property fmtid="{D5CDD505-2E9C-101B-9397-08002B2CF9AE}" pid="5" name="MSIP_Label_2bbab825-a111-45e4-86a1-18cee0005896_Enabled">
    <vt:lpwstr>true</vt:lpwstr>
  </property>
  <property fmtid="{D5CDD505-2E9C-101B-9397-08002B2CF9AE}" pid="6" name="MSIP_Label_2bbab825-a111-45e4-86a1-18cee0005896_SetDate">
    <vt:lpwstr>2026-06-05T00:01:24Z</vt:lpwstr>
  </property>
  <property fmtid="{D5CDD505-2E9C-101B-9397-08002B2CF9AE}" pid="7" name="MSIP_Label_2bbab825-a111-45e4-86a1-18cee0005896_Method">
    <vt:lpwstr>Standard</vt:lpwstr>
  </property>
  <property fmtid="{D5CDD505-2E9C-101B-9397-08002B2CF9AE}" pid="8" name="MSIP_Label_2bbab825-a111-45e4-86a1-18cee0005896_Name">
    <vt:lpwstr>2bbab825-a111-45e4-86a1-18cee0005896</vt:lpwstr>
  </property>
  <property fmtid="{D5CDD505-2E9C-101B-9397-08002B2CF9AE}" pid="9" name="MSIP_Label_2bbab825-a111-45e4-86a1-18cee0005896_SiteId">
    <vt:lpwstr>2567d566-604c-408a-8a60-55d0dc9d9d6b</vt:lpwstr>
  </property>
  <property fmtid="{D5CDD505-2E9C-101B-9397-08002B2CF9AE}" pid="10" name="MSIP_Label_2bbab825-a111-45e4-86a1-18cee0005896_ActionId">
    <vt:lpwstr>2ae3ad93-6ae2-4ae5-ac2b-23908e9997b1</vt:lpwstr>
  </property>
  <property fmtid="{D5CDD505-2E9C-101B-9397-08002B2CF9AE}" pid="11" name="MSIP_Label_2bbab825-a111-45e4-86a1-18cee0005896_ContentBits">
    <vt:lpwstr>2</vt:lpwstr>
  </property>
  <property fmtid="{D5CDD505-2E9C-101B-9397-08002B2CF9AE}" pid="12" name="MSIP_Label_2bbab825-a111-45e4-86a1-18cee0005896_Tag">
    <vt:lpwstr>10, 3, 0, 1</vt:lpwstr>
  </property>
</Properties>
</file>