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4F9" w:rsidRDefault="00000000">
      <w:pPr>
        <w:jc w:val="center"/>
      </w:pPr>
      <w:r>
        <w:rPr>
          <w:b/>
          <w:sz w:val="24"/>
        </w:rPr>
        <w:t>Supplementary Table 1. Schedule of Assessments</w:t>
      </w:r>
    </w:p>
    <w:p w:rsidR="001574F9" w:rsidRDefault="00000000">
      <w:r>
        <w:t>X indicates that the assessment/procedure is performed at the corresponding visit. Abbreviations: AE, adverse event; CTCAE, Common Terminology Criteria for Adverse Events; ECOG PS, Eastern Cooperative Oncology Group performance status; HBV, hepatitis B virus; HCV, hepatitis C virus; HIV, human immunodeficiency virus; INR, international normalized ratio; PT, prothrombin time; RECIST, Response Evaluation Criteria in Solid Tumours; SAE, serious adverse event.</w:t>
      </w:r>
    </w:p>
    <w:tbl>
      <w:tblPr>
        <w:tblStyle w:val="aff1"/>
        <w:tblW w:w="0" w:type="auto"/>
        <w:jc w:val="center"/>
        <w:tblLayout w:type="fixed"/>
        <w:tblLook w:val="04A0" w:firstRow="1" w:lastRow="0" w:firstColumn="1" w:lastColumn="0" w:noHBand="0" w:noVBand="1"/>
      </w:tblPr>
      <w:tblGrid>
        <w:gridCol w:w="5544"/>
        <w:gridCol w:w="1728"/>
        <w:gridCol w:w="2664"/>
        <w:gridCol w:w="2664"/>
        <w:gridCol w:w="2376"/>
      </w:tblGrid>
      <w:tr w:rsidR="001574F9">
        <w:trPr>
          <w:tblHeader/>
          <w:jc w:val="center"/>
        </w:trPr>
        <w:tc>
          <w:tcPr>
            <w:tcW w:w="5544" w:type="dxa"/>
            <w:tcMar>
              <w:top w:w="50" w:type="dxa"/>
              <w:left w:w="50" w:type="dxa"/>
              <w:bottom w:w="50" w:type="dxa"/>
              <w:right w:w="50" w:type="dxa"/>
            </w:tcMar>
            <w:vAlign w:val="center"/>
          </w:tcPr>
          <w:p w:rsidR="001574F9" w:rsidRDefault="00000000">
            <w:pPr>
              <w:jc w:val="center"/>
            </w:pPr>
            <w:r>
              <w:rPr>
                <w:b/>
                <w:sz w:val="15"/>
              </w:rPr>
              <w:t>Assessment / procedure</w:t>
            </w:r>
          </w:p>
        </w:tc>
        <w:tc>
          <w:tcPr>
            <w:tcW w:w="1728" w:type="dxa"/>
            <w:tcMar>
              <w:top w:w="50" w:type="dxa"/>
              <w:left w:w="50" w:type="dxa"/>
              <w:bottom w:w="50" w:type="dxa"/>
              <w:right w:w="50" w:type="dxa"/>
            </w:tcMar>
            <w:vAlign w:val="center"/>
          </w:tcPr>
          <w:p w:rsidR="001574F9" w:rsidRDefault="00000000">
            <w:pPr>
              <w:jc w:val="center"/>
            </w:pPr>
            <w:r>
              <w:rPr>
                <w:b/>
                <w:sz w:val="15"/>
              </w:rPr>
              <w:t>Screening</w:t>
            </w:r>
            <w:r>
              <w:rPr>
                <w:b/>
                <w:sz w:val="15"/>
              </w:rPr>
              <w:br/>
              <w:t>(Day -28 to -1)</w:t>
            </w:r>
          </w:p>
        </w:tc>
        <w:tc>
          <w:tcPr>
            <w:tcW w:w="2664" w:type="dxa"/>
            <w:tcMar>
              <w:top w:w="50" w:type="dxa"/>
              <w:left w:w="50" w:type="dxa"/>
              <w:bottom w:w="50" w:type="dxa"/>
              <w:right w:w="50" w:type="dxa"/>
            </w:tcMar>
            <w:vAlign w:val="center"/>
          </w:tcPr>
          <w:p w:rsidR="001574F9" w:rsidRDefault="00000000">
            <w:pPr>
              <w:jc w:val="center"/>
            </w:pPr>
            <w:r>
              <w:rPr>
                <w:b/>
                <w:sz w:val="15"/>
              </w:rPr>
              <w:t>Treatment period</w:t>
            </w:r>
            <w:r>
              <w:rPr>
                <w:b/>
                <w:sz w:val="15"/>
              </w:rPr>
              <w:br/>
              <w:t>(each cycle, Day 1 ± 3 days)</w:t>
            </w:r>
          </w:p>
        </w:tc>
        <w:tc>
          <w:tcPr>
            <w:tcW w:w="2664" w:type="dxa"/>
            <w:tcMar>
              <w:top w:w="50" w:type="dxa"/>
              <w:left w:w="50" w:type="dxa"/>
              <w:bottom w:w="50" w:type="dxa"/>
              <w:right w:w="50" w:type="dxa"/>
            </w:tcMar>
            <w:vAlign w:val="center"/>
          </w:tcPr>
          <w:p w:rsidR="001574F9" w:rsidRDefault="00000000">
            <w:pPr>
              <w:jc w:val="center"/>
            </w:pPr>
            <w:r>
              <w:rPr>
                <w:b/>
                <w:sz w:val="15"/>
              </w:rPr>
              <w:t>Safety follow-up</w:t>
            </w:r>
            <w:r>
              <w:rPr>
                <w:b/>
                <w:sz w:val="15"/>
              </w:rPr>
              <w:br/>
              <w:t>(30 ± 7 days after last dose)</w:t>
            </w:r>
            <w:r>
              <w:rPr>
                <w:b/>
                <w:sz w:val="13"/>
                <w:vertAlign w:val="superscript"/>
              </w:rPr>
              <w:t>o</w:t>
            </w:r>
          </w:p>
        </w:tc>
        <w:tc>
          <w:tcPr>
            <w:tcW w:w="2376" w:type="dxa"/>
            <w:tcMar>
              <w:top w:w="50" w:type="dxa"/>
              <w:left w:w="50" w:type="dxa"/>
              <w:bottom w:w="50" w:type="dxa"/>
              <w:right w:w="50" w:type="dxa"/>
            </w:tcMar>
            <w:vAlign w:val="center"/>
          </w:tcPr>
          <w:p w:rsidR="001574F9" w:rsidRDefault="00000000">
            <w:pPr>
              <w:jc w:val="center"/>
            </w:pPr>
            <w:r>
              <w:rPr>
                <w:b/>
                <w:sz w:val="15"/>
              </w:rPr>
              <w:t>Survival follow-up</w:t>
            </w:r>
            <w:r>
              <w:rPr>
                <w:b/>
                <w:sz w:val="15"/>
              </w:rPr>
              <w:br/>
              <w:t>(every 90 ± 7 days)</w:t>
            </w:r>
          </w:p>
        </w:tc>
      </w:tr>
      <w:tr w:rsidR="001574F9">
        <w:trPr>
          <w:jc w:val="center"/>
        </w:trPr>
        <w:tc>
          <w:tcPr>
            <w:tcW w:w="5544" w:type="dxa"/>
            <w:tcMar>
              <w:top w:w="40" w:type="dxa"/>
              <w:left w:w="45" w:type="dxa"/>
              <w:bottom w:w="40" w:type="dxa"/>
              <w:right w:w="45" w:type="dxa"/>
            </w:tcMar>
            <w:vAlign w:val="center"/>
          </w:tcPr>
          <w:p w:rsidR="001574F9" w:rsidRDefault="00000000">
            <w:r>
              <w:rPr>
                <w:sz w:val="15"/>
              </w:rPr>
              <w:t>Written informed consent</w:t>
            </w:r>
            <w:r>
              <w:rPr>
                <w:sz w:val="13"/>
                <w:vertAlign w:val="superscript"/>
              </w:rPr>
              <w:t>a</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Inclusion/exclusion criteria</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Demographics, medical history and prior anticancer treatment</w:t>
            </w:r>
            <w:r>
              <w:rPr>
                <w:sz w:val="13"/>
                <w:vertAlign w:val="superscript"/>
              </w:rPr>
              <w:t>b</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Prior and concomitant medications</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Vital signs</w:t>
            </w:r>
            <w:r>
              <w:rPr>
                <w:sz w:val="13"/>
                <w:vertAlign w:val="superscript"/>
              </w:rPr>
              <w:t>c</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Weight / height</w:t>
            </w:r>
            <w:r>
              <w:rPr>
                <w:sz w:val="13"/>
                <w:vertAlign w:val="superscript"/>
              </w:rPr>
              <w:t>d</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Complete physical examination</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ECOG performance status</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12-lead electrocardiogram</w:t>
            </w:r>
            <w:r>
              <w:rPr>
                <w:sz w:val="13"/>
                <w:vertAlign w:val="superscript"/>
              </w:rPr>
              <w:t>e</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Hematology</w:t>
            </w:r>
            <w:r>
              <w:rPr>
                <w:sz w:val="13"/>
                <w:vertAlign w:val="superscript"/>
              </w:rPr>
              <w:t>f</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Serum biochemistry</w:t>
            </w:r>
            <w:r>
              <w:rPr>
                <w:sz w:val="13"/>
                <w:vertAlign w:val="superscript"/>
              </w:rPr>
              <w:t>f</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Urinalysis</w:t>
            </w:r>
            <w:r>
              <w:rPr>
                <w:sz w:val="13"/>
                <w:vertAlign w:val="superscript"/>
              </w:rPr>
              <w:t>f</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Coagulation function</w:t>
            </w:r>
            <w:r>
              <w:rPr>
                <w:sz w:val="13"/>
                <w:vertAlign w:val="superscript"/>
              </w:rPr>
              <w:t>g</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Pregnancy test</w:t>
            </w:r>
            <w:r>
              <w:rPr>
                <w:sz w:val="13"/>
                <w:vertAlign w:val="superscript"/>
              </w:rPr>
              <w:t>h</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Thyroid function</w:t>
            </w:r>
            <w:r>
              <w:rPr>
                <w:sz w:val="13"/>
                <w:vertAlign w:val="superscript"/>
              </w:rPr>
              <w:t>i</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Myocardial enzyme tests</w:t>
            </w:r>
            <w:r>
              <w:rPr>
                <w:sz w:val="13"/>
                <w:vertAlign w:val="superscript"/>
              </w:rPr>
              <w:t>i</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Viral serology (HIV, HBV and HCV)</w:t>
            </w:r>
            <w:r>
              <w:rPr>
                <w:sz w:val="13"/>
                <w:vertAlign w:val="superscript"/>
              </w:rPr>
              <w:t>j</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HCV-RNA if anti-HCV positive</w:t>
            </w:r>
            <w:r>
              <w:rPr>
                <w:sz w:val="13"/>
                <w:vertAlign w:val="superscript"/>
              </w:rPr>
              <w:t>k</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HBV-DNA if HBsAg and/or anti-HBc positive</w:t>
            </w:r>
            <w:r>
              <w:rPr>
                <w:sz w:val="13"/>
                <w:vertAlign w:val="superscript"/>
              </w:rPr>
              <w:t>l</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Study drug administration</w:t>
            </w:r>
          </w:p>
        </w:tc>
        <w:tc>
          <w:tcPr>
            <w:tcW w:w="1728"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Tumour imaging assessment</w:t>
            </w:r>
            <w:r>
              <w:rPr>
                <w:sz w:val="13"/>
                <w:vertAlign w:val="superscript"/>
              </w:rPr>
              <w:t>m</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000000">
            <w:pPr>
              <w:jc w:val="center"/>
            </w:pPr>
            <w:r>
              <w:rPr>
                <w:sz w:val="15"/>
              </w:rPr>
              <w:t>X</w:t>
            </w:r>
          </w:p>
        </w:tc>
      </w:tr>
      <w:tr w:rsidR="001574F9">
        <w:trPr>
          <w:jc w:val="center"/>
        </w:trPr>
        <w:tc>
          <w:tcPr>
            <w:tcW w:w="5544" w:type="dxa"/>
            <w:tcMar>
              <w:top w:w="40" w:type="dxa"/>
              <w:left w:w="45" w:type="dxa"/>
              <w:bottom w:w="40" w:type="dxa"/>
              <w:right w:w="45" w:type="dxa"/>
            </w:tcMar>
            <w:vAlign w:val="center"/>
          </w:tcPr>
          <w:p w:rsidR="001574F9" w:rsidRDefault="00000000">
            <w:r>
              <w:rPr>
                <w:sz w:val="15"/>
              </w:rPr>
              <w:t>Adverse event assessment</w:t>
            </w:r>
            <w:r>
              <w:rPr>
                <w:sz w:val="13"/>
                <w:vertAlign w:val="superscript"/>
              </w:rPr>
              <w:t>n</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376" w:type="dxa"/>
            <w:tcMar>
              <w:top w:w="40" w:type="dxa"/>
              <w:left w:w="45" w:type="dxa"/>
              <w:bottom w:w="40" w:type="dxa"/>
              <w:right w:w="45" w:type="dxa"/>
            </w:tcMar>
            <w:vAlign w:val="center"/>
          </w:tcPr>
          <w:p w:rsidR="001574F9" w:rsidRDefault="001574F9">
            <w:pPr>
              <w:jc w:val="center"/>
            </w:pPr>
          </w:p>
        </w:tc>
      </w:tr>
      <w:tr w:rsidR="001574F9">
        <w:trPr>
          <w:jc w:val="center"/>
        </w:trPr>
        <w:tc>
          <w:tcPr>
            <w:tcW w:w="5544" w:type="dxa"/>
            <w:tcMar>
              <w:top w:w="40" w:type="dxa"/>
              <w:left w:w="45" w:type="dxa"/>
              <w:bottom w:w="40" w:type="dxa"/>
              <w:right w:w="45" w:type="dxa"/>
            </w:tcMar>
            <w:vAlign w:val="center"/>
          </w:tcPr>
          <w:p w:rsidR="001574F9" w:rsidRDefault="00000000">
            <w:r>
              <w:rPr>
                <w:sz w:val="15"/>
              </w:rPr>
              <w:t>Subsequent anticancer therapy</w:t>
            </w:r>
          </w:p>
        </w:tc>
        <w:tc>
          <w:tcPr>
            <w:tcW w:w="1728"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000000">
            <w:pPr>
              <w:jc w:val="center"/>
            </w:pPr>
            <w:r>
              <w:rPr>
                <w:sz w:val="15"/>
              </w:rPr>
              <w:t>X</w:t>
            </w:r>
          </w:p>
        </w:tc>
      </w:tr>
      <w:tr w:rsidR="001574F9">
        <w:trPr>
          <w:jc w:val="center"/>
        </w:trPr>
        <w:tc>
          <w:tcPr>
            <w:tcW w:w="5544" w:type="dxa"/>
            <w:tcMar>
              <w:top w:w="40" w:type="dxa"/>
              <w:left w:w="45" w:type="dxa"/>
              <w:bottom w:w="40" w:type="dxa"/>
              <w:right w:w="45" w:type="dxa"/>
            </w:tcMar>
            <w:vAlign w:val="center"/>
          </w:tcPr>
          <w:p w:rsidR="001574F9" w:rsidRDefault="00000000">
            <w:r>
              <w:rPr>
                <w:sz w:val="15"/>
              </w:rPr>
              <w:t>Survival status</w:t>
            </w:r>
          </w:p>
        </w:tc>
        <w:tc>
          <w:tcPr>
            <w:tcW w:w="1728"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1574F9">
            <w:pPr>
              <w:jc w:val="center"/>
            </w:pP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000000">
            <w:pPr>
              <w:jc w:val="center"/>
            </w:pPr>
            <w:r>
              <w:rPr>
                <w:sz w:val="15"/>
              </w:rPr>
              <w:t>X</w:t>
            </w:r>
          </w:p>
        </w:tc>
      </w:tr>
      <w:tr w:rsidR="001574F9">
        <w:trPr>
          <w:jc w:val="center"/>
        </w:trPr>
        <w:tc>
          <w:tcPr>
            <w:tcW w:w="5544" w:type="dxa"/>
            <w:tcMar>
              <w:top w:w="40" w:type="dxa"/>
              <w:left w:w="45" w:type="dxa"/>
              <w:bottom w:w="40" w:type="dxa"/>
              <w:right w:w="45" w:type="dxa"/>
            </w:tcMar>
            <w:vAlign w:val="center"/>
          </w:tcPr>
          <w:p w:rsidR="001574F9" w:rsidRDefault="00000000">
            <w:r>
              <w:rPr>
                <w:sz w:val="15"/>
              </w:rPr>
              <w:t>Biomarker specimen collection (if applicable)</w:t>
            </w:r>
          </w:p>
        </w:tc>
        <w:tc>
          <w:tcPr>
            <w:tcW w:w="1728"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000000">
            <w:pPr>
              <w:jc w:val="center"/>
            </w:pPr>
            <w:r>
              <w:rPr>
                <w:sz w:val="15"/>
              </w:rPr>
              <w:t>X</w:t>
            </w:r>
          </w:p>
        </w:tc>
        <w:tc>
          <w:tcPr>
            <w:tcW w:w="2664" w:type="dxa"/>
            <w:tcMar>
              <w:top w:w="40" w:type="dxa"/>
              <w:left w:w="45" w:type="dxa"/>
              <w:bottom w:w="40" w:type="dxa"/>
              <w:right w:w="45" w:type="dxa"/>
            </w:tcMar>
            <w:vAlign w:val="center"/>
          </w:tcPr>
          <w:p w:rsidR="001574F9" w:rsidRDefault="001574F9">
            <w:pPr>
              <w:jc w:val="center"/>
            </w:pPr>
          </w:p>
        </w:tc>
        <w:tc>
          <w:tcPr>
            <w:tcW w:w="2376" w:type="dxa"/>
            <w:tcMar>
              <w:top w:w="40" w:type="dxa"/>
              <w:left w:w="45" w:type="dxa"/>
              <w:bottom w:w="40" w:type="dxa"/>
              <w:right w:w="45" w:type="dxa"/>
            </w:tcMar>
            <w:vAlign w:val="center"/>
          </w:tcPr>
          <w:p w:rsidR="001574F9" w:rsidRDefault="00000000">
            <w:pPr>
              <w:jc w:val="center"/>
            </w:pPr>
            <w:r>
              <w:rPr>
                <w:sz w:val="15"/>
              </w:rPr>
              <w:t>X</w:t>
            </w:r>
          </w:p>
        </w:tc>
      </w:tr>
    </w:tbl>
    <w:p w:rsidR="001574F9" w:rsidRDefault="00000000">
      <w:r>
        <w:rPr>
          <w:b/>
          <w:sz w:val="18"/>
        </w:rPr>
        <w:t>Footnotes</w:t>
      </w:r>
    </w:p>
    <w:p w:rsidR="001574F9" w:rsidRDefault="00000000">
      <w:pPr>
        <w:spacing w:after="0" w:line="240" w:lineRule="auto"/>
      </w:pPr>
      <w:r>
        <w:rPr>
          <w:sz w:val="14"/>
          <w:vertAlign w:val="superscript"/>
        </w:rPr>
        <w:t>a</w:t>
      </w:r>
      <w:r>
        <w:rPr>
          <w:sz w:val="15"/>
        </w:rPr>
        <w:t xml:space="preserve"> Written informed consent must be obtained before any protocol-specified procedure.</w:t>
      </w:r>
    </w:p>
    <w:p w:rsidR="001574F9" w:rsidRDefault="00000000">
      <w:pPr>
        <w:spacing w:after="0" w:line="240" w:lineRule="auto"/>
      </w:pPr>
      <w:r>
        <w:rPr>
          <w:sz w:val="14"/>
          <w:vertAlign w:val="superscript"/>
        </w:rPr>
        <w:t>b</w:t>
      </w:r>
      <w:r>
        <w:rPr>
          <w:sz w:val="15"/>
        </w:rPr>
        <w:t xml:space="preserve"> Prior anticancer treatment refers to all treatments for the study tumour, including chemotherapy, radiotherapy and surgery.</w:t>
      </w:r>
    </w:p>
    <w:p w:rsidR="001574F9" w:rsidRDefault="00000000">
      <w:pPr>
        <w:spacing w:after="0" w:line="240" w:lineRule="auto"/>
      </w:pPr>
      <w:r>
        <w:rPr>
          <w:sz w:val="14"/>
          <w:vertAlign w:val="superscript"/>
        </w:rPr>
        <w:t>c</w:t>
      </w:r>
      <w:r>
        <w:rPr>
          <w:sz w:val="15"/>
        </w:rPr>
        <w:t xml:space="preserve"> Vital signs include body temperature, pulse, respiratory rate and blood pressure.</w:t>
      </w:r>
    </w:p>
    <w:p w:rsidR="001574F9" w:rsidRDefault="00000000">
      <w:pPr>
        <w:spacing w:after="0" w:line="240" w:lineRule="auto"/>
      </w:pPr>
      <w:r>
        <w:rPr>
          <w:sz w:val="14"/>
          <w:vertAlign w:val="superscript"/>
        </w:rPr>
        <w:t>d</w:t>
      </w:r>
      <w:r>
        <w:rPr>
          <w:sz w:val="15"/>
        </w:rPr>
        <w:t xml:space="preserve"> Height is measured only during screening. Weight is measured before each dose. If weight changes by less than 10% from baseline, baseline weight may be used for dose calculation; otherwise, the scheduled dosing-day weight should be used.</w:t>
      </w:r>
    </w:p>
    <w:p w:rsidR="001574F9" w:rsidRDefault="00000000">
      <w:pPr>
        <w:spacing w:after="0" w:line="240" w:lineRule="auto"/>
      </w:pPr>
      <w:r>
        <w:rPr>
          <w:sz w:val="14"/>
          <w:vertAlign w:val="superscript"/>
        </w:rPr>
        <w:t>e</w:t>
      </w:r>
      <w:r>
        <w:rPr>
          <w:sz w:val="15"/>
        </w:rPr>
        <w:t xml:space="preserve"> A 12-lead electrocardiogram is performed during screening, before dosing in each cycle and at the safety follow-up visit.</w:t>
      </w:r>
    </w:p>
    <w:p w:rsidR="001574F9" w:rsidRDefault="00000000">
      <w:pPr>
        <w:spacing w:after="0" w:line="240" w:lineRule="auto"/>
      </w:pPr>
      <w:r>
        <w:rPr>
          <w:sz w:val="14"/>
          <w:vertAlign w:val="superscript"/>
        </w:rPr>
        <w:t>f</w:t>
      </w:r>
      <w:r>
        <w:rPr>
          <w:sz w:val="15"/>
        </w:rPr>
        <w:t xml:space="preserve"> Hematology includes red blood cell count, haemoglobin, haematocrit, white blood cell count, platelet count and white blood cell differential. Serum biochemistry includes liver function, renal function, electrolytes, amylase/lipase and fasting glucose. Urinalysis includes pH, white blood cells, protein, red blood cells, glucose and specific gravity. If urine protein is &gt;=2+ at screening, 24-hour urine protein should be measured.</w:t>
      </w:r>
    </w:p>
    <w:p w:rsidR="001574F9" w:rsidRDefault="00000000">
      <w:pPr>
        <w:spacing w:after="0" w:line="240" w:lineRule="auto"/>
      </w:pPr>
      <w:r>
        <w:rPr>
          <w:sz w:val="14"/>
          <w:vertAlign w:val="superscript"/>
        </w:rPr>
        <w:t>g</w:t>
      </w:r>
      <w:r>
        <w:rPr>
          <w:sz w:val="15"/>
        </w:rPr>
        <w:t xml:space="preserve"> Coagulation function includes PT and INR.</w:t>
      </w:r>
    </w:p>
    <w:p w:rsidR="001574F9" w:rsidRDefault="00000000">
      <w:pPr>
        <w:spacing w:after="0" w:line="240" w:lineRule="auto"/>
      </w:pPr>
      <w:r>
        <w:rPr>
          <w:sz w:val="14"/>
          <w:vertAlign w:val="superscript"/>
        </w:rPr>
        <w:t>h</w:t>
      </w:r>
      <w:r>
        <w:rPr>
          <w:sz w:val="15"/>
        </w:rPr>
        <w:t xml:space="preserve"> Women of childbearing potential require urine or serum pregnancy testing within 3 days before the first dose. If urine testing is inconclusive, serum testing should be performed.</w:t>
      </w:r>
    </w:p>
    <w:p w:rsidR="001574F9" w:rsidRDefault="00000000">
      <w:pPr>
        <w:spacing w:after="0" w:line="240" w:lineRule="auto"/>
      </w:pPr>
      <w:r>
        <w:rPr>
          <w:sz w:val="14"/>
          <w:vertAlign w:val="superscript"/>
        </w:rPr>
        <w:lastRenderedPageBreak/>
        <w:t>i</w:t>
      </w:r>
      <w:r>
        <w:rPr>
          <w:sz w:val="15"/>
        </w:rPr>
        <w:t xml:space="preserve"> Thyroid function and myocardial enzyme tests are performed within 28 days before first dosing, before dosing in each cycle and at the safety follow-up visit.</w:t>
      </w:r>
    </w:p>
    <w:p w:rsidR="001574F9" w:rsidRDefault="00000000">
      <w:pPr>
        <w:spacing w:after="0" w:line="240" w:lineRule="auto"/>
      </w:pPr>
      <w:r>
        <w:rPr>
          <w:sz w:val="14"/>
          <w:vertAlign w:val="superscript"/>
        </w:rPr>
        <w:t>j</w:t>
      </w:r>
      <w:r>
        <w:rPr>
          <w:sz w:val="15"/>
        </w:rPr>
        <w:t xml:space="preserve"> Viral serology includes HIV antibody, HCV antibody and the HBV panel (HBsAg, HBsAb, HBcAb, HBeAg and HBeAb), completed within 28 days before the first dose.</w:t>
      </w:r>
    </w:p>
    <w:p w:rsidR="001574F9" w:rsidRDefault="00000000">
      <w:pPr>
        <w:spacing w:after="0" w:line="240" w:lineRule="auto"/>
      </w:pPr>
      <w:r>
        <w:rPr>
          <w:sz w:val="14"/>
          <w:vertAlign w:val="superscript"/>
        </w:rPr>
        <w:t>k</w:t>
      </w:r>
      <w:r>
        <w:rPr>
          <w:sz w:val="15"/>
        </w:rPr>
        <w:t xml:space="preserve"> For participants positive for anti-HCV antibody, HCV-RNA is measured every 3 weeks (21 ± 7 days) from first dosing, or earlier if clinically indicated.</w:t>
      </w:r>
    </w:p>
    <w:p w:rsidR="001574F9" w:rsidRDefault="00000000">
      <w:pPr>
        <w:spacing w:after="0" w:line="240" w:lineRule="auto"/>
      </w:pPr>
      <w:r>
        <w:rPr>
          <w:sz w:val="14"/>
          <w:vertAlign w:val="superscript"/>
        </w:rPr>
        <w:t>l</w:t>
      </w:r>
      <w:r>
        <w:rPr>
          <w:sz w:val="15"/>
        </w:rPr>
        <w:t xml:space="preserve"> For participants positive for HBsAg and/or anti-HBc, HBV-DNA is measured every 3 weeks (21 ± 7 days) from first dosing, or earlier if clinically indicated.</w:t>
      </w:r>
    </w:p>
    <w:p w:rsidR="001574F9" w:rsidRDefault="00000000">
      <w:pPr>
        <w:spacing w:after="0" w:line="240" w:lineRule="auto"/>
      </w:pPr>
      <w:r>
        <w:rPr>
          <w:sz w:val="14"/>
          <w:vertAlign w:val="superscript"/>
        </w:rPr>
        <w:t>m</w:t>
      </w:r>
      <w:r>
        <w:rPr>
          <w:sz w:val="15"/>
        </w:rPr>
        <w:t xml:space="preserve"> Tumour imaging is assessed according to RECIST v1.1. The same imaging modality should be used for each participant whenever feasible. Baseline imaging is performed within 28 days before enrolment. During study treatment and follow-up, imaging is performed every 12 weeks (±7 days). If radiological progression is first identified and the participant is clinically stable, repeat imaging at least 4 weeks later may be performed to confirm progression before treatment discontinuation. If clinical instability is present, confirmation is not required.</w:t>
      </w:r>
    </w:p>
    <w:p w:rsidR="001574F9" w:rsidRDefault="00000000">
      <w:pPr>
        <w:spacing w:after="0" w:line="240" w:lineRule="auto"/>
      </w:pPr>
      <w:r>
        <w:rPr>
          <w:sz w:val="14"/>
          <w:vertAlign w:val="superscript"/>
        </w:rPr>
        <w:t>n</w:t>
      </w:r>
      <w:r>
        <w:rPr>
          <w:sz w:val="15"/>
        </w:rPr>
        <w:t xml:space="preserve"> Adverse events and laboratory abnormalities are assessed according to CTCAE v5.0. AE/SAE definition, recording, causality assessment, severity grading, reporting timelines and management follow the protocol.</w:t>
      </w:r>
    </w:p>
    <w:p w:rsidR="001574F9" w:rsidRDefault="00000000">
      <w:pPr>
        <w:spacing w:after="0" w:line="240" w:lineRule="auto"/>
      </w:pPr>
      <w:r>
        <w:rPr>
          <w:sz w:val="14"/>
          <w:vertAlign w:val="superscript"/>
        </w:rPr>
        <w:t>o</w:t>
      </w:r>
      <w:r>
        <w:rPr>
          <w:sz w:val="15"/>
        </w:rPr>
        <w:t xml:space="preserve"> The safety follow-up visit occurs 30 ± 7 days after the last dose or before initiation of new anticancer therapy, whichever occurs first. SAEs occurring within 90 days after the last dose or before initiation of new anticancer therapy should be followed and recorded.</w:t>
      </w:r>
    </w:p>
    <w:sectPr w:rsidR="001574F9" w:rsidSect="00034616">
      <w:pgSz w:w="15840" w:h="12240" w:orient="landscape"/>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4845081">
    <w:abstractNumId w:val="8"/>
  </w:num>
  <w:num w:numId="2" w16cid:durableId="614675327">
    <w:abstractNumId w:val="6"/>
  </w:num>
  <w:num w:numId="3" w16cid:durableId="1611552535">
    <w:abstractNumId w:val="5"/>
  </w:num>
  <w:num w:numId="4" w16cid:durableId="385304142">
    <w:abstractNumId w:val="4"/>
  </w:num>
  <w:num w:numId="5" w16cid:durableId="1837067479">
    <w:abstractNumId w:val="7"/>
  </w:num>
  <w:num w:numId="6" w16cid:durableId="1967001451">
    <w:abstractNumId w:val="3"/>
  </w:num>
  <w:num w:numId="7" w16cid:durableId="623653741">
    <w:abstractNumId w:val="2"/>
  </w:num>
  <w:num w:numId="8" w16cid:durableId="1599748910">
    <w:abstractNumId w:val="1"/>
  </w:num>
  <w:num w:numId="9" w16cid:durableId="75355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Y_MEDREF_DOCUID" w:val="{7B25384F-035D-4251-825F-280870592FF0}"/>
    <w:docVar w:name="KY_MEDREF_VERSION" w:val="3"/>
  </w:docVars>
  <w:rsids>
    <w:rsidRoot w:val="00B47730"/>
    <w:rsid w:val="00034616"/>
    <w:rsid w:val="0006063C"/>
    <w:rsid w:val="0015074B"/>
    <w:rsid w:val="001574F9"/>
    <w:rsid w:val="0029639D"/>
    <w:rsid w:val="00326F90"/>
    <w:rsid w:val="00826A1A"/>
    <w:rsid w:val="00A8087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4A1E533-B544-47ED-B99A-DE0E4DA2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Arial" w:hAnsi="Arial"/>
      <w:sz w:val="16"/>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Carrie cheng</cp:lastModifiedBy>
  <cp:revision>2</cp:revision>
  <dcterms:created xsi:type="dcterms:W3CDTF">2013-12-23T23:15:00Z</dcterms:created>
  <dcterms:modified xsi:type="dcterms:W3CDTF">2026-05-30T03:55:00Z</dcterms:modified>
  <cp:category/>
</cp:coreProperties>
</file>