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DC1EB" w14:textId="77777777" w:rsidR="00B13704" w:rsidRDefault="00000000">
      <w:pPr>
        <w:spacing w:line="480" w:lineRule="auto"/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3380740" cy="6482715"/>
            <wp:effectExtent l="0" t="0" r="0" b="0"/>
            <wp:docPr id="27775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560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"/>
                    <a:stretch>
                      <a:fillRect/>
                    </a:stretch>
                  </pic:blipFill>
                  <pic:spPr>
                    <a:xfrm>
                      <a:off x="0" y="0"/>
                      <a:ext cx="3383051" cy="64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6892" w14:textId="77777777" w:rsidR="00B13704" w:rsidRDefault="00000000">
      <w:pPr>
        <w:spacing w:line="480" w:lineRule="auto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1. MSC-Exo uptake does not induce cytotoxicity in </w:t>
      </w:r>
      <w:proofErr w:type="spellStart"/>
      <w:r>
        <w:rPr>
          <w:rFonts w:ascii="Times New Roman" w:hAnsi="Times New Roman" w:cs="Times New Roman"/>
          <w:b/>
        </w:rPr>
        <w:t>hBMSCs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 xml:space="preserve">(A-B) Representative confocal laser microscopy images of </w:t>
      </w:r>
      <w:proofErr w:type="spellStart"/>
      <w:r>
        <w:rPr>
          <w:rFonts w:ascii="Times New Roman" w:hAnsi="Times New Roman" w:cs="Times New Roman"/>
        </w:rPr>
        <w:t>hBSMCs</w:t>
      </w:r>
      <w:proofErr w:type="spellEnd"/>
      <w:r>
        <w:rPr>
          <w:rFonts w:ascii="Times New Roman" w:hAnsi="Times New Roman" w:cs="Times New Roman"/>
        </w:rPr>
        <w:t xml:space="preserve"> either untreated (A) or treated with MSC-Exos (B), following live/dead cell staining at the indicated time points. Viable cells appear green due to </w:t>
      </w:r>
      <w:proofErr w:type="spellStart"/>
      <w:r>
        <w:rPr>
          <w:rFonts w:ascii="Times New Roman" w:hAnsi="Times New Roman" w:cs="Times New Roman"/>
        </w:rPr>
        <w:t>calcein</w:t>
      </w:r>
      <w:proofErr w:type="spellEnd"/>
      <w:r>
        <w:rPr>
          <w:rFonts w:ascii="Times New Roman" w:hAnsi="Times New Roman" w:cs="Times New Roman"/>
        </w:rPr>
        <w:t>-AM staining, while MSC-Exos are marked by red fluorescence.</w:t>
      </w:r>
    </w:p>
    <w:p w14:paraId="53F46C04" w14:textId="77777777" w:rsidR="00B13704" w:rsidRDefault="00000000">
      <w:pPr>
        <w:spacing w:line="480" w:lineRule="auto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80410" cy="6400800"/>
            <wp:effectExtent l="0" t="0" r="0" b="0"/>
            <wp:docPr id="5015418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41808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0904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C94F" w14:textId="77777777" w:rsidR="00B13704" w:rsidRDefault="00000000">
      <w:pPr>
        <w:spacing w:line="480" w:lineRule="auto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2. MSC-Exo uptake does not induce cytotoxicity in RAW264.7 macrophages. </w:t>
      </w:r>
      <w:r>
        <w:rPr>
          <w:rFonts w:ascii="Times New Roman" w:hAnsi="Times New Roman" w:cs="Times New Roman"/>
        </w:rPr>
        <w:t xml:space="preserve">(A-B) Representative confocal laser microscopy images of RAW264.7 macrophages either untreated (A) or treated with MSC-Exos (B), following live/dead staining at the indicated time points. </w:t>
      </w:r>
    </w:p>
    <w:p w14:paraId="1EFD5C0C" w14:textId="77777777" w:rsidR="00B13704" w:rsidRDefault="00000000">
      <w:pPr>
        <w:spacing w:line="480" w:lineRule="auto"/>
        <w:jc w:val="center"/>
        <w:outlineLvl w:val="1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922520" cy="5237480"/>
            <wp:effectExtent l="0" t="0" r="0" b="1270"/>
            <wp:docPr id="2138845641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45641" name="Picture 1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3647" cy="52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1FAD" w14:textId="77777777" w:rsidR="00B13704" w:rsidRDefault="00000000">
      <w:pPr>
        <w:spacing w:line="480" w:lineRule="auto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3. </w:t>
      </w:r>
      <w:r>
        <w:rPr>
          <w:rFonts w:ascii="Times New Roman" w:hAnsi="Times New Roman" w:cs="Times New Roman"/>
          <w:b/>
          <w:bCs/>
        </w:rPr>
        <w:t xml:space="preserve">Detection of </w:t>
      </w:r>
      <w:proofErr w:type="spellStart"/>
      <w:r>
        <w:rPr>
          <w:rFonts w:ascii="Times New Roman" w:hAnsi="Times New Roman" w:cs="Times New Roman"/>
          <w:b/>
          <w:bCs/>
        </w:rPr>
        <w:t>hBMSCs</w:t>
      </w:r>
      <w:proofErr w:type="spellEnd"/>
      <w:r>
        <w:rPr>
          <w:rFonts w:ascii="Times New Roman" w:hAnsi="Times New Roman" w:cs="Times New Roman"/>
          <w:b/>
          <w:bCs/>
        </w:rPr>
        <w:t xml:space="preserve"> migration using scratch wound assay</w:t>
      </w:r>
      <w:r>
        <w:rPr>
          <w:rFonts w:ascii="Times New Roman" w:hAnsi="Times New Roman" w:cs="Times New Roman"/>
        </w:rPr>
        <w:t xml:space="preserve">. Representative images of </w:t>
      </w:r>
      <w:proofErr w:type="spellStart"/>
      <w:r>
        <w:rPr>
          <w:rFonts w:ascii="Times New Roman" w:hAnsi="Times New Roman" w:cs="Times New Roman"/>
        </w:rPr>
        <w:t>hBMSCs</w:t>
      </w:r>
      <w:proofErr w:type="spellEnd"/>
      <w:r>
        <w:rPr>
          <w:rFonts w:ascii="Times New Roman" w:hAnsi="Times New Roman" w:cs="Times New Roman"/>
        </w:rPr>
        <w:t xml:space="preserve"> treated with or without MD/Exos, as assessed by a scratch wound assay. Following the scratch, cells were incubated for 24 hours, then stained with </w:t>
      </w:r>
      <w:proofErr w:type="spellStart"/>
      <w:r>
        <w:rPr>
          <w:rFonts w:ascii="Times New Roman" w:hAnsi="Times New Roman" w:cs="Times New Roman"/>
        </w:rPr>
        <w:t>calcein</w:t>
      </w:r>
      <w:proofErr w:type="spellEnd"/>
      <w:r>
        <w:rPr>
          <w:rFonts w:ascii="Times New Roman" w:hAnsi="Times New Roman" w:cs="Times New Roman"/>
        </w:rPr>
        <w:t xml:space="preserve">-AM, a fluorescent dye that labels viable cells. Enhanced wound closure rate was observed in the MD/Exos-treated group, suggesting that MD/Exos promote </w:t>
      </w:r>
      <w:proofErr w:type="spellStart"/>
      <w:r>
        <w:rPr>
          <w:rFonts w:ascii="Times New Roman" w:hAnsi="Times New Roman" w:cs="Times New Roman"/>
        </w:rPr>
        <w:t>hBMSC</w:t>
      </w:r>
      <w:proofErr w:type="spellEnd"/>
      <w:r>
        <w:rPr>
          <w:rFonts w:ascii="Times New Roman" w:hAnsi="Times New Roman" w:cs="Times New Roman"/>
        </w:rPr>
        <w:t xml:space="preserve"> migration. Dotted lines indicate the beginning and end of the scratch wound area at the time of imaging. **Control vs. MD/Exos: **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= 0.000034. </w:t>
      </w:r>
    </w:p>
    <w:p w14:paraId="0FC0281F" w14:textId="77777777" w:rsidR="00B13704" w:rsidRDefault="00B13704">
      <w:pPr>
        <w:spacing w:line="480" w:lineRule="auto"/>
        <w:jc w:val="both"/>
        <w:rPr>
          <w:rFonts w:ascii="Times New Roman" w:hAnsi="Times New Roman" w:cs="Times New Roman"/>
        </w:rPr>
      </w:pPr>
    </w:p>
    <w:p w14:paraId="335999FE" w14:textId="77777777" w:rsidR="00B13704" w:rsidRDefault="00000000">
      <w:pPr>
        <w:spacing w:line="480" w:lineRule="auto"/>
        <w:jc w:val="center"/>
        <w:outlineLvl w:val="1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092065" cy="4572000"/>
            <wp:effectExtent l="0" t="0" r="0" b="0"/>
            <wp:docPr id="43201379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13796" name="Picture 1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6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9622" w14:textId="77777777" w:rsidR="00B13704" w:rsidRDefault="00000000">
      <w:pPr>
        <w:spacing w:line="480" w:lineRule="auto"/>
        <w:jc w:val="both"/>
        <w:outlineLvl w:val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Supplementary figure 4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/>
        </w:rPr>
        <w:t xml:space="preserve">MD/Exos promote viability of RAW264.7 macrophages following H₂O₂-induced oxidative stress. </w:t>
      </w:r>
      <w:r>
        <w:rPr>
          <w:rFonts w:ascii="Times New Roman" w:hAnsi="Times New Roman" w:cs="Times New Roman"/>
          <w:bCs/>
        </w:rPr>
        <w:t>Representative images of RAW264.7 macrophages exposed to 400 µM H₂O₂, with or without MD/Exos treatment, followed by live/dead staining. Viable cells are indicated by green fluorescence (</w:t>
      </w:r>
      <w:proofErr w:type="spellStart"/>
      <w:r>
        <w:rPr>
          <w:rFonts w:ascii="Times New Roman" w:hAnsi="Times New Roman" w:cs="Times New Roman"/>
          <w:bCs/>
        </w:rPr>
        <w:t>calcein</w:t>
      </w:r>
      <w:proofErr w:type="spellEnd"/>
      <w:r>
        <w:rPr>
          <w:rFonts w:ascii="Times New Roman" w:hAnsi="Times New Roman" w:cs="Times New Roman"/>
          <w:bCs/>
        </w:rPr>
        <w:t>-AM), and dead cells by red fluorescence (propidium iodide, PI).</w:t>
      </w:r>
    </w:p>
    <w:p w14:paraId="3EAF6096" w14:textId="77777777" w:rsidR="00B13704" w:rsidRDefault="00B13704">
      <w:pPr>
        <w:spacing w:line="480" w:lineRule="auto"/>
        <w:jc w:val="both"/>
        <w:outlineLvl w:val="1"/>
        <w:rPr>
          <w:rFonts w:ascii="Times New Roman" w:hAnsi="Times New Roman" w:cs="Times New Roman"/>
        </w:rPr>
      </w:pPr>
    </w:p>
    <w:p w14:paraId="7CDD49CA" w14:textId="77777777" w:rsidR="00B13704" w:rsidRDefault="00000000">
      <w:pPr>
        <w:spacing w:line="480" w:lineRule="auto"/>
        <w:jc w:val="both"/>
        <w:outlineLvl w:val="1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857625"/>
            <wp:effectExtent l="0" t="0" r="0" b="9525"/>
            <wp:docPr id="331468939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68939" name="Picture 1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7C1A" w14:textId="77777777" w:rsidR="00B13704" w:rsidRDefault="00000000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figure 5.</w:t>
      </w:r>
      <w:r>
        <w:rPr>
          <w:rFonts w:ascii="Times New Roman" w:hAnsi="Times New Roman" w:cs="Times New Roman"/>
          <w:b/>
          <w:bCs/>
        </w:rPr>
        <w:t xml:space="preserve"> Detection of reactive oxygen species (ROS) in </w:t>
      </w:r>
      <w:proofErr w:type="spellStart"/>
      <w:r>
        <w:rPr>
          <w:rFonts w:ascii="Times New Roman" w:hAnsi="Times New Roman" w:cs="Times New Roman"/>
          <w:b/>
          <w:bCs/>
        </w:rPr>
        <w:t>hBMSCs</w:t>
      </w:r>
      <w:proofErr w:type="spellEnd"/>
      <w:r>
        <w:rPr>
          <w:rFonts w:ascii="Times New Roman" w:hAnsi="Times New Roman" w:cs="Times New Roman"/>
          <w:b/>
          <w:bCs/>
        </w:rPr>
        <w:t xml:space="preserve"> by fluorescence staining</w:t>
      </w:r>
      <w:r>
        <w:rPr>
          <w:rFonts w:ascii="Times New Roman" w:hAnsi="Times New Roman" w:cs="Times New Roman"/>
        </w:rPr>
        <w:t xml:space="preserve">. Representative fluorescence microscopy images showing intracellular ROS levels in </w:t>
      </w:r>
      <w:proofErr w:type="spellStart"/>
      <w:r>
        <w:rPr>
          <w:rFonts w:ascii="Times New Roman" w:hAnsi="Times New Roman" w:cs="Times New Roman"/>
        </w:rPr>
        <w:t>hBMSCs</w:t>
      </w:r>
      <w:proofErr w:type="spellEnd"/>
      <w:r>
        <w:rPr>
          <w:rFonts w:ascii="Times New Roman" w:hAnsi="Times New Roman" w:cs="Times New Roman"/>
        </w:rPr>
        <w:t xml:space="preserve"> following exposure to H₂O₂ with or without MD/Exos treatment. Cells were stained with DCFDA/H2DCFDA-Cellular ROS Assay Kit, while nuclei were counterstained with Hoechst 33258. Elevated ROS fluorescence intensity observed in both the control and MDs-treated groups indicates significant oxidative stress, while MD/Exos-treated group showed reduced intensity. Significant difference: ****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 &lt; 0.0001.</w:t>
      </w:r>
    </w:p>
    <w:p w14:paraId="07AE73C3" w14:textId="77777777" w:rsidR="00B13704" w:rsidRDefault="00B13704">
      <w:pPr>
        <w:jc w:val="center"/>
        <w:rPr>
          <w:rStyle w:val="SubtleEmphasis1"/>
          <w:color w:val="404040" w:themeColor="text1" w:themeTint="BF"/>
        </w:rPr>
      </w:pPr>
    </w:p>
    <w:p w14:paraId="54F85C8B" w14:textId="77777777" w:rsidR="00B13704" w:rsidRDefault="00B13704">
      <w:pPr>
        <w:jc w:val="center"/>
        <w:rPr>
          <w:rStyle w:val="SubtleEmphasis1"/>
          <w:color w:val="404040" w:themeColor="text1" w:themeTint="BF"/>
        </w:rPr>
      </w:pPr>
    </w:p>
    <w:p w14:paraId="2BCE75A9" w14:textId="77777777" w:rsidR="00B13704" w:rsidRDefault="00B13704">
      <w:pPr>
        <w:jc w:val="center"/>
        <w:rPr>
          <w:rStyle w:val="SubtleEmphasis1"/>
          <w:color w:val="404040" w:themeColor="text1" w:themeTint="BF"/>
        </w:rPr>
      </w:pPr>
    </w:p>
    <w:p w14:paraId="3AB6382A" w14:textId="77777777" w:rsidR="00B13704" w:rsidRDefault="00B13704">
      <w:pPr>
        <w:jc w:val="center"/>
        <w:rPr>
          <w:rStyle w:val="SubtleEmphasis1"/>
          <w:color w:val="404040" w:themeColor="text1" w:themeTint="BF"/>
        </w:rPr>
      </w:pPr>
    </w:p>
    <w:p w14:paraId="317CB34A" w14:textId="77777777" w:rsidR="00B13704" w:rsidRDefault="00B13704">
      <w:pPr>
        <w:jc w:val="center"/>
        <w:rPr>
          <w:rStyle w:val="SubtleEmphasis1"/>
          <w:color w:val="404040" w:themeColor="text1" w:themeTint="BF"/>
        </w:rPr>
      </w:pPr>
    </w:p>
    <w:p w14:paraId="7656DF39" w14:textId="77777777" w:rsidR="00B13704" w:rsidRDefault="00000000">
      <w:pPr>
        <w:jc w:val="center"/>
        <w:rPr>
          <w:rStyle w:val="SubtleEmphasis1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>
            <wp:extent cx="5943600" cy="3863340"/>
            <wp:effectExtent l="0" t="0" r="0" b="3810"/>
            <wp:docPr id="957040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40679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32B7" w14:textId="77777777" w:rsidR="00B13704" w:rsidRDefault="00000000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figure. 6 </w:t>
      </w:r>
      <w:r>
        <w:rPr>
          <w:rFonts w:ascii="Times New Roman" w:hAnsi="Times New Roman" w:cs="Times New Roman"/>
          <w:b/>
          <w:bCs/>
        </w:rPr>
        <w:t>Detection of reactive oxygen species (ROS) in RAW264.7 macrophages by fluorescence staining</w:t>
      </w:r>
      <w:r>
        <w:rPr>
          <w:rFonts w:ascii="Times New Roman" w:hAnsi="Times New Roman" w:cs="Times New Roman"/>
        </w:rPr>
        <w:t xml:space="preserve">. Representative fluorescence microscopy images showing intracellular ROS levels in </w:t>
      </w:r>
      <w:r>
        <w:rPr>
          <w:rFonts w:ascii="Times New Roman" w:hAnsi="Times New Roman" w:cs="Times New Roman"/>
          <w:bCs/>
        </w:rPr>
        <w:t>RAW264.7 macrophages</w:t>
      </w:r>
      <w:r>
        <w:rPr>
          <w:rFonts w:ascii="Times New Roman" w:hAnsi="Times New Roman" w:cs="Times New Roman"/>
        </w:rPr>
        <w:t xml:space="preserve"> following exposure to H₂O₂ with or without MD/Exos treatment. Cells were stained with DCFDA/H2DCFDA-Cellular ROS Assay Kit, while nuclei were counterstained with Hoechst 33258. Elevated ROS fluorescence intensity observed in both the control and MDs-treated groups indicates significant oxidative stress, while MD/Exos-treated group showed reduced intensity. ***Control vs. MD/Exos: ***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= 0.0004.</w:t>
      </w:r>
    </w:p>
    <w:p w14:paraId="511CB17B" w14:textId="77777777" w:rsidR="00B13704" w:rsidRDefault="00B13704">
      <w:pPr>
        <w:spacing w:line="480" w:lineRule="auto"/>
        <w:jc w:val="both"/>
        <w:rPr>
          <w:rFonts w:ascii="Times New Roman" w:hAnsi="Times New Roman" w:cs="Times New Roman"/>
        </w:rPr>
      </w:pPr>
    </w:p>
    <w:p w14:paraId="0AA96198" w14:textId="77777777" w:rsidR="00B13704" w:rsidRDefault="00B13704">
      <w:pPr>
        <w:spacing w:line="480" w:lineRule="auto"/>
        <w:jc w:val="both"/>
        <w:rPr>
          <w:rFonts w:ascii="Times New Roman" w:hAnsi="Times New Roman" w:cs="Times New Roman"/>
        </w:rPr>
      </w:pPr>
    </w:p>
    <w:p w14:paraId="0393526E" w14:textId="77777777" w:rsidR="00B13704" w:rsidRDefault="00B13704">
      <w:pPr>
        <w:spacing w:line="480" w:lineRule="auto"/>
        <w:jc w:val="both"/>
        <w:rPr>
          <w:rFonts w:ascii="Times New Roman" w:hAnsi="Times New Roman" w:cs="Times New Roman"/>
        </w:rPr>
      </w:pPr>
    </w:p>
    <w:p w14:paraId="23862879" w14:textId="77777777" w:rsidR="00B13704" w:rsidRDefault="00000000">
      <w:pPr>
        <w:jc w:val="center"/>
        <w:rPr>
          <w:rStyle w:val="SubtleEmphasis1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>
            <wp:extent cx="3438525" cy="6400800"/>
            <wp:effectExtent l="0" t="0" r="9525" b="0"/>
            <wp:docPr id="666778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7861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969B" w14:textId="77777777" w:rsidR="00B13704" w:rsidRDefault="00000000">
      <w:pPr>
        <w:spacing w:line="480" w:lineRule="auto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7. Viability assessment of </w:t>
      </w:r>
      <w:proofErr w:type="spellStart"/>
      <w:r>
        <w:rPr>
          <w:rFonts w:ascii="Times New Roman" w:hAnsi="Times New Roman" w:cs="Times New Roman"/>
          <w:b/>
        </w:rPr>
        <w:t>hBMSCs</w:t>
      </w:r>
      <w:proofErr w:type="spellEnd"/>
      <w:r>
        <w:rPr>
          <w:rFonts w:ascii="Times New Roman" w:hAnsi="Times New Roman" w:cs="Times New Roman"/>
          <w:b/>
        </w:rPr>
        <w:t xml:space="preserve"> during osteogenic differentiation. </w:t>
      </w:r>
      <w:r>
        <w:rPr>
          <w:rFonts w:ascii="Times New Roman" w:hAnsi="Times New Roman" w:cs="Times New Roman"/>
        </w:rPr>
        <w:t xml:space="preserve">Representative confocal laser microscopy images of </w:t>
      </w:r>
      <w:proofErr w:type="spellStart"/>
      <w:r>
        <w:rPr>
          <w:rFonts w:ascii="Times New Roman" w:hAnsi="Times New Roman" w:cs="Times New Roman"/>
        </w:rPr>
        <w:t>hBMSCs</w:t>
      </w:r>
      <w:proofErr w:type="spellEnd"/>
      <w:r>
        <w:rPr>
          <w:rFonts w:ascii="Times New Roman" w:hAnsi="Times New Roman" w:cs="Times New Roman"/>
        </w:rPr>
        <w:t xml:space="preserve"> treated with or without MD/Exos, following live/dead staining at days 7 and 14 of osteogenic differentiation. Viable cells are indicated by green fluorescence (</w:t>
      </w:r>
      <w:proofErr w:type="spellStart"/>
      <w:r>
        <w:rPr>
          <w:rFonts w:ascii="Times New Roman" w:hAnsi="Times New Roman" w:cs="Times New Roman"/>
        </w:rPr>
        <w:t>calcein</w:t>
      </w:r>
      <w:proofErr w:type="spellEnd"/>
      <w:r>
        <w:rPr>
          <w:rFonts w:ascii="Times New Roman" w:hAnsi="Times New Roman" w:cs="Times New Roman"/>
        </w:rPr>
        <w:t xml:space="preserve">-AM), while dead cells are labeled in red (propidium iodide, PI). Scale bar = 500 µm. </w:t>
      </w:r>
    </w:p>
    <w:p w14:paraId="47C083D2" w14:textId="77777777" w:rsidR="00B13704" w:rsidRDefault="00000000">
      <w:pPr>
        <w:spacing w:before="240"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490470" cy="3979545"/>
            <wp:effectExtent l="0" t="0" r="5080" b="1905"/>
            <wp:docPr id="1188761923" name="Picture 2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61923" name="Picture 2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091" cy="39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8A42" w14:textId="77777777" w:rsidR="00B13704" w:rsidRDefault="00000000">
      <w:pPr>
        <w:spacing w:before="24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8.  </w:t>
      </w:r>
      <w:r>
        <w:rPr>
          <w:rFonts w:ascii="Times New Roman" w:hAnsi="Times New Roman" w:cs="Times New Roman"/>
        </w:rPr>
        <w:t>Quantitative analysis of macrophage cell spreading area. Significant difference: ****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0.0001. </w:t>
      </w:r>
    </w:p>
    <w:p w14:paraId="4CB24A8B" w14:textId="77777777" w:rsidR="00B13704" w:rsidRDefault="00B13704">
      <w:pPr>
        <w:spacing w:line="480" w:lineRule="auto"/>
      </w:pPr>
    </w:p>
    <w:p w14:paraId="04732FB4" w14:textId="77777777" w:rsidR="00B13704" w:rsidRDefault="00B13704">
      <w:pPr>
        <w:spacing w:line="480" w:lineRule="auto"/>
      </w:pPr>
    </w:p>
    <w:p w14:paraId="75ACD488" w14:textId="77777777" w:rsidR="00B13704" w:rsidRDefault="00B13704">
      <w:pPr>
        <w:spacing w:line="480" w:lineRule="auto"/>
      </w:pPr>
    </w:p>
    <w:p w14:paraId="13F50297" w14:textId="77777777" w:rsidR="00B13704" w:rsidRDefault="00B13704">
      <w:pPr>
        <w:spacing w:line="480" w:lineRule="auto"/>
      </w:pPr>
    </w:p>
    <w:p w14:paraId="7B640236" w14:textId="77777777" w:rsidR="00B13704" w:rsidRDefault="00B13704"/>
    <w:p w14:paraId="48F16F04" w14:textId="77777777" w:rsidR="00B13704" w:rsidRDefault="00B13704"/>
    <w:sectPr w:rsidR="00B13704">
      <w:footerReference w:type="even" r:id="rId16"/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68FFD" w14:textId="77777777" w:rsidR="00407077" w:rsidRDefault="00407077">
      <w:pPr>
        <w:spacing w:line="240" w:lineRule="auto"/>
      </w:pPr>
      <w:r>
        <w:separator/>
      </w:r>
    </w:p>
  </w:endnote>
  <w:endnote w:type="continuationSeparator" w:id="0">
    <w:p w14:paraId="7B710F8B" w14:textId="77777777" w:rsidR="00407077" w:rsidRDefault="004070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DFB4C" w14:textId="77777777" w:rsidR="00B13704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436191557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A34BB" w14:textId="77777777" w:rsidR="00B13704" w:rsidRDefault="00000000">
                          <w:pPr>
                            <w:spacing w:after="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" filled="f" stroked="f">
              <v:textbox style="mso-fit-shape-to-text:t" inset="20pt,0,0,15pt">
                <w:txbxContent>
                  <w:p w14:paraId="653A34BB" w14:textId="77777777" w:rsidR="00B13704" w:rsidRDefault="00000000">
                    <w:pPr>
                      <w:spacing w:after="0"/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850C0" w14:textId="77777777" w:rsidR="00B13704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43701874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8966F7" w14:textId="77777777" w:rsidR="00B13704" w:rsidRDefault="00000000">
                          <w:pPr>
                            <w:spacing w:after="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" filled="f" stroked="f">
              <v:textbox style="mso-fit-shape-to-text:t" inset="20pt,0,0,15pt">
                <w:txbxContent>
                  <w:p w14:paraId="3A8966F7" w14:textId="77777777" w:rsidR="00B13704" w:rsidRDefault="00000000">
                    <w:pPr>
                      <w:spacing w:after="0"/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5F2DA" w14:textId="77777777" w:rsidR="00B13704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2114724720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587422" w14:textId="77777777" w:rsidR="00B13704" w:rsidRDefault="00000000">
                          <w:pPr>
                            <w:spacing w:after="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" filled="f" stroked="f">
              <v:textbox style="mso-fit-shape-to-text:t" inset="20pt,0,0,15pt">
                <w:txbxContent>
                  <w:p w14:paraId="68587422" w14:textId="77777777" w:rsidR="00B13704" w:rsidRDefault="00000000">
                    <w:pPr>
                      <w:spacing w:after="0"/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C4CF7" w14:textId="77777777" w:rsidR="00407077" w:rsidRDefault="00407077">
      <w:pPr>
        <w:spacing w:after="0"/>
      </w:pPr>
      <w:r>
        <w:separator/>
      </w:r>
    </w:p>
  </w:footnote>
  <w:footnote w:type="continuationSeparator" w:id="0">
    <w:p w14:paraId="3D9D3C00" w14:textId="77777777" w:rsidR="00407077" w:rsidRDefault="004070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26C"/>
    <w:rsid w:val="00006B16"/>
    <w:rsid w:val="00010870"/>
    <w:rsid w:val="00025960"/>
    <w:rsid w:val="00051090"/>
    <w:rsid w:val="00055A02"/>
    <w:rsid w:val="00055C88"/>
    <w:rsid w:val="00074823"/>
    <w:rsid w:val="00080574"/>
    <w:rsid w:val="00090A94"/>
    <w:rsid w:val="000A3973"/>
    <w:rsid w:val="000B50AC"/>
    <w:rsid w:val="000B511B"/>
    <w:rsid w:val="000B5FE4"/>
    <w:rsid w:val="000D0B4F"/>
    <w:rsid w:val="000D3062"/>
    <w:rsid w:val="000E0FF0"/>
    <w:rsid w:val="001578C4"/>
    <w:rsid w:val="00166471"/>
    <w:rsid w:val="0017105E"/>
    <w:rsid w:val="001A2718"/>
    <w:rsid w:val="001B1A90"/>
    <w:rsid w:val="001D04FF"/>
    <w:rsid w:val="001E0262"/>
    <w:rsid w:val="001E1F48"/>
    <w:rsid w:val="001E647B"/>
    <w:rsid w:val="002532D4"/>
    <w:rsid w:val="002B284A"/>
    <w:rsid w:val="002C7E56"/>
    <w:rsid w:val="002E6006"/>
    <w:rsid w:val="00300E7E"/>
    <w:rsid w:val="0031127D"/>
    <w:rsid w:val="00313D65"/>
    <w:rsid w:val="003204CD"/>
    <w:rsid w:val="00323FB8"/>
    <w:rsid w:val="00354A0F"/>
    <w:rsid w:val="00396EC6"/>
    <w:rsid w:val="003C5BBE"/>
    <w:rsid w:val="003F1022"/>
    <w:rsid w:val="00401EAE"/>
    <w:rsid w:val="00407077"/>
    <w:rsid w:val="004921F9"/>
    <w:rsid w:val="004E0772"/>
    <w:rsid w:val="00522F9E"/>
    <w:rsid w:val="00545EE6"/>
    <w:rsid w:val="00546557"/>
    <w:rsid w:val="005604C7"/>
    <w:rsid w:val="005D126C"/>
    <w:rsid w:val="005E4AD6"/>
    <w:rsid w:val="0062350C"/>
    <w:rsid w:val="00625947"/>
    <w:rsid w:val="00674E59"/>
    <w:rsid w:val="006D2696"/>
    <w:rsid w:val="006E4DF5"/>
    <w:rsid w:val="00700DC0"/>
    <w:rsid w:val="00712FC3"/>
    <w:rsid w:val="00744166"/>
    <w:rsid w:val="007B1DD6"/>
    <w:rsid w:val="007E14C4"/>
    <w:rsid w:val="008312A7"/>
    <w:rsid w:val="008807F7"/>
    <w:rsid w:val="00887F2D"/>
    <w:rsid w:val="00893909"/>
    <w:rsid w:val="008A758A"/>
    <w:rsid w:val="008D143F"/>
    <w:rsid w:val="008E5AE8"/>
    <w:rsid w:val="00911C1E"/>
    <w:rsid w:val="00931B40"/>
    <w:rsid w:val="00932A13"/>
    <w:rsid w:val="00950255"/>
    <w:rsid w:val="00956A9C"/>
    <w:rsid w:val="00971678"/>
    <w:rsid w:val="0099653F"/>
    <w:rsid w:val="009C1942"/>
    <w:rsid w:val="009C35E1"/>
    <w:rsid w:val="009F1CAC"/>
    <w:rsid w:val="00A33636"/>
    <w:rsid w:val="00A50F63"/>
    <w:rsid w:val="00A560E1"/>
    <w:rsid w:val="00A75368"/>
    <w:rsid w:val="00AF726C"/>
    <w:rsid w:val="00B05059"/>
    <w:rsid w:val="00B05320"/>
    <w:rsid w:val="00B13704"/>
    <w:rsid w:val="00B334A1"/>
    <w:rsid w:val="00B36C06"/>
    <w:rsid w:val="00B532B0"/>
    <w:rsid w:val="00B61ED1"/>
    <w:rsid w:val="00B825B6"/>
    <w:rsid w:val="00BB682B"/>
    <w:rsid w:val="00BD2236"/>
    <w:rsid w:val="00BD389E"/>
    <w:rsid w:val="00C33636"/>
    <w:rsid w:val="00C46C33"/>
    <w:rsid w:val="00C50B39"/>
    <w:rsid w:val="00C6087E"/>
    <w:rsid w:val="00C70BF0"/>
    <w:rsid w:val="00C85AE9"/>
    <w:rsid w:val="00C96AE6"/>
    <w:rsid w:val="00CF12C0"/>
    <w:rsid w:val="00D42DB3"/>
    <w:rsid w:val="00D721F7"/>
    <w:rsid w:val="00D84448"/>
    <w:rsid w:val="00DC7107"/>
    <w:rsid w:val="00DD1ADE"/>
    <w:rsid w:val="00DF6659"/>
    <w:rsid w:val="00E06D7E"/>
    <w:rsid w:val="00E13683"/>
    <w:rsid w:val="00E160BA"/>
    <w:rsid w:val="00E31720"/>
    <w:rsid w:val="00E31731"/>
    <w:rsid w:val="00E569EF"/>
    <w:rsid w:val="00E772EB"/>
    <w:rsid w:val="00E9194C"/>
    <w:rsid w:val="00E92407"/>
    <w:rsid w:val="00EB3EB8"/>
    <w:rsid w:val="00EE33E8"/>
    <w:rsid w:val="00EE4955"/>
    <w:rsid w:val="00F2399C"/>
    <w:rsid w:val="00F30414"/>
    <w:rsid w:val="00F977E5"/>
    <w:rsid w:val="00FC4F1D"/>
    <w:rsid w:val="00FC6A3C"/>
    <w:rsid w:val="4527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5E6C84-FA75-4648-B059-434899A9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val="en-US"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FC2445-C0FC-43C3-B46D-A6C9333F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2851</Characters>
  <Application>Microsoft Office Word</Application>
  <DocSecurity>0</DocSecurity>
  <Lines>23</Lines>
  <Paragraphs>6</Paragraphs>
  <ScaleCrop>false</ScaleCrop>
  <Company>Informa plc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 Wei</dc:creator>
  <cp:lastModifiedBy>Brown, Samantha</cp:lastModifiedBy>
  <cp:revision>16</cp:revision>
  <dcterms:created xsi:type="dcterms:W3CDTF">2026-06-15T12:11:00Z</dcterms:created>
  <dcterms:modified xsi:type="dcterms:W3CDTF">2026-07-05T19:14:00Z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7e0c2370,559a8b45,55a72a77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2026-06-30T19:53:54Z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40038196-41e4-45e1-a651-760d5d413be2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  <property fmtid="{D5CDD505-2E9C-101B-9397-08002B2CF9AE}" pid="13" name="KSOTemplateDocerSaveRecord">
    <vt:lpwstr>eyJoZGlkIjoiMmYyMjI2Zjk4NGEwZDY4NGRkZmUxMjY5Mzc0NTU3YWUiLCJ1c2VySWQiOiI2MzgyMDc0MTkifQ==</vt:lpwstr>
  </property>
  <property fmtid="{D5CDD505-2E9C-101B-9397-08002B2CF9AE}" pid="14" name="KSOProductBuildVer">
    <vt:lpwstr>2052-12.1.0.26895</vt:lpwstr>
  </property>
  <property fmtid="{D5CDD505-2E9C-101B-9397-08002B2CF9AE}" pid="15" name="ICV">
    <vt:lpwstr>3A8FE561FDA04E579BF05AA31CF38A39_12</vt:lpwstr>
  </property>
</Properties>
</file>