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9DB58">
      <w:pPr>
        <w:spacing w:line="480" w:lineRule="auto"/>
        <w:rPr>
          <w:rFonts w:ascii="Arial" w:hAnsi="Arial" w:cs="Arial"/>
          <w:b/>
          <w:bCs/>
          <w:sz w:val="24"/>
          <w:szCs w:val="24"/>
          <w:lang w:val="en-US"/>
        </w:rPr>
      </w:pPr>
      <w:r>
        <w:rPr>
          <w:rFonts w:ascii="Arial" w:hAnsi="Arial" w:cs="Arial"/>
          <w:b/>
          <w:bCs/>
          <w:sz w:val="24"/>
          <w:szCs w:val="24"/>
          <w:lang w:val="en-US"/>
        </w:rPr>
        <w:t>Appendix S1. Perioperative management of special events</w:t>
      </w:r>
    </w:p>
    <w:p w14:paraId="5470883F">
      <w:pPr>
        <w:spacing w:line="480" w:lineRule="auto"/>
        <w:rPr>
          <w:rFonts w:ascii="Arial" w:hAnsi="Arial" w:cs="Arial"/>
          <w:sz w:val="24"/>
          <w:szCs w:val="24"/>
          <w:lang w:val="en-US"/>
        </w:rPr>
      </w:pPr>
      <w:r>
        <w:rPr>
          <w:rFonts w:ascii="Arial" w:hAnsi="Arial" w:cs="Arial"/>
          <w:sz w:val="24"/>
          <w:szCs w:val="24"/>
          <w:lang w:val="en-US"/>
        </w:rPr>
        <w:t>Intraoperative adverse hemodynamic events and inadequate anesthesia depth were managed promptly using the following strategies:</w:t>
      </w:r>
    </w:p>
    <w:p w14:paraId="7C27CB73">
      <w:pPr>
        <w:spacing w:line="480" w:lineRule="auto"/>
        <w:ind w:firstLine="480" w:firstLineChars="200"/>
        <w:rPr>
          <w:rFonts w:ascii="Arial" w:hAnsi="Arial" w:cs="Arial"/>
          <w:sz w:val="24"/>
          <w:szCs w:val="24"/>
          <w:lang w:val="en-US"/>
        </w:rPr>
      </w:pPr>
      <w:r>
        <w:rPr>
          <w:rFonts w:ascii="Arial" w:hAnsi="Arial" w:cs="Arial"/>
          <w:sz w:val="24"/>
          <w:szCs w:val="24"/>
          <w:lang w:val="en-US"/>
        </w:rPr>
        <w:t>1.Bradycardia: Severe bradycardia, defined as a HR below 45 beats per minute, was treated with atropine at a dose of 0.01 mg/kg to quickly restore normal HR.</w:t>
      </w:r>
    </w:p>
    <w:p w14:paraId="1DB4F091">
      <w:pPr>
        <w:spacing w:line="480" w:lineRule="auto"/>
        <w:ind w:firstLine="480" w:firstLineChars="200"/>
        <w:rPr>
          <w:rFonts w:ascii="Arial" w:hAnsi="Arial" w:cs="Arial"/>
          <w:sz w:val="24"/>
          <w:szCs w:val="24"/>
          <w:lang w:val="en-US"/>
        </w:rPr>
      </w:pPr>
      <w:r>
        <w:rPr>
          <w:rFonts w:ascii="Arial" w:hAnsi="Arial" w:cs="Arial"/>
          <w:sz w:val="24"/>
          <w:szCs w:val="24"/>
          <w:lang w:val="en-US"/>
        </w:rPr>
        <w:t>2.Hypotension: Hypotension, defined as a ≥20% decrease in blood pressure or a mean arterial pressure (MAP) &lt; 50 mmHg, was assessed alongside BIS values. If the BIS was &lt;40, which indicating deep anesthesia, the sevoflurane concentration was reduced immediately to reduce the depth of sedation. After this adjustment, vasoactive drugs could be administered to stabilize blood pressure, if necessary, based on the patient's hemodynamic response. If BIS values were within the target range (40-60), hypotension was treated with fluid resuscitation, 6 mg ephedrine or 4 µg norepinephrine to restore stability.</w:t>
      </w:r>
    </w:p>
    <w:p w14:paraId="246CDC21">
      <w:pPr>
        <w:spacing w:line="480" w:lineRule="auto"/>
        <w:ind w:firstLine="480" w:firstLineChars="200"/>
        <w:rPr>
          <w:rFonts w:ascii="Arial" w:hAnsi="Arial" w:cs="Arial"/>
          <w:sz w:val="24"/>
          <w:szCs w:val="24"/>
          <w:lang w:val="en-US"/>
        </w:rPr>
      </w:pPr>
      <w:r>
        <w:rPr>
          <w:rFonts w:ascii="Arial" w:hAnsi="Arial" w:cs="Arial"/>
          <w:sz w:val="24"/>
          <w:szCs w:val="24"/>
          <w:lang w:val="en-US"/>
        </w:rPr>
        <w:t>3.Hypertension and/or tachycardia: Intraoperative hypertension, defined as an increase of ≥20% from baseline or a MAP ≥100 mmHg, and tachycardia, defined as an increase of ≥20% from baseline or a heart rate (HR) &gt;100 beats per minute, were treated according to the accompanying clinical context. If hypertension and/or tachycardia were associated with a high BIS (&gt;60), the concentration of sevoflurane was gradually increased to reduce the BIS to ≤55, indicating improved depth of anesthesia. Following this adjustment, the patient's physiological status and depth of anesthesia were reassessed to ensure safe and effective management. For isolated hypertension or tachycardia unrelated to inadequate depth of anesthesia, pain management was the first approach. If analgesia was adequate but hypertension or tachycardia persisted, factors such as patient posture or pneumoperitoneum were evaluated. Targeted treatment with vasoactive drugs such as nicardipine for hypertension or esmolol for tachycardia was then considered. The decision to administer these drugs was based on a comprehensive assessment of the patient's condition.</w:t>
      </w:r>
    </w:p>
    <w:p w14:paraId="2BADCB1C">
      <w:pPr>
        <w:spacing w:line="480" w:lineRule="auto"/>
        <w:rPr>
          <w:rFonts w:ascii="Arial" w:hAnsi="Arial" w:cs="Arial"/>
          <w:sz w:val="24"/>
          <w:szCs w:val="24"/>
          <w:lang w:val="en-US"/>
        </w:rPr>
      </w:pPr>
    </w:p>
    <w:p w14:paraId="6DB28A04">
      <w:pPr>
        <w:spacing w:line="480" w:lineRule="auto"/>
        <w:rPr>
          <w:rFonts w:ascii="Arial" w:hAnsi="Arial" w:cs="Arial"/>
          <w:sz w:val="24"/>
          <w:szCs w:val="24"/>
          <w:lang w:val="en-US"/>
        </w:rPr>
      </w:pPr>
      <w:r>
        <w:rPr>
          <w:rFonts w:ascii="Arial" w:hAnsi="Arial" w:cs="Arial"/>
          <w:b/>
          <w:bCs/>
          <w:sz w:val="24"/>
          <w:szCs w:val="24"/>
          <w:lang w:val="en-US"/>
        </w:rPr>
        <w:t>Table S1</w:t>
      </w:r>
      <w:r>
        <w:rPr>
          <w:rFonts w:ascii="Arial" w:hAnsi="Arial" w:cs="Arial"/>
          <w:sz w:val="24"/>
          <w:szCs w:val="24"/>
          <w:lang w:val="en-US"/>
        </w:rPr>
        <w:t xml:space="preserve">. </w:t>
      </w:r>
      <w:r>
        <w:rPr>
          <w:rFonts w:hint="eastAsia" w:ascii="Arial" w:hAnsi="Arial" w:cs="Arial"/>
          <w:sz w:val="24"/>
          <w:szCs w:val="24"/>
          <w:lang w:val="en-US"/>
        </w:rPr>
        <w:t>Exploratory subgroup an</w:t>
      </w:r>
      <w:bookmarkStart w:id="0" w:name="_GoBack"/>
      <w:bookmarkEnd w:id="0"/>
      <w:r>
        <w:rPr>
          <w:rFonts w:hint="eastAsia" w:ascii="Arial" w:hAnsi="Arial" w:cs="Arial"/>
          <w:sz w:val="24"/>
          <w:szCs w:val="24"/>
          <w:lang w:val="en-US"/>
        </w:rPr>
        <w:t>alysis</w:t>
      </w:r>
      <w:r>
        <w:rPr>
          <w:rFonts w:ascii="Arial" w:hAnsi="Arial" w:cs="Arial"/>
          <w:sz w:val="24"/>
          <w:szCs w:val="24"/>
          <w:lang w:val="en-US"/>
        </w:rPr>
        <w:t xml:space="preserve"> of gender baseline and primary outcomes</w:t>
      </w:r>
    </w:p>
    <w:tbl>
      <w:tblPr>
        <w:tblStyle w:val="5"/>
        <w:tblW w:w="1410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2452"/>
        <w:gridCol w:w="2193"/>
        <w:gridCol w:w="1134"/>
        <w:gridCol w:w="2127"/>
        <w:gridCol w:w="1984"/>
        <w:gridCol w:w="1062"/>
      </w:tblGrid>
      <w:tr w14:paraId="3FD183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152" w:type="dxa"/>
            <w:vMerge w:val="restart"/>
            <w:tcBorders>
              <w:top w:val="single" w:color="auto" w:sz="4" w:space="0"/>
              <w:left w:val="nil"/>
              <w:bottom w:val="single" w:color="auto" w:sz="4" w:space="0"/>
              <w:right w:val="nil"/>
            </w:tcBorders>
            <w:vAlign w:val="center"/>
          </w:tcPr>
          <w:p w14:paraId="7565A686">
            <w:pPr>
              <w:rPr>
                <w:rFonts w:ascii="Arial" w:hAnsi="Arial" w:cs="Arial"/>
                <w:sz w:val="24"/>
                <w:szCs w:val="24"/>
                <w:lang w:val="en-US"/>
              </w:rPr>
            </w:pPr>
          </w:p>
        </w:tc>
        <w:tc>
          <w:tcPr>
            <w:tcW w:w="4645" w:type="dxa"/>
            <w:gridSpan w:val="2"/>
            <w:tcBorders>
              <w:top w:val="single" w:color="auto" w:sz="4" w:space="0"/>
              <w:left w:val="nil"/>
              <w:bottom w:val="single" w:color="auto" w:sz="4" w:space="0"/>
              <w:right w:val="nil"/>
            </w:tcBorders>
            <w:vAlign w:val="center"/>
          </w:tcPr>
          <w:p w14:paraId="57B2523F">
            <w:pPr>
              <w:jc w:val="center"/>
              <w:rPr>
                <w:rFonts w:ascii="Arial" w:hAnsi="Arial" w:cs="Arial"/>
                <w:sz w:val="24"/>
                <w:szCs w:val="24"/>
                <w:lang w:val="en-US"/>
              </w:rPr>
            </w:pPr>
            <w:r>
              <w:rPr>
                <w:rFonts w:ascii="Arial" w:hAnsi="Arial" w:cs="Arial"/>
                <w:sz w:val="24"/>
                <w:szCs w:val="24"/>
                <w:lang w:val="en-US"/>
              </w:rPr>
              <w:t>Females (n=24)</w:t>
            </w:r>
          </w:p>
        </w:tc>
        <w:tc>
          <w:tcPr>
            <w:tcW w:w="1134" w:type="dxa"/>
            <w:vMerge w:val="restart"/>
            <w:tcBorders>
              <w:top w:val="single" w:color="auto" w:sz="4" w:space="0"/>
              <w:left w:val="nil"/>
              <w:bottom w:val="nil"/>
              <w:right w:val="nil"/>
            </w:tcBorders>
            <w:vAlign w:val="center"/>
          </w:tcPr>
          <w:p w14:paraId="6F0A268E">
            <w:pPr>
              <w:jc w:val="center"/>
              <w:rPr>
                <w:rFonts w:ascii="Arial" w:hAnsi="Arial" w:cs="Arial"/>
                <w:sz w:val="24"/>
                <w:szCs w:val="24"/>
                <w:lang w:val="en-US"/>
                <w14:ligatures w14:val="none"/>
              </w:rPr>
            </w:pPr>
            <w:r>
              <w:rPr>
                <w:rFonts w:ascii="Arial" w:hAnsi="Arial" w:cs="Arial"/>
                <w:i/>
                <w:iCs/>
                <w:sz w:val="24"/>
                <w:lang w:val="en-US"/>
              </w:rPr>
              <w:t>p</w:t>
            </w:r>
            <w:r>
              <w:rPr>
                <w:rFonts w:ascii="Arial" w:hAnsi="Arial" w:cs="Arial"/>
                <w:sz w:val="24"/>
                <w:lang w:val="en-US"/>
              </w:rPr>
              <w:t>-value</w:t>
            </w:r>
          </w:p>
        </w:tc>
        <w:tc>
          <w:tcPr>
            <w:tcW w:w="4111" w:type="dxa"/>
            <w:gridSpan w:val="2"/>
            <w:tcBorders>
              <w:top w:val="single" w:color="auto" w:sz="4" w:space="0"/>
              <w:left w:val="nil"/>
              <w:bottom w:val="nil"/>
              <w:right w:val="nil"/>
            </w:tcBorders>
            <w:vAlign w:val="center"/>
          </w:tcPr>
          <w:p w14:paraId="73761676">
            <w:pPr>
              <w:jc w:val="center"/>
              <w:rPr>
                <w:rFonts w:ascii="Arial" w:hAnsi="Arial" w:cs="Arial"/>
                <w:sz w:val="24"/>
                <w:szCs w:val="24"/>
                <w:lang w:val="en-US"/>
              </w:rPr>
            </w:pPr>
            <w:r>
              <w:rPr>
                <w:rFonts w:ascii="Arial" w:hAnsi="Arial" w:cs="Arial"/>
                <w:sz w:val="24"/>
                <w:szCs w:val="24"/>
                <w:lang w:val="en-US"/>
              </w:rPr>
              <w:t>Males (n=21)</w:t>
            </w:r>
          </w:p>
        </w:tc>
        <w:tc>
          <w:tcPr>
            <w:tcW w:w="1062" w:type="dxa"/>
            <w:vMerge w:val="restart"/>
            <w:tcBorders>
              <w:top w:val="single" w:color="auto" w:sz="4" w:space="0"/>
              <w:left w:val="nil"/>
              <w:bottom w:val="nil"/>
              <w:right w:val="nil"/>
            </w:tcBorders>
            <w:vAlign w:val="center"/>
          </w:tcPr>
          <w:p w14:paraId="144896E5">
            <w:pPr>
              <w:jc w:val="center"/>
              <w:rPr>
                <w:rFonts w:ascii="Arial" w:hAnsi="Arial" w:cs="Arial"/>
                <w:sz w:val="24"/>
                <w:szCs w:val="24"/>
                <w:lang w:val="en-US"/>
                <w14:ligatures w14:val="none"/>
              </w:rPr>
            </w:pPr>
            <w:r>
              <w:rPr>
                <w:rFonts w:ascii="Arial" w:hAnsi="Arial" w:cs="Arial"/>
                <w:i/>
                <w:iCs/>
                <w:sz w:val="24"/>
                <w:lang w:val="en-US"/>
              </w:rPr>
              <w:t>p</w:t>
            </w:r>
            <w:r>
              <w:rPr>
                <w:rFonts w:ascii="Arial" w:hAnsi="Arial" w:cs="Arial"/>
                <w:sz w:val="24"/>
                <w:lang w:val="en-US"/>
              </w:rPr>
              <w:t>-value</w:t>
            </w:r>
          </w:p>
        </w:tc>
      </w:tr>
      <w:tr w14:paraId="731045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vMerge w:val="continue"/>
            <w:tcBorders>
              <w:top w:val="single" w:color="auto" w:sz="4" w:space="0"/>
              <w:left w:val="nil"/>
              <w:bottom w:val="single" w:color="auto" w:sz="4" w:space="0"/>
              <w:right w:val="nil"/>
            </w:tcBorders>
            <w:vAlign w:val="center"/>
          </w:tcPr>
          <w:p w14:paraId="63B12A3D">
            <w:pPr>
              <w:rPr>
                <w:rFonts w:ascii="Arial" w:hAnsi="Arial" w:cs="Arial"/>
                <w:sz w:val="24"/>
                <w:szCs w:val="24"/>
                <w:lang w:val="en-US"/>
              </w:rPr>
            </w:pPr>
          </w:p>
        </w:tc>
        <w:tc>
          <w:tcPr>
            <w:tcW w:w="2452" w:type="dxa"/>
            <w:tcBorders>
              <w:top w:val="single" w:color="auto" w:sz="4" w:space="0"/>
              <w:left w:val="nil"/>
              <w:bottom w:val="single" w:color="auto" w:sz="4" w:space="0"/>
              <w:right w:val="nil"/>
            </w:tcBorders>
            <w:vAlign w:val="center"/>
          </w:tcPr>
          <w:p w14:paraId="1EAE5AD3">
            <w:pPr>
              <w:jc w:val="center"/>
              <w:rPr>
                <w:rFonts w:ascii="Arial" w:hAnsi="Arial" w:cs="Arial"/>
                <w:sz w:val="24"/>
                <w:szCs w:val="24"/>
                <w:lang w:val="en-US"/>
              </w:rPr>
            </w:pPr>
            <w:r>
              <w:rPr>
                <w:rFonts w:ascii="Arial" w:hAnsi="Arial" w:cs="Arial"/>
                <w:sz w:val="24"/>
                <w:szCs w:val="24"/>
                <w:lang w:val="en-US"/>
              </w:rPr>
              <w:t>Morning group</w:t>
            </w:r>
          </w:p>
          <w:p w14:paraId="21DF2360">
            <w:pPr>
              <w:jc w:val="center"/>
              <w:rPr>
                <w:rFonts w:ascii="Arial" w:hAnsi="Arial" w:cs="Arial"/>
                <w:sz w:val="24"/>
                <w:szCs w:val="24"/>
                <w:lang w:val="en-US"/>
              </w:rPr>
            </w:pPr>
            <w:r>
              <w:rPr>
                <w:rFonts w:ascii="Arial" w:hAnsi="Arial" w:cs="Arial"/>
                <w:sz w:val="24"/>
                <w:szCs w:val="24"/>
                <w:lang w:val="en-US"/>
              </w:rPr>
              <w:t>(n=13)</w:t>
            </w:r>
          </w:p>
        </w:tc>
        <w:tc>
          <w:tcPr>
            <w:tcW w:w="2193" w:type="dxa"/>
            <w:tcBorders>
              <w:top w:val="single" w:color="auto" w:sz="4" w:space="0"/>
              <w:left w:val="nil"/>
              <w:bottom w:val="single" w:color="auto" w:sz="4" w:space="0"/>
              <w:right w:val="nil"/>
            </w:tcBorders>
            <w:vAlign w:val="center"/>
          </w:tcPr>
          <w:p w14:paraId="085CE1BC">
            <w:pPr>
              <w:jc w:val="center"/>
              <w:rPr>
                <w:rFonts w:ascii="Arial" w:hAnsi="Arial" w:cs="Arial"/>
                <w:sz w:val="24"/>
                <w:szCs w:val="24"/>
                <w:lang w:val="en-US"/>
              </w:rPr>
            </w:pPr>
            <w:r>
              <w:rPr>
                <w:rFonts w:ascii="Arial" w:hAnsi="Arial" w:cs="Arial"/>
                <w:sz w:val="24"/>
                <w:szCs w:val="24"/>
                <w:lang w:val="en-US"/>
              </w:rPr>
              <w:t>Afternoon group</w:t>
            </w:r>
          </w:p>
          <w:p w14:paraId="6E4CA430">
            <w:pPr>
              <w:jc w:val="center"/>
              <w:rPr>
                <w:rFonts w:ascii="Arial" w:hAnsi="Arial" w:cs="Arial"/>
                <w:sz w:val="24"/>
                <w:szCs w:val="24"/>
                <w:lang w:val="en-US"/>
              </w:rPr>
            </w:pPr>
            <w:r>
              <w:rPr>
                <w:rFonts w:ascii="Arial" w:hAnsi="Arial" w:cs="Arial"/>
                <w:sz w:val="24"/>
                <w:szCs w:val="24"/>
                <w:lang w:val="en-US"/>
              </w:rPr>
              <w:t>(n=11)</w:t>
            </w:r>
          </w:p>
        </w:tc>
        <w:tc>
          <w:tcPr>
            <w:tcW w:w="0" w:type="auto"/>
            <w:vMerge w:val="continue"/>
            <w:tcBorders>
              <w:top w:val="single" w:color="auto" w:sz="4" w:space="0"/>
              <w:left w:val="nil"/>
              <w:bottom w:val="nil"/>
              <w:right w:val="nil"/>
            </w:tcBorders>
            <w:vAlign w:val="center"/>
          </w:tcPr>
          <w:p w14:paraId="0D43BCCD">
            <w:pPr>
              <w:jc w:val="center"/>
              <w:rPr>
                <w:rFonts w:ascii="Arial" w:hAnsi="Arial" w:cs="Arial"/>
                <w:sz w:val="24"/>
                <w:szCs w:val="24"/>
                <w:lang w:val="en-US"/>
              </w:rPr>
            </w:pPr>
          </w:p>
        </w:tc>
        <w:tc>
          <w:tcPr>
            <w:tcW w:w="2127" w:type="dxa"/>
            <w:tcBorders>
              <w:top w:val="single" w:color="auto" w:sz="4" w:space="0"/>
              <w:left w:val="nil"/>
              <w:bottom w:val="single" w:color="auto" w:sz="4" w:space="0"/>
              <w:right w:val="nil"/>
            </w:tcBorders>
            <w:vAlign w:val="center"/>
          </w:tcPr>
          <w:p w14:paraId="7AAEC595">
            <w:pPr>
              <w:jc w:val="center"/>
              <w:rPr>
                <w:rFonts w:ascii="Arial" w:hAnsi="Arial" w:cs="Arial"/>
                <w:sz w:val="24"/>
                <w:szCs w:val="24"/>
                <w:lang w:val="en-US"/>
              </w:rPr>
            </w:pPr>
            <w:r>
              <w:rPr>
                <w:rFonts w:ascii="Arial" w:hAnsi="Arial" w:cs="Arial"/>
                <w:sz w:val="24"/>
                <w:szCs w:val="24"/>
                <w:lang w:val="en-US"/>
              </w:rPr>
              <w:t>Morning group</w:t>
            </w:r>
          </w:p>
          <w:p w14:paraId="1DDEDF6A">
            <w:pPr>
              <w:jc w:val="center"/>
              <w:rPr>
                <w:rFonts w:ascii="Arial" w:hAnsi="Arial" w:cs="Arial"/>
                <w:sz w:val="24"/>
                <w:szCs w:val="24"/>
                <w:lang w:val="en-US"/>
              </w:rPr>
            </w:pPr>
            <w:r>
              <w:rPr>
                <w:rFonts w:ascii="Arial" w:hAnsi="Arial" w:cs="Arial"/>
                <w:sz w:val="24"/>
                <w:szCs w:val="24"/>
                <w:lang w:val="en-US"/>
              </w:rPr>
              <w:t>(n=11)</w:t>
            </w:r>
          </w:p>
        </w:tc>
        <w:tc>
          <w:tcPr>
            <w:tcW w:w="1984" w:type="dxa"/>
            <w:tcBorders>
              <w:top w:val="single" w:color="auto" w:sz="4" w:space="0"/>
              <w:left w:val="nil"/>
              <w:bottom w:val="single" w:color="auto" w:sz="4" w:space="0"/>
              <w:right w:val="nil"/>
            </w:tcBorders>
            <w:vAlign w:val="center"/>
          </w:tcPr>
          <w:p w14:paraId="0A2DA9C5">
            <w:pPr>
              <w:jc w:val="center"/>
              <w:rPr>
                <w:rFonts w:ascii="Arial" w:hAnsi="Arial" w:cs="Arial"/>
                <w:sz w:val="24"/>
                <w:szCs w:val="24"/>
                <w:lang w:val="en-US"/>
              </w:rPr>
            </w:pPr>
            <w:r>
              <w:rPr>
                <w:rFonts w:ascii="Arial" w:hAnsi="Arial" w:cs="Arial"/>
                <w:sz w:val="24"/>
                <w:szCs w:val="24"/>
                <w:lang w:val="en-US"/>
              </w:rPr>
              <w:t>Afternoon group</w:t>
            </w:r>
          </w:p>
          <w:p w14:paraId="14D6B041">
            <w:pPr>
              <w:jc w:val="center"/>
              <w:rPr>
                <w:rFonts w:ascii="Arial" w:hAnsi="Arial" w:cs="Arial"/>
                <w:sz w:val="24"/>
                <w:szCs w:val="24"/>
                <w:lang w:val="en-US"/>
              </w:rPr>
            </w:pPr>
            <w:r>
              <w:rPr>
                <w:rFonts w:ascii="Arial" w:hAnsi="Arial" w:cs="Arial"/>
                <w:sz w:val="24"/>
                <w:szCs w:val="24"/>
                <w:lang w:val="en-US"/>
              </w:rPr>
              <w:t>(n=10)</w:t>
            </w:r>
          </w:p>
        </w:tc>
        <w:tc>
          <w:tcPr>
            <w:tcW w:w="0" w:type="auto"/>
            <w:vMerge w:val="continue"/>
            <w:tcBorders>
              <w:top w:val="single" w:color="auto" w:sz="4" w:space="0"/>
              <w:left w:val="nil"/>
              <w:bottom w:val="nil"/>
              <w:right w:val="nil"/>
            </w:tcBorders>
            <w:vAlign w:val="center"/>
          </w:tcPr>
          <w:p w14:paraId="0B345E3F">
            <w:pPr>
              <w:jc w:val="center"/>
              <w:rPr>
                <w:rFonts w:ascii="Arial" w:hAnsi="Arial" w:cs="Arial"/>
                <w:sz w:val="24"/>
                <w:szCs w:val="24"/>
                <w:lang w:val="en-US"/>
              </w:rPr>
            </w:pPr>
          </w:p>
        </w:tc>
      </w:tr>
      <w:tr w14:paraId="0508C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single" w:color="auto" w:sz="4" w:space="0"/>
              <w:left w:val="nil"/>
              <w:bottom w:val="nil"/>
              <w:right w:val="nil"/>
            </w:tcBorders>
            <w:vAlign w:val="center"/>
          </w:tcPr>
          <w:p w14:paraId="52580B16">
            <w:pPr>
              <w:rPr>
                <w:rFonts w:ascii="Arial" w:hAnsi="Arial" w:cs="Arial"/>
                <w:sz w:val="24"/>
                <w:szCs w:val="24"/>
                <w:lang w:val="en-US"/>
              </w:rPr>
            </w:pPr>
            <w:r>
              <w:rPr>
                <w:rFonts w:ascii="Arial" w:hAnsi="Arial" w:cs="Arial"/>
                <w:sz w:val="24"/>
                <w:szCs w:val="24"/>
                <w:lang w:val="en-US"/>
              </w:rPr>
              <w:t>Age (years)</w:t>
            </w:r>
          </w:p>
        </w:tc>
        <w:tc>
          <w:tcPr>
            <w:tcW w:w="2452" w:type="dxa"/>
            <w:tcBorders>
              <w:top w:val="single" w:color="auto" w:sz="4" w:space="0"/>
              <w:left w:val="nil"/>
              <w:bottom w:val="nil"/>
              <w:right w:val="nil"/>
            </w:tcBorders>
            <w:vAlign w:val="center"/>
          </w:tcPr>
          <w:p w14:paraId="16AE316C">
            <w:pPr>
              <w:jc w:val="center"/>
              <w:rPr>
                <w:rFonts w:ascii="Arial" w:hAnsi="Arial" w:cs="Arial"/>
                <w:sz w:val="24"/>
                <w:szCs w:val="24"/>
                <w:lang w:val="en-US"/>
              </w:rPr>
            </w:pPr>
            <w:r>
              <w:rPr>
                <w:rFonts w:ascii="Arial" w:hAnsi="Arial" w:cs="Arial"/>
                <w:sz w:val="24"/>
                <w:szCs w:val="24"/>
                <w:lang w:val="en-US"/>
              </w:rPr>
              <w:t>47.92±13.30</w:t>
            </w:r>
          </w:p>
        </w:tc>
        <w:tc>
          <w:tcPr>
            <w:tcW w:w="2193" w:type="dxa"/>
            <w:tcBorders>
              <w:top w:val="single" w:color="auto" w:sz="4" w:space="0"/>
              <w:left w:val="nil"/>
              <w:bottom w:val="nil"/>
              <w:right w:val="nil"/>
            </w:tcBorders>
            <w:vAlign w:val="center"/>
          </w:tcPr>
          <w:p w14:paraId="33AABB53">
            <w:pPr>
              <w:jc w:val="center"/>
              <w:rPr>
                <w:rFonts w:ascii="Arial" w:hAnsi="Arial" w:cs="Arial"/>
                <w:sz w:val="24"/>
                <w:szCs w:val="24"/>
                <w:lang w:val="en-US"/>
              </w:rPr>
            </w:pPr>
            <w:r>
              <w:rPr>
                <w:rFonts w:ascii="Arial" w:hAnsi="Arial" w:cs="Arial"/>
                <w:sz w:val="24"/>
                <w:szCs w:val="24"/>
                <w:lang w:val="en-US"/>
              </w:rPr>
              <w:t>47.82±14.27</w:t>
            </w:r>
          </w:p>
        </w:tc>
        <w:tc>
          <w:tcPr>
            <w:tcW w:w="1134" w:type="dxa"/>
            <w:tcBorders>
              <w:top w:val="single" w:color="auto" w:sz="4" w:space="0"/>
              <w:left w:val="nil"/>
              <w:bottom w:val="nil"/>
              <w:right w:val="nil"/>
            </w:tcBorders>
            <w:vAlign w:val="center"/>
          </w:tcPr>
          <w:p w14:paraId="37E136BF">
            <w:pPr>
              <w:jc w:val="center"/>
              <w:rPr>
                <w:rFonts w:ascii="Arial" w:hAnsi="Arial" w:cs="Arial"/>
                <w:sz w:val="24"/>
                <w:szCs w:val="24"/>
                <w:lang w:val="en-US"/>
              </w:rPr>
            </w:pPr>
            <w:r>
              <w:rPr>
                <w:rFonts w:ascii="Arial" w:hAnsi="Arial" w:cs="Arial"/>
                <w:sz w:val="24"/>
                <w:szCs w:val="24"/>
                <w:lang w:val="en-US"/>
              </w:rPr>
              <w:t>0.985</w:t>
            </w:r>
          </w:p>
        </w:tc>
        <w:tc>
          <w:tcPr>
            <w:tcW w:w="2127" w:type="dxa"/>
            <w:tcBorders>
              <w:top w:val="single" w:color="auto" w:sz="4" w:space="0"/>
              <w:left w:val="nil"/>
              <w:bottom w:val="nil"/>
              <w:right w:val="nil"/>
            </w:tcBorders>
            <w:vAlign w:val="center"/>
          </w:tcPr>
          <w:p w14:paraId="55FDFDD3">
            <w:pPr>
              <w:jc w:val="center"/>
              <w:rPr>
                <w:rFonts w:ascii="Arial" w:hAnsi="Arial" w:cs="Arial"/>
                <w:sz w:val="24"/>
                <w:szCs w:val="24"/>
                <w:lang w:val="en-US"/>
              </w:rPr>
            </w:pPr>
            <w:r>
              <w:rPr>
                <w:rFonts w:ascii="Arial" w:hAnsi="Arial" w:cs="Arial"/>
                <w:sz w:val="24"/>
                <w:szCs w:val="24"/>
                <w:lang w:val="en-US"/>
              </w:rPr>
              <w:t>45.18±11.85</w:t>
            </w:r>
          </w:p>
        </w:tc>
        <w:tc>
          <w:tcPr>
            <w:tcW w:w="1984" w:type="dxa"/>
            <w:tcBorders>
              <w:top w:val="single" w:color="auto" w:sz="4" w:space="0"/>
              <w:left w:val="nil"/>
              <w:bottom w:val="nil"/>
              <w:right w:val="nil"/>
            </w:tcBorders>
            <w:vAlign w:val="center"/>
          </w:tcPr>
          <w:p w14:paraId="0BFF6996">
            <w:pPr>
              <w:jc w:val="center"/>
              <w:rPr>
                <w:rFonts w:ascii="Arial" w:hAnsi="Arial" w:cs="Arial"/>
                <w:sz w:val="24"/>
                <w:szCs w:val="24"/>
                <w:lang w:val="en-US"/>
              </w:rPr>
            </w:pPr>
            <w:r>
              <w:rPr>
                <w:rFonts w:ascii="Arial" w:hAnsi="Arial" w:cs="Arial"/>
                <w:sz w:val="24"/>
                <w:szCs w:val="24"/>
                <w:lang w:val="en-US"/>
              </w:rPr>
              <w:t>45.10±10.89</w:t>
            </w:r>
          </w:p>
        </w:tc>
        <w:tc>
          <w:tcPr>
            <w:tcW w:w="1062" w:type="dxa"/>
            <w:tcBorders>
              <w:top w:val="single" w:color="auto" w:sz="4" w:space="0"/>
              <w:left w:val="nil"/>
              <w:bottom w:val="nil"/>
              <w:right w:val="nil"/>
            </w:tcBorders>
            <w:vAlign w:val="center"/>
          </w:tcPr>
          <w:p w14:paraId="6082627A">
            <w:pPr>
              <w:jc w:val="center"/>
              <w:rPr>
                <w:rFonts w:ascii="Arial" w:hAnsi="Arial" w:cs="Arial"/>
                <w:sz w:val="24"/>
                <w:szCs w:val="24"/>
                <w:lang w:val="en-US"/>
              </w:rPr>
            </w:pPr>
            <w:r>
              <w:rPr>
                <w:rFonts w:ascii="Arial" w:hAnsi="Arial" w:cs="Arial"/>
                <w:sz w:val="24"/>
                <w:szCs w:val="24"/>
                <w:lang w:val="en-US"/>
              </w:rPr>
              <w:t>0.856</w:t>
            </w:r>
          </w:p>
        </w:tc>
      </w:tr>
      <w:tr w14:paraId="30666E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nil"/>
              <w:right w:val="nil"/>
            </w:tcBorders>
            <w:vAlign w:val="center"/>
          </w:tcPr>
          <w:p w14:paraId="3D6068F6">
            <w:pPr>
              <w:rPr>
                <w:rFonts w:ascii="Arial" w:hAnsi="Arial" w:cs="Arial"/>
                <w:sz w:val="24"/>
                <w:szCs w:val="24"/>
                <w:lang w:val="en-US"/>
              </w:rPr>
            </w:pPr>
            <w:r>
              <w:rPr>
                <w:rFonts w:ascii="Arial" w:hAnsi="Arial" w:cs="Arial"/>
                <w:sz w:val="24"/>
                <w:szCs w:val="24"/>
                <w:lang w:val="en-US"/>
              </w:rPr>
              <w:t>Weight (kg)</w:t>
            </w:r>
          </w:p>
        </w:tc>
        <w:tc>
          <w:tcPr>
            <w:tcW w:w="2452" w:type="dxa"/>
            <w:tcBorders>
              <w:top w:val="nil"/>
              <w:left w:val="nil"/>
              <w:bottom w:val="nil"/>
              <w:right w:val="nil"/>
            </w:tcBorders>
            <w:vAlign w:val="center"/>
          </w:tcPr>
          <w:p w14:paraId="36A7746B">
            <w:pPr>
              <w:jc w:val="center"/>
              <w:rPr>
                <w:rFonts w:ascii="Arial" w:hAnsi="Arial" w:cs="Arial"/>
                <w:sz w:val="24"/>
                <w:szCs w:val="24"/>
                <w:lang w:val="en-US"/>
              </w:rPr>
            </w:pPr>
            <w:r>
              <w:rPr>
                <w:rFonts w:ascii="Arial" w:hAnsi="Arial" w:cs="Arial"/>
                <w:sz w:val="24"/>
                <w:szCs w:val="24"/>
                <w:lang w:val="en-US"/>
              </w:rPr>
              <w:t>64.46±6.59</w:t>
            </w:r>
          </w:p>
        </w:tc>
        <w:tc>
          <w:tcPr>
            <w:tcW w:w="2193" w:type="dxa"/>
            <w:tcBorders>
              <w:top w:val="nil"/>
              <w:left w:val="nil"/>
              <w:bottom w:val="nil"/>
              <w:right w:val="nil"/>
            </w:tcBorders>
            <w:vAlign w:val="center"/>
          </w:tcPr>
          <w:p w14:paraId="5129F88C">
            <w:pPr>
              <w:jc w:val="center"/>
              <w:rPr>
                <w:rFonts w:ascii="Arial" w:hAnsi="Arial" w:cs="Arial"/>
                <w:sz w:val="24"/>
                <w:szCs w:val="24"/>
                <w:lang w:val="en-US"/>
              </w:rPr>
            </w:pPr>
            <w:r>
              <w:rPr>
                <w:rFonts w:ascii="Arial" w:hAnsi="Arial" w:cs="Arial"/>
                <w:sz w:val="24"/>
                <w:szCs w:val="24"/>
                <w:lang w:val="en-US"/>
              </w:rPr>
              <w:t>62.64±6.82</w:t>
            </w:r>
          </w:p>
        </w:tc>
        <w:tc>
          <w:tcPr>
            <w:tcW w:w="1134" w:type="dxa"/>
            <w:tcBorders>
              <w:top w:val="nil"/>
              <w:left w:val="nil"/>
              <w:bottom w:val="nil"/>
              <w:right w:val="nil"/>
            </w:tcBorders>
            <w:vAlign w:val="center"/>
          </w:tcPr>
          <w:p w14:paraId="5230FE3B">
            <w:pPr>
              <w:jc w:val="center"/>
              <w:rPr>
                <w:rFonts w:ascii="Arial" w:hAnsi="Arial" w:cs="Arial"/>
                <w:sz w:val="24"/>
                <w:szCs w:val="24"/>
                <w:lang w:val="en-US"/>
              </w:rPr>
            </w:pPr>
            <w:r>
              <w:rPr>
                <w:rFonts w:ascii="Arial" w:hAnsi="Arial" w:cs="Arial"/>
                <w:sz w:val="24"/>
                <w:szCs w:val="24"/>
                <w:lang w:val="en-US"/>
              </w:rPr>
              <w:t>0.513</w:t>
            </w:r>
          </w:p>
        </w:tc>
        <w:tc>
          <w:tcPr>
            <w:tcW w:w="2127" w:type="dxa"/>
            <w:tcBorders>
              <w:top w:val="nil"/>
              <w:left w:val="nil"/>
              <w:bottom w:val="nil"/>
              <w:right w:val="nil"/>
            </w:tcBorders>
            <w:vAlign w:val="center"/>
          </w:tcPr>
          <w:p w14:paraId="3C960270">
            <w:pPr>
              <w:jc w:val="center"/>
              <w:rPr>
                <w:rFonts w:ascii="Arial" w:hAnsi="Arial" w:cs="Arial"/>
                <w:sz w:val="24"/>
                <w:szCs w:val="24"/>
                <w:lang w:val="en-US"/>
              </w:rPr>
            </w:pPr>
            <w:r>
              <w:rPr>
                <w:rFonts w:ascii="Arial" w:hAnsi="Arial" w:cs="Arial"/>
                <w:sz w:val="24"/>
                <w:szCs w:val="24"/>
                <w:lang w:val="en-US"/>
              </w:rPr>
              <w:t>74.18±10.03</w:t>
            </w:r>
          </w:p>
        </w:tc>
        <w:tc>
          <w:tcPr>
            <w:tcW w:w="1984" w:type="dxa"/>
            <w:tcBorders>
              <w:top w:val="nil"/>
              <w:left w:val="nil"/>
              <w:bottom w:val="nil"/>
              <w:right w:val="nil"/>
            </w:tcBorders>
            <w:vAlign w:val="center"/>
          </w:tcPr>
          <w:p w14:paraId="61E856D5">
            <w:pPr>
              <w:jc w:val="center"/>
              <w:rPr>
                <w:rFonts w:ascii="Arial" w:hAnsi="Arial" w:cs="Arial"/>
                <w:sz w:val="24"/>
                <w:szCs w:val="24"/>
                <w:lang w:val="en-US"/>
              </w:rPr>
            </w:pPr>
            <w:r>
              <w:rPr>
                <w:rFonts w:ascii="Arial" w:hAnsi="Arial" w:cs="Arial"/>
                <w:sz w:val="24"/>
                <w:szCs w:val="24"/>
                <w:lang w:val="en-US"/>
              </w:rPr>
              <w:t>75.00±11.40</w:t>
            </w:r>
          </w:p>
        </w:tc>
        <w:tc>
          <w:tcPr>
            <w:tcW w:w="1062" w:type="dxa"/>
            <w:tcBorders>
              <w:top w:val="nil"/>
              <w:left w:val="nil"/>
              <w:bottom w:val="nil"/>
              <w:right w:val="nil"/>
            </w:tcBorders>
            <w:vAlign w:val="center"/>
          </w:tcPr>
          <w:p w14:paraId="2958028C">
            <w:pPr>
              <w:jc w:val="center"/>
              <w:rPr>
                <w:rFonts w:ascii="Arial" w:hAnsi="Arial" w:cs="Arial"/>
                <w:sz w:val="24"/>
                <w:szCs w:val="24"/>
                <w:lang w:val="en-US"/>
              </w:rPr>
            </w:pPr>
            <w:r>
              <w:rPr>
                <w:rFonts w:ascii="Arial" w:hAnsi="Arial" w:cs="Arial"/>
                <w:sz w:val="24"/>
                <w:szCs w:val="24"/>
                <w:lang w:val="en-US"/>
              </w:rPr>
              <w:t>0.863</w:t>
            </w:r>
          </w:p>
        </w:tc>
      </w:tr>
      <w:tr w14:paraId="62AEF6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nil"/>
              <w:right w:val="nil"/>
            </w:tcBorders>
            <w:vAlign w:val="center"/>
          </w:tcPr>
          <w:p w14:paraId="649DB2D3">
            <w:pPr>
              <w:rPr>
                <w:rFonts w:ascii="Arial" w:hAnsi="Arial" w:cs="Arial"/>
                <w:sz w:val="24"/>
                <w:szCs w:val="24"/>
                <w:lang w:val="en-US"/>
              </w:rPr>
            </w:pPr>
            <w:r>
              <w:rPr>
                <w:rFonts w:ascii="Arial" w:hAnsi="Arial" w:cs="Arial"/>
                <w:sz w:val="24"/>
                <w:szCs w:val="24"/>
                <w:lang w:val="en-US"/>
              </w:rPr>
              <w:t>BMI (kg/m</w:t>
            </w:r>
            <w:r>
              <w:rPr>
                <w:rFonts w:ascii="Arial" w:hAnsi="Arial" w:cs="Arial"/>
                <w:sz w:val="24"/>
                <w:szCs w:val="24"/>
                <w:vertAlign w:val="superscript"/>
                <w:lang w:val="en-US"/>
              </w:rPr>
              <w:t>2</w:t>
            </w:r>
            <w:r>
              <w:rPr>
                <w:rFonts w:ascii="Arial" w:hAnsi="Arial" w:cs="Arial"/>
                <w:sz w:val="24"/>
                <w:szCs w:val="24"/>
                <w:lang w:val="en-US"/>
              </w:rPr>
              <w:t>)</w:t>
            </w:r>
          </w:p>
        </w:tc>
        <w:tc>
          <w:tcPr>
            <w:tcW w:w="2452" w:type="dxa"/>
            <w:tcBorders>
              <w:top w:val="nil"/>
              <w:left w:val="nil"/>
              <w:bottom w:val="nil"/>
              <w:right w:val="nil"/>
            </w:tcBorders>
            <w:vAlign w:val="center"/>
          </w:tcPr>
          <w:p w14:paraId="10E239DF">
            <w:pPr>
              <w:jc w:val="center"/>
              <w:rPr>
                <w:rFonts w:ascii="Arial" w:hAnsi="Arial" w:cs="Arial"/>
                <w:sz w:val="24"/>
                <w:szCs w:val="24"/>
                <w:lang w:val="en-US"/>
              </w:rPr>
            </w:pPr>
            <w:r>
              <w:rPr>
                <w:rFonts w:ascii="Arial" w:hAnsi="Arial" w:cs="Arial"/>
                <w:sz w:val="24"/>
                <w:szCs w:val="24"/>
                <w:lang w:val="en-US"/>
              </w:rPr>
              <w:t>24.79±2.40</w:t>
            </w:r>
          </w:p>
        </w:tc>
        <w:tc>
          <w:tcPr>
            <w:tcW w:w="2193" w:type="dxa"/>
            <w:tcBorders>
              <w:top w:val="nil"/>
              <w:left w:val="nil"/>
              <w:bottom w:val="nil"/>
              <w:right w:val="nil"/>
            </w:tcBorders>
            <w:vAlign w:val="center"/>
          </w:tcPr>
          <w:p w14:paraId="51D2E518">
            <w:pPr>
              <w:jc w:val="center"/>
              <w:rPr>
                <w:rFonts w:ascii="Arial" w:hAnsi="Arial" w:cs="Arial"/>
                <w:sz w:val="24"/>
                <w:szCs w:val="24"/>
                <w:lang w:val="en-US"/>
              </w:rPr>
            </w:pPr>
            <w:r>
              <w:rPr>
                <w:rFonts w:ascii="Arial" w:hAnsi="Arial" w:cs="Arial"/>
                <w:sz w:val="24"/>
                <w:szCs w:val="24"/>
                <w:lang w:val="en-US"/>
              </w:rPr>
              <w:t>23.75±2.35</w:t>
            </w:r>
          </w:p>
        </w:tc>
        <w:tc>
          <w:tcPr>
            <w:tcW w:w="1134" w:type="dxa"/>
            <w:tcBorders>
              <w:top w:val="nil"/>
              <w:left w:val="nil"/>
              <w:bottom w:val="nil"/>
              <w:right w:val="nil"/>
            </w:tcBorders>
            <w:vAlign w:val="center"/>
          </w:tcPr>
          <w:p w14:paraId="22ABB5B1">
            <w:pPr>
              <w:jc w:val="center"/>
              <w:rPr>
                <w:rFonts w:ascii="Arial" w:hAnsi="Arial" w:cs="Arial"/>
                <w:sz w:val="24"/>
                <w:szCs w:val="24"/>
                <w:lang w:val="en-US"/>
              </w:rPr>
            </w:pPr>
            <w:r>
              <w:rPr>
                <w:rFonts w:ascii="Arial" w:hAnsi="Arial" w:cs="Arial"/>
                <w:sz w:val="24"/>
                <w:szCs w:val="24"/>
                <w:lang w:val="en-US"/>
              </w:rPr>
              <w:t>0.298</w:t>
            </w:r>
          </w:p>
        </w:tc>
        <w:tc>
          <w:tcPr>
            <w:tcW w:w="2127" w:type="dxa"/>
            <w:tcBorders>
              <w:top w:val="nil"/>
              <w:left w:val="nil"/>
              <w:bottom w:val="nil"/>
              <w:right w:val="nil"/>
            </w:tcBorders>
            <w:vAlign w:val="center"/>
          </w:tcPr>
          <w:p w14:paraId="30661753">
            <w:pPr>
              <w:jc w:val="center"/>
              <w:rPr>
                <w:rFonts w:ascii="Arial" w:hAnsi="Arial" w:cs="Arial"/>
                <w:sz w:val="24"/>
                <w:szCs w:val="24"/>
                <w:lang w:val="en-US"/>
              </w:rPr>
            </w:pPr>
            <w:r>
              <w:rPr>
                <w:rFonts w:ascii="Arial" w:hAnsi="Arial" w:cs="Arial"/>
                <w:sz w:val="24"/>
                <w:szCs w:val="24"/>
                <w:lang w:val="en-US"/>
              </w:rPr>
              <w:t>24.35±2.89</w:t>
            </w:r>
          </w:p>
        </w:tc>
        <w:tc>
          <w:tcPr>
            <w:tcW w:w="1984" w:type="dxa"/>
            <w:tcBorders>
              <w:top w:val="nil"/>
              <w:left w:val="nil"/>
              <w:bottom w:val="nil"/>
              <w:right w:val="nil"/>
            </w:tcBorders>
            <w:vAlign w:val="center"/>
          </w:tcPr>
          <w:p w14:paraId="5799A4B1">
            <w:pPr>
              <w:jc w:val="center"/>
              <w:rPr>
                <w:rFonts w:ascii="Arial" w:hAnsi="Arial" w:cs="Arial"/>
                <w:sz w:val="24"/>
                <w:szCs w:val="24"/>
                <w:lang w:val="en-US"/>
              </w:rPr>
            </w:pPr>
            <w:r>
              <w:rPr>
                <w:rFonts w:ascii="Arial" w:hAnsi="Arial" w:cs="Arial"/>
                <w:sz w:val="24"/>
                <w:szCs w:val="24"/>
                <w:lang w:val="en-US"/>
              </w:rPr>
              <w:t>24.63±2.93</w:t>
            </w:r>
          </w:p>
        </w:tc>
        <w:tc>
          <w:tcPr>
            <w:tcW w:w="1062" w:type="dxa"/>
            <w:tcBorders>
              <w:top w:val="nil"/>
              <w:left w:val="nil"/>
              <w:bottom w:val="nil"/>
              <w:right w:val="nil"/>
            </w:tcBorders>
            <w:vAlign w:val="center"/>
          </w:tcPr>
          <w:p w14:paraId="3C4FF677">
            <w:pPr>
              <w:jc w:val="center"/>
              <w:rPr>
                <w:rFonts w:ascii="Arial" w:hAnsi="Arial" w:cs="Arial"/>
                <w:sz w:val="24"/>
                <w:szCs w:val="24"/>
                <w:lang w:val="en-US"/>
              </w:rPr>
            </w:pPr>
            <w:r>
              <w:rPr>
                <w:rFonts w:ascii="Arial" w:hAnsi="Arial" w:cs="Arial"/>
                <w:sz w:val="24"/>
                <w:szCs w:val="24"/>
                <w:lang w:val="en-US"/>
              </w:rPr>
              <w:t>0.830</w:t>
            </w:r>
          </w:p>
        </w:tc>
      </w:tr>
      <w:tr w14:paraId="56ADE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nil"/>
              <w:right w:val="nil"/>
            </w:tcBorders>
            <w:vAlign w:val="center"/>
          </w:tcPr>
          <w:p w14:paraId="6D3CA3BF">
            <w:pPr>
              <w:rPr>
                <w:rFonts w:ascii="Arial" w:hAnsi="Arial" w:cs="Arial"/>
                <w:sz w:val="24"/>
                <w:szCs w:val="24"/>
                <w:lang w:val="en-US"/>
              </w:rPr>
            </w:pPr>
            <w:r>
              <w:rPr>
                <w:rFonts w:ascii="Arial" w:hAnsi="Arial" w:cs="Arial"/>
                <w:sz w:val="24"/>
                <w:szCs w:val="24"/>
                <w:lang w:val="en-US"/>
              </w:rPr>
              <w:t>Operation duration (min)</w:t>
            </w:r>
          </w:p>
        </w:tc>
        <w:tc>
          <w:tcPr>
            <w:tcW w:w="2452" w:type="dxa"/>
            <w:tcBorders>
              <w:top w:val="nil"/>
              <w:left w:val="nil"/>
              <w:bottom w:val="nil"/>
              <w:right w:val="nil"/>
            </w:tcBorders>
            <w:vAlign w:val="center"/>
          </w:tcPr>
          <w:p w14:paraId="7B680B4D">
            <w:pPr>
              <w:jc w:val="center"/>
              <w:rPr>
                <w:rFonts w:ascii="Arial" w:hAnsi="Arial" w:cs="Arial"/>
                <w:sz w:val="24"/>
                <w:szCs w:val="24"/>
                <w:lang w:val="en-US"/>
              </w:rPr>
            </w:pPr>
            <w:r>
              <w:rPr>
                <w:rFonts w:ascii="Arial" w:hAnsi="Arial" w:cs="Arial"/>
                <w:sz w:val="24"/>
                <w:szCs w:val="24"/>
                <w:lang w:val="en-US"/>
              </w:rPr>
              <w:t xml:space="preserve">58.00 </w:t>
            </w:r>
          </w:p>
          <w:p w14:paraId="4A62D697">
            <w:pPr>
              <w:jc w:val="center"/>
              <w:rPr>
                <w:rFonts w:ascii="Arial" w:hAnsi="Arial" w:cs="Arial"/>
                <w:sz w:val="24"/>
                <w:szCs w:val="24"/>
                <w:lang w:val="en-US"/>
              </w:rPr>
            </w:pPr>
            <w:r>
              <w:rPr>
                <w:rFonts w:ascii="Arial" w:hAnsi="Arial" w:cs="Arial"/>
                <w:sz w:val="24"/>
                <w:szCs w:val="24"/>
                <w:lang w:val="en-US"/>
              </w:rPr>
              <w:t>(42.00-82.50)</w:t>
            </w:r>
          </w:p>
        </w:tc>
        <w:tc>
          <w:tcPr>
            <w:tcW w:w="2193" w:type="dxa"/>
            <w:tcBorders>
              <w:top w:val="nil"/>
              <w:left w:val="nil"/>
              <w:bottom w:val="nil"/>
              <w:right w:val="nil"/>
            </w:tcBorders>
            <w:vAlign w:val="center"/>
          </w:tcPr>
          <w:p w14:paraId="52FDC949">
            <w:pPr>
              <w:jc w:val="center"/>
              <w:rPr>
                <w:rFonts w:ascii="Arial" w:hAnsi="Arial" w:cs="Arial"/>
                <w:sz w:val="24"/>
                <w:szCs w:val="24"/>
                <w:lang w:val="en-US"/>
              </w:rPr>
            </w:pPr>
            <w:r>
              <w:rPr>
                <w:rFonts w:ascii="Arial" w:hAnsi="Arial" w:cs="Arial"/>
                <w:sz w:val="24"/>
                <w:szCs w:val="24"/>
                <w:lang w:val="en-US"/>
              </w:rPr>
              <w:t xml:space="preserve">60.00 </w:t>
            </w:r>
          </w:p>
          <w:p w14:paraId="4CCF309A">
            <w:pPr>
              <w:jc w:val="center"/>
              <w:rPr>
                <w:rFonts w:ascii="Arial" w:hAnsi="Arial" w:cs="Arial"/>
                <w:sz w:val="24"/>
                <w:szCs w:val="24"/>
                <w:lang w:val="en-US"/>
              </w:rPr>
            </w:pPr>
            <w:r>
              <w:rPr>
                <w:rFonts w:ascii="Arial" w:hAnsi="Arial" w:cs="Arial"/>
                <w:sz w:val="24"/>
                <w:szCs w:val="24"/>
                <w:lang w:val="en-US"/>
              </w:rPr>
              <w:t>(45.00-75.00)</w:t>
            </w:r>
          </w:p>
        </w:tc>
        <w:tc>
          <w:tcPr>
            <w:tcW w:w="1134" w:type="dxa"/>
            <w:tcBorders>
              <w:top w:val="nil"/>
              <w:left w:val="nil"/>
              <w:bottom w:val="nil"/>
              <w:right w:val="nil"/>
            </w:tcBorders>
            <w:vAlign w:val="center"/>
          </w:tcPr>
          <w:p w14:paraId="4388644E">
            <w:pPr>
              <w:jc w:val="center"/>
              <w:rPr>
                <w:rFonts w:ascii="Arial" w:hAnsi="Arial" w:cs="Arial"/>
                <w:sz w:val="24"/>
                <w:szCs w:val="24"/>
                <w:lang w:val="en-US"/>
              </w:rPr>
            </w:pPr>
            <w:r>
              <w:rPr>
                <w:rFonts w:ascii="Arial" w:hAnsi="Arial" w:cs="Arial"/>
                <w:sz w:val="24"/>
                <w:szCs w:val="24"/>
                <w:lang w:val="en-US"/>
              </w:rPr>
              <w:t>0.931</w:t>
            </w:r>
          </w:p>
        </w:tc>
        <w:tc>
          <w:tcPr>
            <w:tcW w:w="2127" w:type="dxa"/>
            <w:tcBorders>
              <w:top w:val="nil"/>
              <w:left w:val="nil"/>
              <w:bottom w:val="nil"/>
              <w:right w:val="nil"/>
            </w:tcBorders>
            <w:vAlign w:val="center"/>
          </w:tcPr>
          <w:p w14:paraId="627CCE70">
            <w:pPr>
              <w:jc w:val="center"/>
              <w:rPr>
                <w:rFonts w:ascii="Arial" w:hAnsi="Arial" w:cs="Arial"/>
                <w:sz w:val="24"/>
                <w:szCs w:val="24"/>
                <w:lang w:val="en-US"/>
              </w:rPr>
            </w:pPr>
            <w:r>
              <w:rPr>
                <w:rFonts w:ascii="Arial" w:hAnsi="Arial" w:cs="Arial"/>
                <w:sz w:val="24"/>
                <w:szCs w:val="24"/>
                <w:lang w:val="en-US"/>
              </w:rPr>
              <w:t>53.27±14.80</w:t>
            </w:r>
          </w:p>
        </w:tc>
        <w:tc>
          <w:tcPr>
            <w:tcW w:w="1984" w:type="dxa"/>
            <w:tcBorders>
              <w:top w:val="nil"/>
              <w:left w:val="nil"/>
              <w:bottom w:val="nil"/>
              <w:right w:val="nil"/>
            </w:tcBorders>
            <w:vAlign w:val="center"/>
          </w:tcPr>
          <w:p w14:paraId="6908912D">
            <w:pPr>
              <w:jc w:val="center"/>
              <w:rPr>
                <w:rFonts w:ascii="Arial" w:hAnsi="Arial" w:cs="Arial"/>
                <w:sz w:val="24"/>
                <w:szCs w:val="24"/>
                <w:lang w:val="en-US"/>
              </w:rPr>
            </w:pPr>
            <w:r>
              <w:rPr>
                <w:rFonts w:ascii="Arial" w:hAnsi="Arial" w:cs="Arial"/>
                <w:sz w:val="24"/>
                <w:szCs w:val="24"/>
                <w:lang w:val="en-US"/>
              </w:rPr>
              <w:t>60.60±12.82</w:t>
            </w:r>
          </w:p>
        </w:tc>
        <w:tc>
          <w:tcPr>
            <w:tcW w:w="1062" w:type="dxa"/>
            <w:tcBorders>
              <w:top w:val="nil"/>
              <w:left w:val="nil"/>
              <w:bottom w:val="nil"/>
              <w:right w:val="nil"/>
            </w:tcBorders>
            <w:vAlign w:val="center"/>
          </w:tcPr>
          <w:p w14:paraId="08B65A2C">
            <w:pPr>
              <w:jc w:val="center"/>
              <w:rPr>
                <w:rFonts w:ascii="Arial" w:hAnsi="Arial" w:cs="Arial"/>
                <w:sz w:val="24"/>
                <w:szCs w:val="24"/>
                <w:lang w:val="en-US"/>
              </w:rPr>
            </w:pPr>
            <w:r>
              <w:rPr>
                <w:rFonts w:ascii="Arial" w:hAnsi="Arial" w:cs="Arial"/>
                <w:sz w:val="24"/>
                <w:szCs w:val="24"/>
                <w:lang w:val="en-US"/>
              </w:rPr>
              <w:t>0.242</w:t>
            </w:r>
          </w:p>
        </w:tc>
      </w:tr>
      <w:tr w14:paraId="6DAA42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nil"/>
              <w:right w:val="nil"/>
            </w:tcBorders>
            <w:vAlign w:val="center"/>
          </w:tcPr>
          <w:p w14:paraId="69D920F2">
            <w:pPr>
              <w:rPr>
                <w:rFonts w:ascii="Arial" w:hAnsi="Arial" w:cs="Arial"/>
                <w:sz w:val="24"/>
                <w:szCs w:val="24"/>
                <w:lang w:val="en-US"/>
              </w:rPr>
            </w:pPr>
            <w:r>
              <w:rPr>
                <w:rFonts w:ascii="Arial" w:hAnsi="Arial" w:cs="Arial"/>
                <w:sz w:val="24"/>
                <w:szCs w:val="24"/>
                <w:lang w:val="en-US"/>
              </w:rPr>
              <w:t>Anesthesia duration (min)</w:t>
            </w:r>
          </w:p>
        </w:tc>
        <w:tc>
          <w:tcPr>
            <w:tcW w:w="2452" w:type="dxa"/>
            <w:tcBorders>
              <w:top w:val="nil"/>
              <w:left w:val="nil"/>
              <w:bottom w:val="nil"/>
              <w:right w:val="nil"/>
            </w:tcBorders>
            <w:vAlign w:val="center"/>
          </w:tcPr>
          <w:p w14:paraId="01D34EE4">
            <w:pPr>
              <w:jc w:val="center"/>
              <w:rPr>
                <w:rFonts w:ascii="Arial" w:hAnsi="Arial" w:cs="Arial"/>
                <w:sz w:val="24"/>
                <w:szCs w:val="24"/>
                <w:lang w:val="en-US"/>
              </w:rPr>
            </w:pPr>
            <w:r>
              <w:rPr>
                <w:rFonts w:ascii="Arial" w:hAnsi="Arial" w:cs="Arial"/>
                <w:sz w:val="24"/>
                <w:szCs w:val="24"/>
                <w:lang w:val="en-US"/>
              </w:rPr>
              <w:t xml:space="preserve">84.00 </w:t>
            </w:r>
          </w:p>
          <w:p w14:paraId="49D1CE50">
            <w:pPr>
              <w:jc w:val="center"/>
              <w:rPr>
                <w:rFonts w:ascii="Arial" w:hAnsi="Arial" w:cs="Arial"/>
                <w:sz w:val="24"/>
                <w:szCs w:val="24"/>
                <w:lang w:val="en-US"/>
              </w:rPr>
            </w:pPr>
            <w:r>
              <w:rPr>
                <w:rFonts w:ascii="Arial" w:hAnsi="Arial" w:cs="Arial"/>
                <w:sz w:val="24"/>
                <w:szCs w:val="24"/>
                <w:lang w:val="en-US"/>
              </w:rPr>
              <w:t>(65.50-101.00)</w:t>
            </w:r>
          </w:p>
        </w:tc>
        <w:tc>
          <w:tcPr>
            <w:tcW w:w="2193" w:type="dxa"/>
            <w:tcBorders>
              <w:top w:val="nil"/>
              <w:left w:val="nil"/>
              <w:bottom w:val="nil"/>
              <w:right w:val="nil"/>
            </w:tcBorders>
            <w:vAlign w:val="center"/>
          </w:tcPr>
          <w:p w14:paraId="11A5851C">
            <w:pPr>
              <w:jc w:val="center"/>
              <w:rPr>
                <w:rFonts w:ascii="Arial" w:hAnsi="Arial" w:cs="Arial"/>
                <w:sz w:val="24"/>
                <w:szCs w:val="24"/>
                <w:lang w:val="en-US"/>
              </w:rPr>
            </w:pPr>
            <w:r>
              <w:rPr>
                <w:rFonts w:ascii="Arial" w:hAnsi="Arial" w:cs="Arial"/>
                <w:sz w:val="24"/>
                <w:szCs w:val="24"/>
                <w:lang w:val="en-US"/>
              </w:rPr>
              <w:t xml:space="preserve">83.00 </w:t>
            </w:r>
          </w:p>
          <w:p w14:paraId="10E4AA35">
            <w:pPr>
              <w:jc w:val="center"/>
              <w:rPr>
                <w:rFonts w:ascii="Arial" w:hAnsi="Arial" w:cs="Arial"/>
                <w:sz w:val="24"/>
                <w:szCs w:val="24"/>
                <w:lang w:val="en-US"/>
              </w:rPr>
            </w:pPr>
            <w:r>
              <w:rPr>
                <w:rFonts w:ascii="Arial" w:hAnsi="Arial" w:cs="Arial"/>
                <w:sz w:val="24"/>
                <w:szCs w:val="24"/>
                <w:lang w:val="en-US"/>
              </w:rPr>
              <w:t>(66.00-96.00)</w:t>
            </w:r>
          </w:p>
        </w:tc>
        <w:tc>
          <w:tcPr>
            <w:tcW w:w="1134" w:type="dxa"/>
            <w:tcBorders>
              <w:top w:val="nil"/>
              <w:left w:val="nil"/>
              <w:bottom w:val="nil"/>
              <w:right w:val="nil"/>
            </w:tcBorders>
            <w:vAlign w:val="center"/>
          </w:tcPr>
          <w:p w14:paraId="2F62703F">
            <w:pPr>
              <w:jc w:val="center"/>
              <w:rPr>
                <w:rFonts w:ascii="Arial" w:hAnsi="Arial" w:cs="Arial"/>
                <w:sz w:val="24"/>
                <w:szCs w:val="24"/>
                <w:lang w:val="en-US"/>
              </w:rPr>
            </w:pPr>
            <w:r>
              <w:rPr>
                <w:rFonts w:ascii="Arial" w:hAnsi="Arial" w:cs="Arial"/>
                <w:sz w:val="24"/>
                <w:szCs w:val="24"/>
                <w:lang w:val="en-US"/>
              </w:rPr>
              <w:t>0.931</w:t>
            </w:r>
          </w:p>
        </w:tc>
        <w:tc>
          <w:tcPr>
            <w:tcW w:w="2127" w:type="dxa"/>
            <w:tcBorders>
              <w:top w:val="nil"/>
              <w:left w:val="nil"/>
              <w:bottom w:val="nil"/>
              <w:right w:val="nil"/>
            </w:tcBorders>
            <w:vAlign w:val="center"/>
          </w:tcPr>
          <w:p w14:paraId="6E78F52E">
            <w:pPr>
              <w:jc w:val="center"/>
              <w:rPr>
                <w:rFonts w:ascii="Arial" w:hAnsi="Arial" w:cs="Arial"/>
                <w:sz w:val="24"/>
                <w:szCs w:val="24"/>
                <w:lang w:val="en-US"/>
              </w:rPr>
            </w:pPr>
            <w:r>
              <w:rPr>
                <w:rFonts w:ascii="Arial" w:hAnsi="Arial" w:cs="Arial"/>
                <w:sz w:val="24"/>
                <w:szCs w:val="24"/>
                <w:lang w:val="en-US"/>
              </w:rPr>
              <w:t>75.27±16.34</w:t>
            </w:r>
          </w:p>
        </w:tc>
        <w:tc>
          <w:tcPr>
            <w:tcW w:w="1984" w:type="dxa"/>
            <w:tcBorders>
              <w:top w:val="nil"/>
              <w:left w:val="nil"/>
              <w:bottom w:val="nil"/>
              <w:right w:val="nil"/>
            </w:tcBorders>
            <w:vAlign w:val="center"/>
          </w:tcPr>
          <w:p w14:paraId="3162CCD0">
            <w:pPr>
              <w:jc w:val="center"/>
              <w:rPr>
                <w:rFonts w:ascii="Arial" w:hAnsi="Arial" w:cs="Arial"/>
                <w:sz w:val="24"/>
                <w:szCs w:val="24"/>
                <w:lang w:val="en-US"/>
              </w:rPr>
            </w:pPr>
            <w:r>
              <w:rPr>
                <w:rFonts w:ascii="Arial" w:hAnsi="Arial" w:cs="Arial"/>
                <w:sz w:val="24"/>
                <w:szCs w:val="24"/>
                <w:lang w:val="en-US"/>
              </w:rPr>
              <w:t>85.60±14.00</w:t>
            </w:r>
          </w:p>
        </w:tc>
        <w:tc>
          <w:tcPr>
            <w:tcW w:w="1062" w:type="dxa"/>
            <w:tcBorders>
              <w:top w:val="nil"/>
              <w:left w:val="nil"/>
              <w:bottom w:val="nil"/>
              <w:right w:val="nil"/>
            </w:tcBorders>
            <w:vAlign w:val="center"/>
          </w:tcPr>
          <w:p w14:paraId="36581F01">
            <w:pPr>
              <w:jc w:val="center"/>
              <w:rPr>
                <w:rFonts w:ascii="Arial" w:hAnsi="Arial" w:cs="Arial"/>
                <w:sz w:val="24"/>
                <w:szCs w:val="24"/>
                <w:lang w:val="en-US"/>
              </w:rPr>
            </w:pPr>
            <w:r>
              <w:rPr>
                <w:rFonts w:ascii="Arial" w:hAnsi="Arial" w:cs="Arial"/>
                <w:sz w:val="24"/>
                <w:szCs w:val="24"/>
                <w:lang w:val="en-US"/>
              </w:rPr>
              <w:t>0.286</w:t>
            </w:r>
          </w:p>
        </w:tc>
      </w:tr>
      <w:tr w14:paraId="7643FC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nil"/>
              <w:right w:val="nil"/>
            </w:tcBorders>
            <w:vAlign w:val="center"/>
          </w:tcPr>
          <w:p w14:paraId="37BB953F">
            <w:pPr>
              <w:rPr>
                <w:rFonts w:ascii="Arial" w:hAnsi="Arial" w:cs="Arial"/>
                <w:sz w:val="24"/>
                <w:szCs w:val="24"/>
                <w:lang w:val="en-US"/>
              </w:rPr>
            </w:pPr>
            <w:r>
              <w:rPr>
                <w:rFonts w:ascii="Arial" w:hAnsi="Arial" w:cs="Arial"/>
                <w:sz w:val="24"/>
                <w:szCs w:val="24"/>
                <w:lang w:val="en-US"/>
              </w:rPr>
              <w:t>Sufentanil consumption (ug)</w:t>
            </w:r>
          </w:p>
        </w:tc>
        <w:tc>
          <w:tcPr>
            <w:tcW w:w="2452" w:type="dxa"/>
            <w:tcBorders>
              <w:top w:val="nil"/>
              <w:left w:val="nil"/>
              <w:bottom w:val="nil"/>
              <w:right w:val="nil"/>
            </w:tcBorders>
            <w:vAlign w:val="center"/>
          </w:tcPr>
          <w:p w14:paraId="32595433">
            <w:pPr>
              <w:jc w:val="center"/>
              <w:rPr>
                <w:rFonts w:ascii="Arial" w:hAnsi="Arial" w:cs="Arial"/>
                <w:sz w:val="24"/>
                <w:szCs w:val="24"/>
                <w:lang w:val="en-US"/>
              </w:rPr>
            </w:pPr>
            <w:r>
              <w:rPr>
                <w:rFonts w:ascii="Arial" w:hAnsi="Arial" w:cs="Arial"/>
                <w:sz w:val="24"/>
                <w:szCs w:val="24"/>
                <w:lang w:val="en-US"/>
              </w:rPr>
              <w:t>45.81±12.00</w:t>
            </w:r>
          </w:p>
        </w:tc>
        <w:tc>
          <w:tcPr>
            <w:tcW w:w="2193" w:type="dxa"/>
            <w:tcBorders>
              <w:top w:val="nil"/>
              <w:left w:val="nil"/>
              <w:bottom w:val="nil"/>
              <w:right w:val="nil"/>
            </w:tcBorders>
            <w:vAlign w:val="center"/>
          </w:tcPr>
          <w:p w14:paraId="27FFF8DA">
            <w:pPr>
              <w:jc w:val="center"/>
              <w:rPr>
                <w:rFonts w:ascii="Arial" w:hAnsi="Arial" w:cs="Arial"/>
                <w:sz w:val="24"/>
                <w:szCs w:val="24"/>
                <w:lang w:val="en-US"/>
              </w:rPr>
            </w:pPr>
            <w:r>
              <w:rPr>
                <w:rFonts w:ascii="Arial" w:hAnsi="Arial" w:cs="Arial"/>
                <w:sz w:val="24"/>
                <w:szCs w:val="24"/>
                <w:lang w:val="en-US"/>
              </w:rPr>
              <w:t>33.00±5.72</w:t>
            </w:r>
          </w:p>
        </w:tc>
        <w:tc>
          <w:tcPr>
            <w:tcW w:w="1134" w:type="dxa"/>
            <w:tcBorders>
              <w:top w:val="nil"/>
              <w:left w:val="nil"/>
              <w:bottom w:val="nil"/>
              <w:right w:val="nil"/>
            </w:tcBorders>
            <w:vAlign w:val="center"/>
          </w:tcPr>
          <w:p w14:paraId="21FA923F">
            <w:pPr>
              <w:jc w:val="center"/>
              <w:rPr>
                <w:rFonts w:ascii="Arial" w:hAnsi="Arial" w:cs="Arial"/>
                <w:sz w:val="24"/>
                <w:szCs w:val="24"/>
                <w:lang w:val="en-US"/>
              </w:rPr>
            </w:pPr>
            <w:r>
              <w:rPr>
                <w:rFonts w:ascii="Arial" w:hAnsi="Arial" w:cs="Arial"/>
                <w:sz w:val="24"/>
                <w:szCs w:val="24"/>
                <w:lang w:val="en-US"/>
              </w:rPr>
              <w:t>0.003</w:t>
            </w:r>
          </w:p>
        </w:tc>
        <w:tc>
          <w:tcPr>
            <w:tcW w:w="2127" w:type="dxa"/>
            <w:tcBorders>
              <w:top w:val="nil"/>
              <w:left w:val="nil"/>
              <w:bottom w:val="nil"/>
              <w:right w:val="nil"/>
            </w:tcBorders>
            <w:vAlign w:val="center"/>
          </w:tcPr>
          <w:p w14:paraId="24C94691">
            <w:pPr>
              <w:jc w:val="center"/>
              <w:rPr>
                <w:rFonts w:ascii="Arial" w:hAnsi="Arial" w:cs="Arial"/>
                <w:sz w:val="24"/>
                <w:szCs w:val="24"/>
                <w:lang w:val="en-US"/>
              </w:rPr>
            </w:pPr>
            <w:r>
              <w:rPr>
                <w:rFonts w:ascii="Arial" w:hAnsi="Arial" w:cs="Arial"/>
                <w:sz w:val="24"/>
                <w:szCs w:val="24"/>
                <w:lang w:val="en-US"/>
              </w:rPr>
              <w:t>49.50±12.95</w:t>
            </w:r>
          </w:p>
        </w:tc>
        <w:tc>
          <w:tcPr>
            <w:tcW w:w="1984" w:type="dxa"/>
            <w:tcBorders>
              <w:top w:val="nil"/>
              <w:left w:val="nil"/>
              <w:bottom w:val="nil"/>
              <w:right w:val="nil"/>
            </w:tcBorders>
            <w:vAlign w:val="center"/>
          </w:tcPr>
          <w:p w14:paraId="58A4EDAF">
            <w:pPr>
              <w:jc w:val="center"/>
              <w:rPr>
                <w:rFonts w:ascii="Arial" w:hAnsi="Arial" w:cs="Arial"/>
                <w:sz w:val="24"/>
                <w:szCs w:val="24"/>
                <w:lang w:val="en-US"/>
              </w:rPr>
            </w:pPr>
            <w:r>
              <w:rPr>
                <w:rFonts w:ascii="Arial" w:hAnsi="Arial" w:cs="Arial"/>
                <w:sz w:val="24"/>
                <w:szCs w:val="24"/>
                <w:lang w:val="en-US"/>
              </w:rPr>
              <w:t>39.55±12.65</w:t>
            </w:r>
          </w:p>
        </w:tc>
        <w:tc>
          <w:tcPr>
            <w:tcW w:w="1062" w:type="dxa"/>
            <w:tcBorders>
              <w:top w:val="nil"/>
              <w:left w:val="nil"/>
              <w:bottom w:val="nil"/>
              <w:right w:val="nil"/>
            </w:tcBorders>
            <w:vAlign w:val="center"/>
          </w:tcPr>
          <w:p w14:paraId="4A3F3794">
            <w:pPr>
              <w:jc w:val="center"/>
              <w:rPr>
                <w:rFonts w:ascii="Arial" w:hAnsi="Arial" w:cs="Arial"/>
                <w:sz w:val="24"/>
                <w:szCs w:val="24"/>
                <w:lang w:val="en-US"/>
              </w:rPr>
            </w:pPr>
            <w:r>
              <w:rPr>
                <w:rFonts w:ascii="Arial" w:hAnsi="Arial" w:cs="Arial"/>
                <w:sz w:val="24"/>
                <w:szCs w:val="24"/>
                <w:lang w:val="en-US"/>
              </w:rPr>
              <w:t>0.091</w:t>
            </w:r>
          </w:p>
        </w:tc>
      </w:tr>
      <w:tr w14:paraId="187E57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52" w:type="dxa"/>
            <w:tcBorders>
              <w:top w:val="nil"/>
              <w:left w:val="nil"/>
              <w:bottom w:val="single" w:color="auto" w:sz="4" w:space="0"/>
              <w:right w:val="nil"/>
            </w:tcBorders>
            <w:vAlign w:val="center"/>
          </w:tcPr>
          <w:p w14:paraId="294A4FD0">
            <w:pPr>
              <w:rPr>
                <w:rFonts w:ascii="Arial" w:hAnsi="Arial" w:cs="Arial"/>
                <w:sz w:val="24"/>
                <w:szCs w:val="24"/>
                <w:lang w:val="en-US"/>
              </w:rPr>
            </w:pPr>
            <w:r>
              <w:rPr>
                <w:rFonts w:ascii="Arial" w:hAnsi="Arial" w:cs="Arial"/>
                <w:sz w:val="24"/>
                <w:szCs w:val="24"/>
                <w:lang w:val="en-US"/>
              </w:rPr>
              <w:t>Unit sufentanil consumption (μg/kg/h)</w:t>
            </w:r>
          </w:p>
        </w:tc>
        <w:tc>
          <w:tcPr>
            <w:tcW w:w="2452" w:type="dxa"/>
            <w:tcBorders>
              <w:top w:val="nil"/>
              <w:left w:val="nil"/>
              <w:bottom w:val="single" w:color="auto" w:sz="4" w:space="0"/>
              <w:right w:val="nil"/>
            </w:tcBorders>
            <w:vAlign w:val="center"/>
          </w:tcPr>
          <w:p w14:paraId="22E49809">
            <w:pPr>
              <w:jc w:val="center"/>
              <w:rPr>
                <w:rFonts w:ascii="Arial" w:hAnsi="Arial" w:cs="Arial"/>
                <w:sz w:val="24"/>
                <w:szCs w:val="24"/>
                <w:lang w:val="en-US"/>
              </w:rPr>
            </w:pPr>
            <w:r>
              <w:rPr>
                <w:rFonts w:ascii="Arial" w:hAnsi="Arial" w:cs="Arial"/>
                <w:sz w:val="24"/>
                <w:szCs w:val="24"/>
                <w:lang w:val="en-US"/>
              </w:rPr>
              <w:t>0.51±0.12</w:t>
            </w:r>
          </w:p>
        </w:tc>
        <w:tc>
          <w:tcPr>
            <w:tcW w:w="2193" w:type="dxa"/>
            <w:tcBorders>
              <w:top w:val="nil"/>
              <w:left w:val="nil"/>
              <w:bottom w:val="single" w:color="auto" w:sz="4" w:space="0"/>
              <w:right w:val="nil"/>
            </w:tcBorders>
            <w:vAlign w:val="center"/>
          </w:tcPr>
          <w:p w14:paraId="36A950F6">
            <w:pPr>
              <w:jc w:val="center"/>
              <w:rPr>
                <w:rFonts w:ascii="Arial" w:hAnsi="Arial" w:cs="Arial"/>
                <w:sz w:val="24"/>
                <w:szCs w:val="24"/>
                <w:lang w:val="en-US"/>
              </w:rPr>
            </w:pPr>
            <w:r>
              <w:rPr>
                <w:rFonts w:ascii="Arial" w:hAnsi="Arial" w:cs="Arial"/>
                <w:sz w:val="24"/>
                <w:szCs w:val="24"/>
                <w:lang w:val="en-US"/>
              </w:rPr>
              <w:t>0.39±0.07</w:t>
            </w:r>
          </w:p>
        </w:tc>
        <w:tc>
          <w:tcPr>
            <w:tcW w:w="1134" w:type="dxa"/>
            <w:tcBorders>
              <w:top w:val="nil"/>
              <w:left w:val="nil"/>
              <w:bottom w:val="single" w:color="auto" w:sz="4" w:space="0"/>
              <w:right w:val="nil"/>
            </w:tcBorders>
            <w:vAlign w:val="center"/>
          </w:tcPr>
          <w:p w14:paraId="1893AFFB">
            <w:pPr>
              <w:jc w:val="center"/>
              <w:rPr>
                <w:rFonts w:ascii="Arial" w:hAnsi="Arial" w:cs="Arial"/>
                <w:sz w:val="24"/>
                <w:szCs w:val="24"/>
                <w:lang w:val="en-US"/>
              </w:rPr>
            </w:pPr>
            <w:r>
              <w:rPr>
                <w:rFonts w:ascii="Arial" w:hAnsi="Arial" w:cs="Arial"/>
                <w:sz w:val="24"/>
                <w:szCs w:val="24"/>
                <w:lang w:val="en-US"/>
              </w:rPr>
              <w:t>0.010</w:t>
            </w:r>
          </w:p>
        </w:tc>
        <w:tc>
          <w:tcPr>
            <w:tcW w:w="2127" w:type="dxa"/>
            <w:tcBorders>
              <w:top w:val="nil"/>
              <w:left w:val="nil"/>
              <w:bottom w:val="single" w:color="auto" w:sz="4" w:space="0"/>
              <w:right w:val="nil"/>
            </w:tcBorders>
            <w:vAlign w:val="center"/>
          </w:tcPr>
          <w:p w14:paraId="74D2F604">
            <w:pPr>
              <w:jc w:val="center"/>
              <w:rPr>
                <w:rFonts w:ascii="Arial" w:hAnsi="Arial" w:cs="Arial"/>
                <w:sz w:val="24"/>
                <w:szCs w:val="24"/>
                <w:lang w:val="en-US"/>
              </w:rPr>
            </w:pPr>
            <w:r>
              <w:rPr>
                <w:rFonts w:ascii="Arial" w:hAnsi="Arial" w:cs="Arial"/>
                <w:sz w:val="24"/>
                <w:szCs w:val="24"/>
                <w:lang w:val="en-US"/>
              </w:rPr>
              <w:t>0.55±0.13</w:t>
            </w:r>
          </w:p>
        </w:tc>
        <w:tc>
          <w:tcPr>
            <w:tcW w:w="1984" w:type="dxa"/>
            <w:tcBorders>
              <w:top w:val="nil"/>
              <w:left w:val="nil"/>
              <w:bottom w:val="single" w:color="auto" w:sz="4" w:space="0"/>
              <w:right w:val="nil"/>
            </w:tcBorders>
            <w:vAlign w:val="center"/>
          </w:tcPr>
          <w:p w14:paraId="5C34DC61">
            <w:pPr>
              <w:jc w:val="center"/>
              <w:rPr>
                <w:rFonts w:ascii="Arial" w:hAnsi="Arial" w:cs="Arial"/>
                <w:sz w:val="24"/>
                <w:szCs w:val="24"/>
                <w:lang w:val="en-US"/>
              </w:rPr>
            </w:pPr>
            <w:r>
              <w:rPr>
                <w:rFonts w:ascii="Arial" w:hAnsi="Arial" w:cs="Arial"/>
                <w:sz w:val="24"/>
                <w:szCs w:val="24"/>
                <w:lang w:val="en-US"/>
              </w:rPr>
              <w:t>0.39±0.12</w:t>
            </w:r>
          </w:p>
        </w:tc>
        <w:tc>
          <w:tcPr>
            <w:tcW w:w="1062" w:type="dxa"/>
            <w:tcBorders>
              <w:top w:val="nil"/>
              <w:left w:val="nil"/>
              <w:bottom w:val="single" w:color="auto" w:sz="4" w:space="0"/>
              <w:right w:val="nil"/>
            </w:tcBorders>
            <w:vAlign w:val="center"/>
          </w:tcPr>
          <w:p w14:paraId="72F768DA">
            <w:pPr>
              <w:jc w:val="center"/>
              <w:rPr>
                <w:rFonts w:ascii="Arial" w:hAnsi="Arial" w:cs="Arial"/>
                <w:sz w:val="24"/>
                <w:szCs w:val="24"/>
                <w:lang w:val="en-US"/>
              </w:rPr>
            </w:pPr>
            <w:r>
              <w:rPr>
                <w:rFonts w:ascii="Arial" w:hAnsi="Arial" w:cs="Arial"/>
                <w:sz w:val="24"/>
                <w:szCs w:val="24"/>
                <w:lang w:val="en-US"/>
              </w:rPr>
              <w:t>0.012</w:t>
            </w:r>
          </w:p>
        </w:tc>
      </w:tr>
    </w:tbl>
    <w:p w14:paraId="4D4964A7">
      <w:pPr>
        <w:spacing w:line="480" w:lineRule="auto"/>
        <w:rPr>
          <w:rFonts w:ascii="Arial" w:hAnsi="Arial" w:cs="Arial"/>
          <w:sz w:val="24"/>
          <w:szCs w:val="24"/>
          <w:lang w:val="en-US"/>
        </w:rPr>
      </w:pPr>
      <w:r>
        <w:rPr>
          <w:rFonts w:ascii="Arial" w:hAnsi="Arial" w:cs="Arial"/>
          <w:sz w:val="24"/>
          <w:szCs w:val="24"/>
          <w:lang w:val="en-US"/>
        </w:rPr>
        <w:t>Data are presented as mean ± standard deviation (SD) or medians (25th-75th percentile). BMI, Body Mass Index</w:t>
      </w:r>
    </w:p>
    <w:p w14:paraId="37FD6680">
      <w:pPr>
        <w:spacing w:line="480" w:lineRule="auto"/>
        <w:rPr>
          <w:rFonts w:ascii="Arial" w:hAnsi="Arial" w:cs="Arial"/>
          <w:sz w:val="24"/>
          <w:szCs w:val="24"/>
          <w:lang w:val="en-US"/>
        </w:rPr>
      </w:pPr>
    </w:p>
    <w:p w14:paraId="7C531731">
      <w:pPr>
        <w:spacing w:line="480" w:lineRule="auto"/>
        <w:rPr>
          <w:rFonts w:ascii="Arial" w:hAnsi="Arial" w:cs="Arial"/>
          <w:sz w:val="24"/>
          <w:szCs w:val="24"/>
          <w:lang w:val="en-US"/>
        </w:rPr>
      </w:pPr>
      <w:r>
        <w:rPr>
          <w:rFonts w:ascii="Arial" w:hAnsi="Arial" w:cs="Arial"/>
          <w:b/>
          <w:bCs/>
          <w:sz w:val="24"/>
          <w:szCs w:val="24"/>
          <w:lang w:val="en-US"/>
        </w:rPr>
        <w:t>Table S2</w:t>
      </w:r>
      <w:r>
        <w:rPr>
          <w:rFonts w:ascii="Arial" w:hAnsi="Arial" w:cs="Arial"/>
          <w:sz w:val="24"/>
          <w:szCs w:val="24"/>
          <w:lang w:val="en-US"/>
        </w:rPr>
        <w:t>. Multivariable analysis of primary outcomes</w:t>
      </w:r>
    </w:p>
    <w:tbl>
      <w:tblPr>
        <w:tblStyle w:val="5"/>
        <w:tblW w:w="120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77"/>
        <w:gridCol w:w="1641"/>
        <w:gridCol w:w="1641"/>
        <w:gridCol w:w="2369"/>
        <w:gridCol w:w="1990"/>
      </w:tblGrid>
      <w:tr w14:paraId="7B6C54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377" w:type="dxa"/>
            <w:tcBorders>
              <w:top w:val="single" w:color="auto" w:sz="4" w:space="0"/>
              <w:left w:val="nil"/>
              <w:bottom w:val="single" w:color="auto" w:sz="4" w:space="0"/>
              <w:right w:val="nil"/>
            </w:tcBorders>
            <w:vAlign w:val="center"/>
          </w:tcPr>
          <w:p w14:paraId="1157C61E">
            <w:pPr>
              <w:spacing w:line="240" w:lineRule="auto"/>
              <w:rPr>
                <w:rFonts w:ascii="Arial" w:hAnsi="Arial" w:cs="Arial"/>
                <w:sz w:val="24"/>
                <w:szCs w:val="24"/>
                <w:lang w:val="en-US"/>
              </w:rPr>
            </w:pPr>
          </w:p>
        </w:tc>
        <w:tc>
          <w:tcPr>
            <w:tcW w:w="1641" w:type="dxa"/>
            <w:tcBorders>
              <w:top w:val="single" w:color="auto" w:sz="4" w:space="0"/>
              <w:left w:val="nil"/>
              <w:bottom w:val="single" w:color="auto" w:sz="4" w:space="0"/>
              <w:right w:val="nil"/>
            </w:tcBorders>
            <w:vAlign w:val="center"/>
          </w:tcPr>
          <w:p w14:paraId="6F58144F">
            <w:pPr>
              <w:spacing w:line="240" w:lineRule="auto"/>
              <w:jc w:val="center"/>
              <w:rPr>
                <w:rFonts w:ascii="Arial" w:hAnsi="Arial" w:cs="Arial"/>
                <w:sz w:val="24"/>
                <w:szCs w:val="24"/>
                <w:lang w:val="en-US"/>
              </w:rPr>
            </w:pPr>
            <w:r>
              <w:rPr>
                <w:rFonts w:ascii="Arial" w:hAnsi="Arial" w:cs="Arial"/>
                <w:sz w:val="24"/>
                <w:szCs w:val="24"/>
                <w:lang w:val="en-US"/>
              </w:rPr>
              <w:t>Variables</w:t>
            </w:r>
          </w:p>
        </w:tc>
        <w:tc>
          <w:tcPr>
            <w:tcW w:w="1641" w:type="dxa"/>
            <w:tcBorders>
              <w:top w:val="single" w:color="auto" w:sz="4" w:space="0"/>
              <w:left w:val="nil"/>
              <w:bottom w:val="single" w:color="auto" w:sz="4" w:space="0"/>
              <w:right w:val="nil"/>
            </w:tcBorders>
            <w:vAlign w:val="center"/>
          </w:tcPr>
          <w:p w14:paraId="2110095F">
            <w:pPr>
              <w:spacing w:line="240" w:lineRule="auto"/>
              <w:jc w:val="center"/>
              <w:rPr>
                <w:rFonts w:ascii="Arial" w:hAnsi="Arial" w:cs="Arial"/>
                <w:sz w:val="24"/>
                <w:szCs w:val="24"/>
                <w:lang w:val="en-US"/>
              </w:rPr>
            </w:pPr>
            <w:r>
              <w:rPr>
                <w:rFonts w:ascii="Arial" w:hAnsi="Arial" w:cs="Arial"/>
                <w:sz w:val="24"/>
                <w:szCs w:val="24"/>
                <w:lang w:val="en-US"/>
              </w:rPr>
              <w:t>β</w:t>
            </w:r>
          </w:p>
        </w:tc>
        <w:tc>
          <w:tcPr>
            <w:tcW w:w="2369" w:type="dxa"/>
            <w:tcBorders>
              <w:top w:val="single" w:color="auto" w:sz="4" w:space="0"/>
              <w:left w:val="nil"/>
              <w:bottom w:val="single" w:color="auto" w:sz="4" w:space="0"/>
              <w:right w:val="nil"/>
            </w:tcBorders>
            <w:vAlign w:val="center"/>
          </w:tcPr>
          <w:p w14:paraId="7F443FEC">
            <w:pPr>
              <w:spacing w:line="240" w:lineRule="auto"/>
              <w:jc w:val="center"/>
              <w:rPr>
                <w:rFonts w:ascii="Arial" w:hAnsi="Arial" w:cs="Arial"/>
                <w:sz w:val="24"/>
                <w:szCs w:val="24"/>
                <w:lang w:val="en-US"/>
              </w:rPr>
            </w:pPr>
            <w:r>
              <w:rPr>
                <w:rFonts w:ascii="Arial" w:hAnsi="Arial" w:cs="Arial"/>
                <w:sz w:val="24"/>
                <w:szCs w:val="24"/>
                <w:lang w:val="en-US"/>
              </w:rPr>
              <w:t>95% CI</w:t>
            </w:r>
          </w:p>
        </w:tc>
        <w:tc>
          <w:tcPr>
            <w:tcW w:w="1990" w:type="dxa"/>
            <w:tcBorders>
              <w:top w:val="single" w:color="auto" w:sz="4" w:space="0"/>
              <w:left w:val="nil"/>
              <w:bottom w:val="single" w:color="auto" w:sz="4" w:space="0"/>
              <w:right w:val="nil"/>
            </w:tcBorders>
            <w:vAlign w:val="center"/>
          </w:tcPr>
          <w:p w14:paraId="78554CB3">
            <w:pPr>
              <w:spacing w:line="240" w:lineRule="auto"/>
              <w:jc w:val="center"/>
              <w:rPr>
                <w:rFonts w:ascii="Arial" w:hAnsi="Arial" w:cs="Arial"/>
                <w:sz w:val="24"/>
                <w:szCs w:val="24"/>
                <w:lang w:val="en-US"/>
                <w14:ligatures w14:val="none"/>
              </w:rPr>
            </w:pPr>
            <w:r>
              <w:rPr>
                <w:rFonts w:ascii="Arial" w:hAnsi="Arial" w:cs="Arial"/>
                <w:i/>
                <w:iCs/>
                <w:sz w:val="24"/>
                <w:lang w:val="en-US"/>
              </w:rPr>
              <w:t>p</w:t>
            </w:r>
            <w:r>
              <w:rPr>
                <w:rFonts w:ascii="Arial" w:hAnsi="Arial" w:cs="Arial"/>
                <w:sz w:val="24"/>
                <w:lang w:val="en-US"/>
              </w:rPr>
              <w:t>-value</w:t>
            </w:r>
          </w:p>
        </w:tc>
      </w:tr>
      <w:tr w14:paraId="479CB8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377" w:type="dxa"/>
            <w:vMerge w:val="restart"/>
            <w:tcBorders>
              <w:top w:val="nil"/>
              <w:left w:val="nil"/>
              <w:bottom w:val="nil"/>
              <w:right w:val="nil"/>
            </w:tcBorders>
            <w:vAlign w:val="center"/>
          </w:tcPr>
          <w:p w14:paraId="05F4AA39">
            <w:pPr>
              <w:spacing w:line="240" w:lineRule="auto"/>
              <w:rPr>
                <w:rFonts w:ascii="Arial" w:hAnsi="Arial" w:cs="Arial"/>
                <w:sz w:val="24"/>
                <w:szCs w:val="24"/>
                <w:lang w:val="en-US"/>
              </w:rPr>
            </w:pPr>
            <w:r>
              <w:rPr>
                <w:rFonts w:ascii="Arial" w:hAnsi="Arial" w:cs="Arial"/>
                <w:sz w:val="24"/>
                <w:szCs w:val="24"/>
                <w:lang w:val="en-US"/>
              </w:rPr>
              <w:t>Model for sufentanil consumption</w:t>
            </w:r>
          </w:p>
        </w:tc>
        <w:tc>
          <w:tcPr>
            <w:tcW w:w="1641" w:type="dxa"/>
            <w:tcBorders>
              <w:top w:val="single" w:color="auto" w:sz="4" w:space="0"/>
              <w:left w:val="nil"/>
              <w:bottom w:val="nil"/>
              <w:right w:val="nil"/>
            </w:tcBorders>
            <w:vAlign w:val="center"/>
          </w:tcPr>
          <w:p w14:paraId="16331012">
            <w:pPr>
              <w:spacing w:line="240" w:lineRule="auto"/>
              <w:jc w:val="center"/>
              <w:rPr>
                <w:rFonts w:ascii="Arial" w:hAnsi="Arial" w:cs="Arial"/>
                <w:sz w:val="24"/>
                <w:szCs w:val="24"/>
                <w:lang w:val="en-US"/>
              </w:rPr>
            </w:pPr>
            <w:r>
              <w:rPr>
                <w:rFonts w:ascii="Arial" w:hAnsi="Arial" w:cs="Arial"/>
                <w:sz w:val="24"/>
                <w:szCs w:val="24"/>
                <w:lang w:val="en-US"/>
              </w:rPr>
              <w:t>Gender</w:t>
            </w:r>
          </w:p>
        </w:tc>
        <w:tc>
          <w:tcPr>
            <w:tcW w:w="1641" w:type="dxa"/>
            <w:tcBorders>
              <w:top w:val="single" w:color="auto" w:sz="4" w:space="0"/>
              <w:left w:val="nil"/>
              <w:bottom w:val="nil"/>
              <w:right w:val="nil"/>
            </w:tcBorders>
            <w:vAlign w:val="center"/>
          </w:tcPr>
          <w:p w14:paraId="3FFC4154">
            <w:pPr>
              <w:spacing w:line="240" w:lineRule="auto"/>
              <w:jc w:val="center"/>
              <w:rPr>
                <w:rFonts w:ascii="Arial" w:hAnsi="Arial" w:cs="Arial"/>
                <w:sz w:val="24"/>
                <w:szCs w:val="24"/>
                <w:lang w:val="en-US"/>
              </w:rPr>
            </w:pPr>
            <w:r>
              <w:rPr>
                <w:rFonts w:ascii="Arial" w:hAnsi="Arial" w:cs="Arial"/>
                <w:sz w:val="24"/>
                <w:szCs w:val="24"/>
                <w:lang w:val="en-US"/>
              </w:rPr>
              <w:t>4.658</w:t>
            </w:r>
          </w:p>
        </w:tc>
        <w:tc>
          <w:tcPr>
            <w:tcW w:w="2369" w:type="dxa"/>
            <w:tcBorders>
              <w:top w:val="single" w:color="auto" w:sz="4" w:space="0"/>
              <w:left w:val="nil"/>
              <w:bottom w:val="nil"/>
              <w:right w:val="nil"/>
            </w:tcBorders>
            <w:vAlign w:val="center"/>
          </w:tcPr>
          <w:p w14:paraId="4B631599">
            <w:pPr>
              <w:spacing w:line="240" w:lineRule="auto"/>
              <w:jc w:val="center"/>
              <w:rPr>
                <w:rFonts w:ascii="Arial" w:hAnsi="Arial" w:cs="Arial"/>
                <w:sz w:val="24"/>
                <w:szCs w:val="24"/>
                <w:lang w:val="en-US"/>
              </w:rPr>
            </w:pPr>
            <w:r>
              <w:rPr>
                <w:rFonts w:ascii="Arial" w:hAnsi="Arial" w:cs="Arial"/>
                <w:sz w:val="24"/>
                <w:szCs w:val="24"/>
                <w:lang w:val="en-US"/>
              </w:rPr>
              <w:t>-2.952-12.269</w:t>
            </w:r>
          </w:p>
        </w:tc>
        <w:tc>
          <w:tcPr>
            <w:tcW w:w="1990" w:type="dxa"/>
            <w:tcBorders>
              <w:top w:val="single" w:color="auto" w:sz="4" w:space="0"/>
              <w:left w:val="nil"/>
              <w:bottom w:val="nil"/>
              <w:right w:val="nil"/>
            </w:tcBorders>
            <w:vAlign w:val="center"/>
          </w:tcPr>
          <w:p w14:paraId="33405F81">
            <w:pPr>
              <w:spacing w:line="240" w:lineRule="auto"/>
              <w:jc w:val="center"/>
              <w:rPr>
                <w:rFonts w:ascii="Arial" w:hAnsi="Arial" w:cs="Arial"/>
                <w:sz w:val="24"/>
                <w:szCs w:val="24"/>
                <w:lang w:val="en-US"/>
              </w:rPr>
            </w:pPr>
            <w:r>
              <w:rPr>
                <w:rFonts w:ascii="Arial" w:hAnsi="Arial" w:cs="Arial"/>
                <w:sz w:val="24"/>
                <w:szCs w:val="24"/>
                <w:lang w:val="en-US"/>
              </w:rPr>
              <w:t>0.224</w:t>
            </w:r>
          </w:p>
        </w:tc>
      </w:tr>
      <w:tr w14:paraId="0C28B0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vMerge w:val="continue"/>
            <w:tcBorders>
              <w:top w:val="nil"/>
              <w:left w:val="nil"/>
              <w:bottom w:val="nil"/>
              <w:right w:val="nil"/>
            </w:tcBorders>
            <w:vAlign w:val="center"/>
          </w:tcPr>
          <w:p w14:paraId="62570CAE">
            <w:pPr>
              <w:spacing w:line="240" w:lineRule="auto"/>
              <w:rPr>
                <w:rFonts w:ascii="Arial" w:hAnsi="Arial" w:cs="Arial"/>
                <w:sz w:val="24"/>
                <w:szCs w:val="24"/>
                <w:lang w:val="en-US"/>
              </w:rPr>
            </w:pPr>
          </w:p>
        </w:tc>
        <w:tc>
          <w:tcPr>
            <w:tcW w:w="1641" w:type="dxa"/>
            <w:tcBorders>
              <w:top w:val="nil"/>
              <w:left w:val="nil"/>
              <w:bottom w:val="single" w:color="auto" w:sz="4" w:space="0"/>
              <w:right w:val="nil"/>
            </w:tcBorders>
            <w:vAlign w:val="center"/>
          </w:tcPr>
          <w:p w14:paraId="408E5D95">
            <w:pPr>
              <w:spacing w:line="240" w:lineRule="auto"/>
              <w:jc w:val="center"/>
              <w:rPr>
                <w:rFonts w:ascii="Arial" w:hAnsi="Arial" w:cs="Arial"/>
                <w:sz w:val="24"/>
                <w:szCs w:val="24"/>
                <w:lang w:val="en-US"/>
              </w:rPr>
            </w:pPr>
            <w:r>
              <w:rPr>
                <w:rFonts w:ascii="Arial" w:hAnsi="Arial" w:cs="Arial"/>
                <w:sz w:val="24"/>
                <w:szCs w:val="24"/>
                <w:lang w:val="en-US"/>
              </w:rPr>
              <w:t>Age</w:t>
            </w:r>
          </w:p>
        </w:tc>
        <w:tc>
          <w:tcPr>
            <w:tcW w:w="1641" w:type="dxa"/>
            <w:tcBorders>
              <w:top w:val="nil"/>
              <w:left w:val="nil"/>
              <w:bottom w:val="single" w:color="auto" w:sz="4" w:space="0"/>
              <w:right w:val="nil"/>
            </w:tcBorders>
            <w:vAlign w:val="center"/>
          </w:tcPr>
          <w:p w14:paraId="30A8E5F6">
            <w:pPr>
              <w:spacing w:line="240" w:lineRule="auto"/>
              <w:jc w:val="center"/>
              <w:rPr>
                <w:rFonts w:ascii="Arial" w:hAnsi="Arial" w:cs="Arial"/>
                <w:sz w:val="24"/>
                <w:szCs w:val="24"/>
                <w:lang w:val="en-US"/>
              </w:rPr>
            </w:pPr>
            <w:r>
              <w:rPr>
                <w:rFonts w:ascii="Arial" w:hAnsi="Arial" w:cs="Arial"/>
                <w:sz w:val="24"/>
                <w:szCs w:val="24"/>
                <w:lang w:val="en-US"/>
              </w:rPr>
              <w:t>-0.074</w:t>
            </w:r>
          </w:p>
        </w:tc>
        <w:tc>
          <w:tcPr>
            <w:tcW w:w="2369" w:type="dxa"/>
            <w:tcBorders>
              <w:top w:val="nil"/>
              <w:left w:val="nil"/>
              <w:bottom w:val="single" w:color="auto" w:sz="4" w:space="0"/>
              <w:right w:val="nil"/>
            </w:tcBorders>
            <w:vAlign w:val="center"/>
          </w:tcPr>
          <w:p w14:paraId="5A8AD71F">
            <w:pPr>
              <w:spacing w:line="240" w:lineRule="auto"/>
              <w:jc w:val="center"/>
              <w:rPr>
                <w:rFonts w:ascii="Arial" w:hAnsi="Arial" w:cs="Arial"/>
                <w:sz w:val="24"/>
                <w:szCs w:val="24"/>
                <w:lang w:val="en-US"/>
              </w:rPr>
            </w:pPr>
            <w:r>
              <w:rPr>
                <w:rFonts w:ascii="Arial" w:hAnsi="Arial" w:cs="Arial"/>
                <w:sz w:val="24"/>
                <w:szCs w:val="24"/>
                <w:lang w:val="en-US"/>
              </w:rPr>
              <w:t>-0.385-0.238</w:t>
            </w:r>
          </w:p>
        </w:tc>
        <w:tc>
          <w:tcPr>
            <w:tcW w:w="1990" w:type="dxa"/>
            <w:tcBorders>
              <w:top w:val="nil"/>
              <w:left w:val="nil"/>
              <w:bottom w:val="single" w:color="auto" w:sz="4" w:space="0"/>
              <w:right w:val="nil"/>
            </w:tcBorders>
            <w:vAlign w:val="center"/>
          </w:tcPr>
          <w:p w14:paraId="1B6BA86A">
            <w:pPr>
              <w:spacing w:line="240" w:lineRule="auto"/>
              <w:jc w:val="center"/>
              <w:rPr>
                <w:rFonts w:ascii="Arial" w:hAnsi="Arial" w:cs="Arial"/>
                <w:sz w:val="24"/>
                <w:szCs w:val="24"/>
                <w:lang w:val="en-US"/>
              </w:rPr>
            </w:pPr>
            <w:r>
              <w:rPr>
                <w:rFonts w:ascii="Arial" w:hAnsi="Arial" w:cs="Arial"/>
                <w:sz w:val="24"/>
                <w:szCs w:val="24"/>
                <w:lang w:val="en-US"/>
              </w:rPr>
              <w:t>0.636</w:t>
            </w:r>
          </w:p>
        </w:tc>
      </w:tr>
      <w:tr w14:paraId="0603E7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377" w:type="dxa"/>
            <w:vMerge w:val="restart"/>
            <w:tcBorders>
              <w:top w:val="nil"/>
              <w:left w:val="nil"/>
              <w:bottom w:val="single" w:color="auto" w:sz="4" w:space="0"/>
              <w:right w:val="nil"/>
            </w:tcBorders>
            <w:vAlign w:val="center"/>
          </w:tcPr>
          <w:p w14:paraId="1004BE68">
            <w:pPr>
              <w:spacing w:line="240" w:lineRule="auto"/>
              <w:rPr>
                <w:rFonts w:ascii="Arial" w:hAnsi="Arial" w:cs="Arial"/>
                <w:sz w:val="24"/>
                <w:szCs w:val="24"/>
                <w:lang w:val="en-US"/>
              </w:rPr>
            </w:pPr>
            <w:r>
              <w:rPr>
                <w:rFonts w:ascii="Arial" w:hAnsi="Arial" w:cs="Arial"/>
                <w:sz w:val="24"/>
                <w:szCs w:val="24"/>
                <w:lang w:val="en-US"/>
              </w:rPr>
              <w:t>Model for unit sufentanil consumption</w:t>
            </w:r>
          </w:p>
        </w:tc>
        <w:tc>
          <w:tcPr>
            <w:tcW w:w="1641" w:type="dxa"/>
            <w:tcBorders>
              <w:top w:val="single" w:color="auto" w:sz="4" w:space="0"/>
              <w:left w:val="nil"/>
              <w:bottom w:val="nil"/>
              <w:right w:val="nil"/>
            </w:tcBorders>
            <w:vAlign w:val="center"/>
          </w:tcPr>
          <w:p w14:paraId="210964D7">
            <w:pPr>
              <w:spacing w:line="240" w:lineRule="auto"/>
              <w:jc w:val="center"/>
              <w:rPr>
                <w:rFonts w:ascii="Arial" w:hAnsi="Arial" w:cs="Arial"/>
                <w:sz w:val="24"/>
                <w:szCs w:val="24"/>
                <w:lang w:val="en-US"/>
              </w:rPr>
            </w:pPr>
            <w:r>
              <w:rPr>
                <w:rFonts w:ascii="Arial" w:hAnsi="Arial" w:cs="Arial"/>
                <w:sz w:val="24"/>
                <w:szCs w:val="24"/>
                <w:lang w:val="en-US"/>
              </w:rPr>
              <w:t>Gender</w:t>
            </w:r>
          </w:p>
        </w:tc>
        <w:tc>
          <w:tcPr>
            <w:tcW w:w="1641" w:type="dxa"/>
            <w:tcBorders>
              <w:top w:val="single" w:color="auto" w:sz="4" w:space="0"/>
              <w:left w:val="nil"/>
              <w:bottom w:val="nil"/>
              <w:right w:val="nil"/>
            </w:tcBorders>
            <w:vAlign w:val="center"/>
          </w:tcPr>
          <w:p w14:paraId="006E4368">
            <w:pPr>
              <w:spacing w:line="240" w:lineRule="auto"/>
              <w:jc w:val="center"/>
              <w:rPr>
                <w:rFonts w:ascii="Arial" w:hAnsi="Arial" w:cs="Arial"/>
                <w:sz w:val="24"/>
                <w:szCs w:val="24"/>
                <w:lang w:val="en-US"/>
              </w:rPr>
            </w:pPr>
            <w:r>
              <w:rPr>
                <w:rFonts w:ascii="Arial" w:hAnsi="Arial" w:cs="Arial"/>
                <w:sz w:val="24"/>
                <w:szCs w:val="24"/>
                <w:lang w:val="en-US"/>
              </w:rPr>
              <w:t>0.015</w:t>
            </w:r>
          </w:p>
        </w:tc>
        <w:tc>
          <w:tcPr>
            <w:tcW w:w="2369" w:type="dxa"/>
            <w:tcBorders>
              <w:top w:val="single" w:color="auto" w:sz="4" w:space="0"/>
              <w:left w:val="nil"/>
              <w:bottom w:val="nil"/>
              <w:right w:val="nil"/>
            </w:tcBorders>
            <w:vAlign w:val="center"/>
          </w:tcPr>
          <w:p w14:paraId="211CA235">
            <w:pPr>
              <w:spacing w:line="240" w:lineRule="auto"/>
              <w:jc w:val="center"/>
              <w:rPr>
                <w:rFonts w:ascii="Arial" w:hAnsi="Arial" w:cs="Arial"/>
                <w:sz w:val="24"/>
                <w:szCs w:val="24"/>
                <w:lang w:val="en-US"/>
              </w:rPr>
            </w:pPr>
            <w:r>
              <w:rPr>
                <w:rFonts w:ascii="Arial" w:hAnsi="Arial" w:cs="Arial"/>
                <w:sz w:val="24"/>
                <w:szCs w:val="24"/>
                <w:lang w:val="en-US"/>
              </w:rPr>
              <w:t>-0.065-0.095</w:t>
            </w:r>
          </w:p>
        </w:tc>
        <w:tc>
          <w:tcPr>
            <w:tcW w:w="1990" w:type="dxa"/>
            <w:tcBorders>
              <w:top w:val="single" w:color="auto" w:sz="4" w:space="0"/>
              <w:left w:val="nil"/>
              <w:bottom w:val="nil"/>
              <w:right w:val="nil"/>
            </w:tcBorders>
            <w:vAlign w:val="center"/>
          </w:tcPr>
          <w:p w14:paraId="62879249">
            <w:pPr>
              <w:spacing w:line="240" w:lineRule="auto"/>
              <w:jc w:val="center"/>
              <w:rPr>
                <w:rFonts w:ascii="Arial" w:hAnsi="Arial" w:cs="Arial"/>
                <w:sz w:val="24"/>
                <w:szCs w:val="24"/>
                <w:lang w:val="en-US"/>
              </w:rPr>
            </w:pPr>
            <w:r>
              <w:rPr>
                <w:rFonts w:ascii="Arial" w:hAnsi="Arial" w:cs="Arial"/>
                <w:sz w:val="24"/>
                <w:szCs w:val="24"/>
                <w:lang w:val="en-US"/>
              </w:rPr>
              <w:t>0.702</w:t>
            </w:r>
          </w:p>
        </w:tc>
      </w:tr>
      <w:tr w14:paraId="07C8ED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vMerge w:val="continue"/>
            <w:tcBorders>
              <w:top w:val="nil"/>
              <w:left w:val="nil"/>
              <w:bottom w:val="single" w:color="auto" w:sz="4" w:space="0"/>
              <w:right w:val="nil"/>
            </w:tcBorders>
            <w:vAlign w:val="center"/>
          </w:tcPr>
          <w:p w14:paraId="5ECF4E58">
            <w:pPr>
              <w:spacing w:line="240" w:lineRule="auto"/>
              <w:rPr>
                <w:rFonts w:ascii="Arial" w:hAnsi="Arial" w:cs="Arial"/>
                <w:sz w:val="24"/>
                <w:szCs w:val="24"/>
                <w:lang w:val="en-US"/>
              </w:rPr>
            </w:pPr>
          </w:p>
        </w:tc>
        <w:tc>
          <w:tcPr>
            <w:tcW w:w="1641" w:type="dxa"/>
            <w:tcBorders>
              <w:top w:val="nil"/>
              <w:left w:val="nil"/>
              <w:bottom w:val="single" w:color="auto" w:sz="4" w:space="0"/>
              <w:right w:val="nil"/>
            </w:tcBorders>
            <w:vAlign w:val="center"/>
          </w:tcPr>
          <w:p w14:paraId="51FD8053">
            <w:pPr>
              <w:spacing w:line="240" w:lineRule="auto"/>
              <w:jc w:val="center"/>
              <w:rPr>
                <w:rFonts w:ascii="Arial" w:hAnsi="Arial" w:cs="Arial"/>
                <w:sz w:val="24"/>
                <w:szCs w:val="24"/>
                <w:lang w:val="en-US"/>
              </w:rPr>
            </w:pPr>
            <w:r>
              <w:rPr>
                <w:rFonts w:ascii="Arial" w:hAnsi="Arial" w:cs="Arial"/>
                <w:sz w:val="24"/>
                <w:szCs w:val="24"/>
                <w:lang w:val="en-US"/>
              </w:rPr>
              <w:t>Age</w:t>
            </w:r>
          </w:p>
        </w:tc>
        <w:tc>
          <w:tcPr>
            <w:tcW w:w="1641" w:type="dxa"/>
            <w:tcBorders>
              <w:top w:val="nil"/>
              <w:left w:val="nil"/>
              <w:bottom w:val="single" w:color="auto" w:sz="4" w:space="0"/>
              <w:right w:val="nil"/>
            </w:tcBorders>
            <w:vAlign w:val="center"/>
          </w:tcPr>
          <w:p w14:paraId="0530E1BF">
            <w:pPr>
              <w:spacing w:line="240" w:lineRule="auto"/>
              <w:jc w:val="center"/>
              <w:rPr>
                <w:rFonts w:ascii="Arial" w:hAnsi="Arial" w:cs="Arial"/>
                <w:sz w:val="24"/>
                <w:szCs w:val="24"/>
                <w:lang w:val="en-US"/>
              </w:rPr>
            </w:pPr>
            <w:r>
              <w:rPr>
                <w:rFonts w:ascii="Arial" w:hAnsi="Arial" w:cs="Arial"/>
                <w:sz w:val="24"/>
                <w:szCs w:val="24"/>
                <w:lang w:val="en-US"/>
              </w:rPr>
              <w:t>-0.001</w:t>
            </w:r>
          </w:p>
        </w:tc>
        <w:tc>
          <w:tcPr>
            <w:tcW w:w="2369" w:type="dxa"/>
            <w:tcBorders>
              <w:top w:val="nil"/>
              <w:left w:val="nil"/>
              <w:bottom w:val="single" w:color="auto" w:sz="4" w:space="0"/>
              <w:right w:val="nil"/>
            </w:tcBorders>
            <w:vAlign w:val="center"/>
          </w:tcPr>
          <w:p w14:paraId="3F511DF3">
            <w:pPr>
              <w:spacing w:line="240" w:lineRule="auto"/>
              <w:jc w:val="center"/>
              <w:rPr>
                <w:rFonts w:ascii="Arial" w:hAnsi="Arial" w:cs="Arial"/>
                <w:sz w:val="24"/>
                <w:szCs w:val="24"/>
                <w:lang w:val="en-US"/>
              </w:rPr>
            </w:pPr>
            <w:r>
              <w:rPr>
                <w:rFonts w:ascii="Arial" w:hAnsi="Arial" w:cs="Arial"/>
                <w:sz w:val="24"/>
                <w:szCs w:val="24"/>
                <w:lang w:val="en-US"/>
              </w:rPr>
              <w:t>-0.005-0.002</w:t>
            </w:r>
          </w:p>
        </w:tc>
        <w:tc>
          <w:tcPr>
            <w:tcW w:w="1990" w:type="dxa"/>
            <w:tcBorders>
              <w:top w:val="nil"/>
              <w:left w:val="nil"/>
              <w:bottom w:val="single" w:color="auto" w:sz="4" w:space="0"/>
              <w:right w:val="nil"/>
            </w:tcBorders>
            <w:vAlign w:val="center"/>
          </w:tcPr>
          <w:p w14:paraId="25F6CAA5">
            <w:pPr>
              <w:spacing w:line="240" w:lineRule="auto"/>
              <w:jc w:val="center"/>
              <w:rPr>
                <w:rFonts w:ascii="Arial" w:hAnsi="Arial" w:cs="Arial"/>
                <w:sz w:val="24"/>
                <w:szCs w:val="24"/>
                <w:lang w:val="en-US"/>
              </w:rPr>
            </w:pPr>
            <w:r>
              <w:rPr>
                <w:rFonts w:ascii="Arial" w:hAnsi="Arial" w:cs="Arial"/>
                <w:sz w:val="24"/>
                <w:szCs w:val="24"/>
                <w:lang w:val="en-US"/>
              </w:rPr>
              <w:t>0.422</w:t>
            </w:r>
          </w:p>
        </w:tc>
      </w:tr>
    </w:tbl>
    <w:p w14:paraId="58A356A2">
      <w:pPr>
        <w:spacing w:line="480" w:lineRule="auto"/>
        <w:rPr>
          <w:rFonts w:ascii="Arial" w:hAnsi="Arial" w:cs="Arial"/>
          <w:sz w:val="24"/>
          <w:szCs w:val="24"/>
          <w:lang w:val="en-U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A7133C"/>
    <w:rsid w:val="00046DF2"/>
    <w:rsid w:val="00083DB9"/>
    <w:rsid w:val="000C5DB8"/>
    <w:rsid w:val="000D06E4"/>
    <w:rsid w:val="00210D76"/>
    <w:rsid w:val="0029778B"/>
    <w:rsid w:val="00303BC4"/>
    <w:rsid w:val="003270BB"/>
    <w:rsid w:val="00345748"/>
    <w:rsid w:val="00360389"/>
    <w:rsid w:val="003628CA"/>
    <w:rsid w:val="003765B7"/>
    <w:rsid w:val="00380B98"/>
    <w:rsid w:val="003E098B"/>
    <w:rsid w:val="003F54A8"/>
    <w:rsid w:val="00403A90"/>
    <w:rsid w:val="00410B1A"/>
    <w:rsid w:val="00421C9F"/>
    <w:rsid w:val="0043115D"/>
    <w:rsid w:val="00464B46"/>
    <w:rsid w:val="00497FBF"/>
    <w:rsid w:val="004A0DE2"/>
    <w:rsid w:val="004B328D"/>
    <w:rsid w:val="004D592F"/>
    <w:rsid w:val="004E6AF2"/>
    <w:rsid w:val="00523B9E"/>
    <w:rsid w:val="0052563D"/>
    <w:rsid w:val="00554F36"/>
    <w:rsid w:val="0055542D"/>
    <w:rsid w:val="005E29EA"/>
    <w:rsid w:val="00603002"/>
    <w:rsid w:val="00622E70"/>
    <w:rsid w:val="0062680D"/>
    <w:rsid w:val="0063654D"/>
    <w:rsid w:val="00650D70"/>
    <w:rsid w:val="006A02FA"/>
    <w:rsid w:val="006E72A0"/>
    <w:rsid w:val="006F5E0B"/>
    <w:rsid w:val="00700FC1"/>
    <w:rsid w:val="00721E74"/>
    <w:rsid w:val="00731F37"/>
    <w:rsid w:val="00746C56"/>
    <w:rsid w:val="00757CC3"/>
    <w:rsid w:val="00761924"/>
    <w:rsid w:val="0076422C"/>
    <w:rsid w:val="00784140"/>
    <w:rsid w:val="00797DBC"/>
    <w:rsid w:val="007C4DB9"/>
    <w:rsid w:val="007E3CC7"/>
    <w:rsid w:val="008234C1"/>
    <w:rsid w:val="0085747C"/>
    <w:rsid w:val="008B5893"/>
    <w:rsid w:val="008D3847"/>
    <w:rsid w:val="008D5D71"/>
    <w:rsid w:val="00945769"/>
    <w:rsid w:val="0095679C"/>
    <w:rsid w:val="009A3E76"/>
    <w:rsid w:val="009A600E"/>
    <w:rsid w:val="009D65B3"/>
    <w:rsid w:val="00A47513"/>
    <w:rsid w:val="00A7133C"/>
    <w:rsid w:val="00A736A2"/>
    <w:rsid w:val="00A87394"/>
    <w:rsid w:val="00B06E06"/>
    <w:rsid w:val="00B128FE"/>
    <w:rsid w:val="00B34C43"/>
    <w:rsid w:val="00B57C21"/>
    <w:rsid w:val="00BA7ADF"/>
    <w:rsid w:val="00BD116F"/>
    <w:rsid w:val="00C07E97"/>
    <w:rsid w:val="00C616F0"/>
    <w:rsid w:val="00C842F6"/>
    <w:rsid w:val="00C95FFB"/>
    <w:rsid w:val="00C97A5C"/>
    <w:rsid w:val="00CA57AA"/>
    <w:rsid w:val="00CC2923"/>
    <w:rsid w:val="00E10C14"/>
    <w:rsid w:val="00E35367"/>
    <w:rsid w:val="00E5140B"/>
    <w:rsid w:val="00E75C6D"/>
    <w:rsid w:val="00E75D9E"/>
    <w:rsid w:val="00EE4E4A"/>
    <w:rsid w:val="00EF1CFF"/>
    <w:rsid w:val="00F059E1"/>
    <w:rsid w:val="00F229F5"/>
    <w:rsid w:val="00F530F9"/>
    <w:rsid w:val="00FB3229"/>
    <w:rsid w:val="00FD350B"/>
    <w:rsid w:val="00FF3795"/>
    <w:rsid w:val="22B51CAC"/>
    <w:rsid w:val="344828F8"/>
    <w:rsid w:val="346F0EC7"/>
    <w:rsid w:val="3D387D08"/>
    <w:rsid w:val="4938656B"/>
    <w:rsid w:val="4ABE0BD3"/>
    <w:rsid w:val="59714723"/>
    <w:rsid w:val="5E8F1B5D"/>
    <w:rsid w:val="621444A4"/>
    <w:rsid w:val="66D3229F"/>
    <w:rsid w:val="700C2451"/>
    <w:rsid w:val="7D38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447</Words>
  <Characters>2810</Characters>
  <Lines>125</Lines>
  <Paragraphs>111</Paragraphs>
  <TotalTime>23</TotalTime>
  <ScaleCrop>false</ScaleCrop>
  <LinksUpToDate>false</LinksUpToDate>
  <CharactersWithSpaces>3166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2025-01-06T13:36:00Z</dcterms:created>
  <dc:creator>Z L</dc:creator>
  <cp:lastModifiedBy>Zzz</cp:lastModifiedBy>
  <dcterms:modified xsi:type="dcterms:W3CDTF">2026-05-27T02:07:28Z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eyJoZGlkIjoiMGNmOTU5YTYyODdmYWM5N2FhZTIyNDAwOWU0NjU2YjkiLCJ1c2VySWQiOiIxMTA2NjIxNDcyIn0=</vt:lpwstr>
  </property>
  <property fmtid="{D5CDD505-2E9C-101B-9397-08002B2CF9AE}" pid="3" name="KSOProductBuildVer">
    <vt:lpwstr>2052-12.1.0.26373</vt:lpwstr>
  </property>
  <property fmtid="{D5CDD505-2E9C-101B-9397-08002B2CF9AE}" pid="4" name="ICV">
    <vt:lpwstr>19BF50C678564B5C81CFAF23268D92A2_12</vt:lpwstr>
  </property>
</Properties>
</file>