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672F" w14:textId="77777777" w:rsidR="00AE36AE" w:rsidRPr="00280A1F" w:rsidRDefault="00DC2CC6" w:rsidP="00B52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32"/>
          <w:szCs w:val="32"/>
          <w:lang w:val="en-US"/>
        </w:rPr>
      </w:pPr>
      <w:r w:rsidRPr="00280A1F">
        <w:rPr>
          <w:b/>
          <w:bCs/>
          <w:color w:val="000000"/>
          <w:sz w:val="32"/>
          <w:szCs w:val="32"/>
          <w:lang w:val="en-US"/>
        </w:rPr>
        <w:t xml:space="preserve">SUPPLEMENTARY INFORMATION </w:t>
      </w:r>
    </w:p>
    <w:p w14:paraId="2A246730" w14:textId="77777777" w:rsidR="00AE36AE" w:rsidRPr="00280A1F" w:rsidRDefault="00AE36AE" w:rsidP="00F7396E">
      <w:pPr>
        <w:rPr>
          <w:bCs/>
          <w:i/>
          <w:color w:val="000000"/>
          <w:u w:val="single"/>
          <w:lang w:val="en-US"/>
        </w:rPr>
      </w:pPr>
    </w:p>
    <w:p w14:paraId="791FDE6F" w14:textId="77777777" w:rsidR="00660F2F" w:rsidRPr="00280A1F" w:rsidRDefault="00F7396E" w:rsidP="00660F2F">
      <w:pPr>
        <w:spacing w:line="480" w:lineRule="auto"/>
        <w:rPr>
          <w:b/>
          <w:bCs/>
          <w:color w:val="000000"/>
          <w:sz w:val="28"/>
          <w:szCs w:val="28"/>
          <w:lang w:val="en-US"/>
        </w:rPr>
      </w:pPr>
      <w:r w:rsidRPr="00280A1F">
        <w:rPr>
          <w:b/>
          <w:color w:val="000000"/>
          <w:lang w:val="en-US"/>
        </w:rPr>
        <w:t>TITLE:</w:t>
      </w:r>
      <w:r w:rsidR="00B4288D" w:rsidRPr="00280A1F">
        <w:rPr>
          <w:b/>
          <w:color w:val="000000"/>
          <w:lang w:val="en-US"/>
        </w:rPr>
        <w:t xml:space="preserve"> </w:t>
      </w:r>
      <w:r w:rsidR="00660F2F" w:rsidRPr="00280A1F">
        <w:rPr>
          <w:b/>
          <w:bCs/>
          <w:color w:val="000000"/>
          <w:sz w:val="28"/>
          <w:szCs w:val="28"/>
          <w:lang w:val="en-US"/>
        </w:rPr>
        <w:t>Association Between Improvement in Institutional COPD Quality Assessment Grade and Risk of Acute Exacerbations in Primary and Secondary Care: A Nationwide Claims-Based Study</w:t>
      </w:r>
    </w:p>
    <w:p w14:paraId="37230386" w14:textId="77777777" w:rsidR="007C6D41" w:rsidRPr="00280A1F" w:rsidRDefault="007C6D41" w:rsidP="007C6D41">
      <w:pPr>
        <w:spacing w:line="480" w:lineRule="auto"/>
        <w:jc w:val="both"/>
        <w:rPr>
          <w:rFonts w:eastAsiaTheme="minorEastAsia"/>
          <w:color w:val="000000"/>
          <w:sz w:val="22"/>
          <w:lang w:val="en-US" w:eastAsia="ko-KR"/>
        </w:rPr>
      </w:pPr>
    </w:p>
    <w:p w14:paraId="426FCDD3" w14:textId="5CA38CFE" w:rsidR="00F63E78" w:rsidRPr="00280A1F" w:rsidRDefault="00A813DE" w:rsidP="007C6D41">
      <w:pPr>
        <w:spacing w:line="480" w:lineRule="auto"/>
        <w:jc w:val="both"/>
        <w:rPr>
          <w:rFonts w:eastAsiaTheme="minorEastAsia"/>
          <w:color w:val="000000"/>
          <w:lang w:val="en-US" w:eastAsia="ko-KR"/>
        </w:rPr>
      </w:pPr>
      <w:r w:rsidRPr="00280A1F">
        <w:rPr>
          <w:color w:val="000000"/>
          <w:sz w:val="22"/>
          <w:lang w:val="en-US"/>
        </w:rPr>
        <w:t>Sung Woo Moon</w:t>
      </w:r>
      <w:r w:rsidR="007C6D41" w:rsidRPr="00280A1F">
        <w:rPr>
          <w:rFonts w:eastAsiaTheme="minorEastAsia" w:hint="eastAsia"/>
          <w:color w:val="000000"/>
          <w:sz w:val="22"/>
          <w:lang w:val="en-US" w:eastAsia="ko-KR"/>
        </w:rPr>
        <w:t xml:space="preserve"> et al. </w:t>
      </w:r>
    </w:p>
    <w:p w14:paraId="7B51E003" w14:textId="77777777" w:rsidR="00A813DE" w:rsidRPr="00280A1F" w:rsidRDefault="00A813DE" w:rsidP="00F63E78">
      <w:pPr>
        <w:spacing w:line="480" w:lineRule="auto"/>
        <w:jc w:val="both"/>
        <w:rPr>
          <w:rFonts w:eastAsiaTheme="minorEastAsia"/>
          <w:color w:val="000000"/>
          <w:lang w:val="en-US"/>
        </w:rPr>
      </w:pPr>
    </w:p>
    <w:p w14:paraId="2724FBF8" w14:textId="77777777" w:rsidR="000B001E" w:rsidRPr="00280A1F" w:rsidRDefault="000B001E">
      <w:pPr>
        <w:rPr>
          <w:rFonts w:eastAsiaTheme="minorEastAsia"/>
          <w:b/>
          <w:bCs/>
          <w:color w:val="000000"/>
          <w:sz w:val="22"/>
          <w:szCs w:val="22"/>
          <w:lang w:val="en-US" w:eastAsia="ko-KR"/>
        </w:rPr>
      </w:pPr>
      <w:r w:rsidRPr="00280A1F">
        <w:rPr>
          <w:rFonts w:eastAsiaTheme="minorEastAsia"/>
          <w:b/>
          <w:bCs/>
          <w:color w:val="000000"/>
          <w:sz w:val="22"/>
          <w:szCs w:val="22"/>
          <w:lang w:val="en-US" w:eastAsia="ko-KR"/>
        </w:rPr>
        <w:br w:type="page"/>
      </w:r>
    </w:p>
    <w:p w14:paraId="6786B9FF" w14:textId="10FBCE46" w:rsidR="0070014B" w:rsidRPr="00280A1F" w:rsidRDefault="0070014B" w:rsidP="004D734F">
      <w:pPr>
        <w:spacing w:line="480" w:lineRule="auto"/>
        <w:jc w:val="both"/>
        <w:rPr>
          <w:rFonts w:eastAsiaTheme="minorEastAsia"/>
          <w:b/>
          <w:bCs/>
          <w:color w:val="000000"/>
          <w:sz w:val="22"/>
          <w:szCs w:val="22"/>
          <w:lang w:val="en-US" w:eastAsia="ko-KR"/>
        </w:rPr>
      </w:pPr>
      <w:r w:rsidRPr="00280A1F">
        <w:rPr>
          <w:rFonts w:eastAsiaTheme="minorEastAsia" w:hint="eastAsia"/>
          <w:b/>
          <w:bCs/>
          <w:color w:val="000000"/>
          <w:sz w:val="22"/>
          <w:szCs w:val="22"/>
          <w:lang w:val="en-US" w:eastAsia="ko-KR"/>
        </w:rPr>
        <w:lastRenderedPageBreak/>
        <w:t>Table S1.</w:t>
      </w:r>
      <w:r w:rsidRPr="00280A1F">
        <w:rPr>
          <w:color w:val="000000"/>
          <w:lang w:val="en-US"/>
        </w:rPr>
        <w:t xml:space="preserve"> </w:t>
      </w:r>
      <w:r w:rsidR="000B001E" w:rsidRPr="00280A1F">
        <w:rPr>
          <w:rFonts w:eastAsiaTheme="minorEastAsia"/>
          <w:b/>
          <w:bCs/>
          <w:color w:val="000000"/>
          <w:sz w:val="22"/>
          <w:szCs w:val="22"/>
          <w:lang w:val="en-US" w:eastAsia="ko-KR"/>
        </w:rPr>
        <w:t>Performance indicators and grade classification of the HIRA COPD Quality Assessment Program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425"/>
        <w:gridCol w:w="468"/>
        <w:gridCol w:w="3141"/>
        <w:gridCol w:w="1078"/>
        <w:gridCol w:w="2409"/>
      </w:tblGrid>
      <w:tr w:rsidR="000B001E" w:rsidRPr="00280A1F" w14:paraId="77CD75E8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A16E7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Part A. Eligible institutions and patients</w:t>
            </w:r>
          </w:p>
        </w:tc>
      </w:tr>
      <w:tr w:rsidR="000B001E" w:rsidRPr="00280A1F" w14:paraId="1D22951A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13BE5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Eligible institutions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3885A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Healthcare institutions billing outpatient services for COPD (ICD-10 J43, J44, excluding J43.0) under the national health insurance, medical aid, or veterans' benefits programs.</w:t>
            </w:r>
          </w:p>
        </w:tc>
      </w:tr>
      <w:tr w:rsidR="000B001E" w:rsidRPr="00280A1F" w14:paraId="63C7BC25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BEC6F5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Eligible patients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38DE6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Patients aged ≥40 years with either (a) at least two outpatient visits with a COPD medication prescription, or (b) one hospitalization requiring systemic corticosteroid administration followed by an outpatient visit with a COPD medication prescription.</w:t>
            </w:r>
          </w:p>
        </w:tc>
      </w:tr>
      <w:tr w:rsidR="000B001E" w:rsidRPr="00280A1F" w14:paraId="76A74819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9C092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Exclusion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D4E72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Patients who died during the assessment period were excluded from all denominators.</w:t>
            </w:r>
          </w:p>
        </w:tc>
      </w:tr>
      <w:tr w:rsidR="000B001E" w:rsidRPr="00280A1F" w14:paraId="4DF56E0B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85E6D7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Part B. Key performance indicators used for grading</w:t>
            </w:r>
          </w:p>
        </w:tc>
      </w:tr>
      <w:tr w:rsidR="000B001E" w:rsidRPr="00280A1F" w14:paraId="39A8B05B" w14:textId="77777777" w:rsidTr="002C1CC1">
        <w:trPr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B6EB7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Indicator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350B4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Weight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BC448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Numerator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5F585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Denominator</w:t>
            </w:r>
          </w:p>
        </w:tc>
      </w:tr>
      <w:tr w:rsidR="000B001E" w:rsidRPr="00280A1F" w14:paraId="6BD33B40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26004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PFT rate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A3278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0.4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F2E90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Number of eligible COPD patients who underwent at least one PFT during the assessment period (procedure codes F6001 or F6002).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A25A6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Total number of eligible COPD patients.</w:t>
            </w:r>
          </w:p>
        </w:tc>
      </w:tr>
      <w:tr w:rsidR="000B001E" w:rsidRPr="00280A1F" w14:paraId="4CDE936C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5004F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Rate of continuous outpatient visits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9AC7D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0.2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B36C9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Number of patients with ≥3 COPD-related outpatient visits at the same institution during the assessment period.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1B522" w14:textId="55E1A9FD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 xml:space="preserve">Patients who consistently received care from a single institution throughout the evaluation period </w:t>
            </w:r>
            <w:r w:rsidR="002C1CC1"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and</w:t>
            </w: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 xml:space="preserve"> visited the same institution at the end of the previous year (patients receiving care from multiple institutions were excluded).</w:t>
            </w:r>
          </w:p>
        </w:tc>
      </w:tr>
      <w:tr w:rsidR="000B001E" w:rsidRPr="00280A1F" w14:paraId="660F0509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A674F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Inhaled bronchodilator prescription rate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A09B5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0.4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32D95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Number of patients prescribed at least one inhaled bronchodilator (LABA, SABA, or LAMA) during the assessment period.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89C40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Total number of eligible COPD patients.</w:t>
            </w:r>
          </w:p>
        </w:tc>
      </w:tr>
      <w:tr w:rsidR="000B001E" w:rsidRPr="00280A1F" w14:paraId="010A9809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41168A" w14:textId="77777777" w:rsidR="000B001E" w:rsidRPr="00280A1F" w:rsidRDefault="000B001E" w:rsidP="000B001E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Part C. Monitoring indicators (not used in grade calculation)</w:t>
            </w:r>
          </w:p>
        </w:tc>
      </w:tr>
      <w:tr w:rsidR="00C57F2C" w:rsidRPr="00280A1F" w14:paraId="06B0EB3B" w14:textId="77777777" w:rsidTr="002C1CC1"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16748" w14:textId="621F10FB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COPD-related hospitalization rate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82C" w14:textId="5CDB592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Number of patients with ≥1 COPD-related hospitalization, identified by a COPD diagnosis as primary or first secondary diagnosis and prescription of a COPD-related medication during the hospital stay (admissions at both index and external institutions included).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DB9" w14:textId="65F8238D" w:rsidR="00C57F2C" w:rsidRPr="00280A1F" w:rsidRDefault="00C57F2C" w:rsidP="002C1CC1">
            <w:pPr>
              <w:spacing w:line="276" w:lineRule="auto"/>
              <w:ind w:leftChars="-38" w:left="-91" w:firstLineChars="51" w:firstLine="92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Total number of eligible COPD patients.</w:t>
            </w:r>
          </w:p>
        </w:tc>
      </w:tr>
      <w:tr w:rsidR="00C57F2C" w:rsidRPr="00280A1F" w14:paraId="225E9F06" w14:textId="77777777" w:rsidTr="002C1CC1"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7E0B4" w14:textId="7B78D81F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COPD-related ER visit rate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2A9C" w14:textId="66081FC9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Number of patients with ≥1 COPD-related ER visit, identified by a COPD diagnosis as primary or first secondary diagnosis, prescription of COPD-related medication, and an associated emergency medical care fee code (visits at both index and external institutions included).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22F" w14:textId="60B84C0B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Total number of eligible COPD patients.</w:t>
            </w:r>
          </w:p>
        </w:tc>
      </w:tr>
      <w:tr w:rsidR="00C57F2C" w:rsidRPr="00280A1F" w14:paraId="69A231C3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E7317" w14:textId="627A0EE3" w:rsidR="00C57F2C" w:rsidRPr="00280A1F" w:rsidRDefault="00E752C6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Part D. Composite score and grade classification</w:t>
            </w:r>
          </w:p>
        </w:tc>
      </w:tr>
      <w:tr w:rsidR="00C57F2C" w:rsidRPr="00280A1F" w14:paraId="2FA7FF0A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493D4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Composite performance score (100-point scale) = (PFT rate × 0.4) + (continuous outpatient visit rate × 0.2) + (inhaled bronchodilator prescription rate × 0.4).</w:t>
            </w:r>
          </w:p>
        </w:tc>
      </w:tr>
      <w:tr w:rsidR="00C57F2C" w:rsidRPr="00280A1F" w14:paraId="7468EE6C" w14:textId="77777777" w:rsidTr="002C1CC1">
        <w:trPr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FDFFF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Grade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130C6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Composite score</w:t>
            </w:r>
          </w:p>
        </w:tc>
      </w:tr>
      <w:tr w:rsidR="00C57F2C" w:rsidRPr="00280A1F" w14:paraId="26643CA7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FA4E9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Grade 1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66C44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≥80 points</w:t>
            </w:r>
          </w:p>
        </w:tc>
      </w:tr>
      <w:tr w:rsidR="00C57F2C" w:rsidRPr="00280A1F" w14:paraId="6276D99F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7A53D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Grade 2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AF571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65–79.9 points</w:t>
            </w:r>
          </w:p>
        </w:tc>
      </w:tr>
      <w:tr w:rsidR="00C57F2C" w:rsidRPr="00280A1F" w14:paraId="4A058186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7A66C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Grade 3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821CC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50–64.9 points</w:t>
            </w:r>
          </w:p>
        </w:tc>
      </w:tr>
      <w:tr w:rsidR="00C57F2C" w:rsidRPr="00280A1F" w14:paraId="2055E2DB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6D988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Grade 4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406CE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35–49.9 points</w:t>
            </w:r>
          </w:p>
        </w:tc>
      </w:tr>
      <w:tr w:rsidR="00C57F2C" w:rsidRPr="00280A1F" w14:paraId="2874EAA4" w14:textId="77777777" w:rsidTr="002C1CC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CB31E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lastRenderedPageBreak/>
              <w:t>Grade 5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04B49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&lt;35 points</w:t>
            </w:r>
          </w:p>
        </w:tc>
      </w:tr>
      <w:tr w:rsidR="00C57F2C" w:rsidRPr="00280A1F" w14:paraId="2C803AF0" w14:textId="77777777" w:rsidTr="002C1CC1"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A551E" w14:textId="77777777" w:rsidR="00C57F2C" w:rsidRPr="00280A1F" w:rsidRDefault="00C57F2C" w:rsidP="00C57F2C">
            <w:pPr>
              <w:spacing w:line="276" w:lineRule="auto"/>
              <w:jc w:val="both"/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</w:pPr>
            <w:r w:rsidRPr="00280A1F">
              <w:rPr>
                <w:rFonts w:eastAsiaTheme="minorEastAsia"/>
                <w:color w:val="000000"/>
                <w:sz w:val="18"/>
                <w:szCs w:val="18"/>
                <w:lang w:val="en-US" w:eastAsia="ko-KR"/>
              </w:rPr>
              <w:t>A lower grade number indicates higher quality of care.</w:t>
            </w:r>
          </w:p>
        </w:tc>
      </w:tr>
    </w:tbl>
    <w:p w14:paraId="316992C8" w14:textId="2A4ABAFF" w:rsidR="00CD54A5" w:rsidRPr="00280A1F" w:rsidRDefault="00CD54A5">
      <w:pPr>
        <w:rPr>
          <w:rFonts w:eastAsiaTheme="minorEastAsia"/>
          <w:b/>
          <w:bCs/>
          <w:color w:val="000000"/>
          <w:sz w:val="22"/>
          <w:szCs w:val="22"/>
          <w:u w:val="single"/>
          <w:lang w:val="en-US" w:eastAsia="ko-KR"/>
        </w:rPr>
      </w:pPr>
    </w:p>
    <w:sectPr w:rsidR="00CD54A5" w:rsidRPr="00280A1F" w:rsidSect="00CF764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1440" w:bottom="568" w:left="1440" w:header="709" w:footer="709" w:gutter="0"/>
      <w:paperSrc w:first="262" w:other="26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11E0" w14:textId="77777777" w:rsidR="00DA683E" w:rsidRDefault="00DA683E">
      <w:r>
        <w:separator/>
      </w:r>
    </w:p>
  </w:endnote>
  <w:endnote w:type="continuationSeparator" w:id="0">
    <w:p w14:paraId="1E1FF4C6" w14:textId="77777777" w:rsidR="00DA683E" w:rsidRDefault="00DA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03B0" w14:textId="5C1B7523" w:rsidR="00280A1F" w:rsidRDefault="00280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69B86D" wp14:editId="4DA84E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9145014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F3EEB" w14:textId="4AED69A7" w:rsidR="00280A1F" w:rsidRPr="00280A1F" w:rsidRDefault="00280A1F" w:rsidP="00280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0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9B8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30F3EEB" w14:textId="4AED69A7" w:rsidR="00280A1F" w:rsidRPr="00280A1F" w:rsidRDefault="00280A1F" w:rsidP="00280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0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CAB9" w14:textId="4430A84E" w:rsidR="00280A1F" w:rsidRDefault="00280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598FF" wp14:editId="37A21FAB">
              <wp:simplePos x="915035" y="10068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559517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3C0EE" w14:textId="1AAD4F04" w:rsidR="00280A1F" w:rsidRPr="00280A1F" w:rsidRDefault="00280A1F" w:rsidP="00280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0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598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23C0EE" w14:textId="1AAD4F04" w:rsidR="00280A1F" w:rsidRPr="00280A1F" w:rsidRDefault="00280A1F" w:rsidP="00280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0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B1" w14:textId="067B4139" w:rsidR="00280A1F" w:rsidRDefault="00280A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1E1B4" wp14:editId="05EDDC8C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712324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F7D2A" w14:textId="00915A2D" w:rsidR="00280A1F" w:rsidRPr="00280A1F" w:rsidRDefault="00280A1F" w:rsidP="00280A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80A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E1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B9F7D2A" w14:textId="00915A2D" w:rsidR="00280A1F" w:rsidRPr="00280A1F" w:rsidRDefault="00280A1F" w:rsidP="00280A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80A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3D99" w14:textId="77777777" w:rsidR="00DA683E" w:rsidRDefault="00DA683E">
      <w:r>
        <w:separator/>
      </w:r>
    </w:p>
  </w:footnote>
  <w:footnote w:type="continuationSeparator" w:id="0">
    <w:p w14:paraId="0EE93106" w14:textId="77777777" w:rsidR="00DA683E" w:rsidRDefault="00DA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675D" w14:textId="77777777" w:rsidR="00DC2CC6" w:rsidRPr="0083380D" w:rsidRDefault="00DC2CC6" w:rsidP="0083380D">
    <w:pPr>
      <w:jc w:val="both"/>
      <w:outlineLvl w:val="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9E4"/>
    <w:multiLevelType w:val="hybridMultilevel"/>
    <w:tmpl w:val="CB54079A"/>
    <w:lvl w:ilvl="0" w:tplc="DA38545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E4B21"/>
    <w:multiLevelType w:val="hybridMultilevel"/>
    <w:tmpl w:val="5762C1B0"/>
    <w:lvl w:ilvl="0" w:tplc="F13A04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2D16"/>
    <w:multiLevelType w:val="hybridMultilevel"/>
    <w:tmpl w:val="A94691CA"/>
    <w:lvl w:ilvl="0" w:tplc="B76C54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27B0F"/>
    <w:multiLevelType w:val="hybridMultilevel"/>
    <w:tmpl w:val="1B7E19E4"/>
    <w:lvl w:ilvl="0" w:tplc="F650230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2C32"/>
    <w:multiLevelType w:val="hybridMultilevel"/>
    <w:tmpl w:val="7D3CD336"/>
    <w:lvl w:ilvl="0" w:tplc="23C46F12">
      <w:numFmt w:val="bullet"/>
      <w:lvlText w:val="-"/>
      <w:lvlJc w:val="left"/>
      <w:pPr>
        <w:ind w:left="643" w:hanging="360"/>
      </w:pPr>
      <w:rPr>
        <w:rFonts w:ascii="Times New Roman" w:eastAsia="MS Mincho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87961420">
    <w:abstractNumId w:val="2"/>
  </w:num>
  <w:num w:numId="2" w16cid:durableId="1515879088">
    <w:abstractNumId w:val="4"/>
  </w:num>
  <w:num w:numId="3" w16cid:durableId="1953509093">
    <w:abstractNumId w:val="1"/>
  </w:num>
  <w:num w:numId="4" w16cid:durableId="1361737682">
    <w:abstractNumId w:val="0"/>
  </w:num>
  <w:num w:numId="5" w16cid:durableId="112303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ko-K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ko-KR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D3"/>
    <w:rsid w:val="0000554C"/>
    <w:rsid w:val="000067F2"/>
    <w:rsid w:val="00007E7C"/>
    <w:rsid w:val="0001052F"/>
    <w:rsid w:val="00020730"/>
    <w:rsid w:val="00022782"/>
    <w:rsid w:val="000242F0"/>
    <w:rsid w:val="0003504B"/>
    <w:rsid w:val="00035BEB"/>
    <w:rsid w:val="00064AC2"/>
    <w:rsid w:val="0007169D"/>
    <w:rsid w:val="00090545"/>
    <w:rsid w:val="000A13B6"/>
    <w:rsid w:val="000A3AFF"/>
    <w:rsid w:val="000B001E"/>
    <w:rsid w:val="000C3AFE"/>
    <w:rsid w:val="000F6A27"/>
    <w:rsid w:val="00117699"/>
    <w:rsid w:val="001339B0"/>
    <w:rsid w:val="00153252"/>
    <w:rsid w:val="001537D3"/>
    <w:rsid w:val="0015724F"/>
    <w:rsid w:val="00161688"/>
    <w:rsid w:val="00177255"/>
    <w:rsid w:val="001834B5"/>
    <w:rsid w:val="00196E46"/>
    <w:rsid w:val="001A034C"/>
    <w:rsid w:val="001B34CB"/>
    <w:rsid w:val="001B55DD"/>
    <w:rsid w:val="001C4325"/>
    <w:rsid w:val="001D2B90"/>
    <w:rsid w:val="001D6576"/>
    <w:rsid w:val="001D6DCE"/>
    <w:rsid w:val="001E26C6"/>
    <w:rsid w:val="001E3B39"/>
    <w:rsid w:val="001E3BFD"/>
    <w:rsid w:val="001F1177"/>
    <w:rsid w:val="001F5ABA"/>
    <w:rsid w:val="002103E0"/>
    <w:rsid w:val="00217F1C"/>
    <w:rsid w:val="002339BC"/>
    <w:rsid w:val="00234C91"/>
    <w:rsid w:val="00240498"/>
    <w:rsid w:val="00253C47"/>
    <w:rsid w:val="002579BF"/>
    <w:rsid w:val="00262FB0"/>
    <w:rsid w:val="00280A1F"/>
    <w:rsid w:val="00280DAA"/>
    <w:rsid w:val="00281BF2"/>
    <w:rsid w:val="002A3D65"/>
    <w:rsid w:val="002B7978"/>
    <w:rsid w:val="002C1CC1"/>
    <w:rsid w:val="002C5285"/>
    <w:rsid w:val="002E2A9D"/>
    <w:rsid w:val="002E2AB7"/>
    <w:rsid w:val="002E5B0C"/>
    <w:rsid w:val="00312168"/>
    <w:rsid w:val="00322DD1"/>
    <w:rsid w:val="00323380"/>
    <w:rsid w:val="003260C6"/>
    <w:rsid w:val="00344337"/>
    <w:rsid w:val="003D30D2"/>
    <w:rsid w:val="003D6872"/>
    <w:rsid w:val="003E2762"/>
    <w:rsid w:val="00405B99"/>
    <w:rsid w:val="004115C2"/>
    <w:rsid w:val="004248D1"/>
    <w:rsid w:val="00424EAF"/>
    <w:rsid w:val="00442AAF"/>
    <w:rsid w:val="0045456F"/>
    <w:rsid w:val="0046162A"/>
    <w:rsid w:val="00480945"/>
    <w:rsid w:val="00482217"/>
    <w:rsid w:val="00483525"/>
    <w:rsid w:val="0049251C"/>
    <w:rsid w:val="00494858"/>
    <w:rsid w:val="00494DA7"/>
    <w:rsid w:val="004A3A37"/>
    <w:rsid w:val="004B1311"/>
    <w:rsid w:val="004C6CFD"/>
    <w:rsid w:val="004D734F"/>
    <w:rsid w:val="004F652A"/>
    <w:rsid w:val="00510979"/>
    <w:rsid w:val="0053159B"/>
    <w:rsid w:val="00542117"/>
    <w:rsid w:val="00543242"/>
    <w:rsid w:val="00553735"/>
    <w:rsid w:val="005547CC"/>
    <w:rsid w:val="00557082"/>
    <w:rsid w:val="00563BC0"/>
    <w:rsid w:val="005819A5"/>
    <w:rsid w:val="00585B59"/>
    <w:rsid w:val="00587DF7"/>
    <w:rsid w:val="00590A2E"/>
    <w:rsid w:val="005C39ED"/>
    <w:rsid w:val="005C6921"/>
    <w:rsid w:val="005D7D3E"/>
    <w:rsid w:val="005F212F"/>
    <w:rsid w:val="006018A5"/>
    <w:rsid w:val="006025A3"/>
    <w:rsid w:val="00605F4F"/>
    <w:rsid w:val="00621B00"/>
    <w:rsid w:val="0062540A"/>
    <w:rsid w:val="00631A84"/>
    <w:rsid w:val="006367E7"/>
    <w:rsid w:val="0064490B"/>
    <w:rsid w:val="00647B57"/>
    <w:rsid w:val="00660F2F"/>
    <w:rsid w:val="006928CE"/>
    <w:rsid w:val="006959A4"/>
    <w:rsid w:val="00696103"/>
    <w:rsid w:val="006B20EE"/>
    <w:rsid w:val="006B33F2"/>
    <w:rsid w:val="006B38E8"/>
    <w:rsid w:val="006B7E47"/>
    <w:rsid w:val="006C7A13"/>
    <w:rsid w:val="006E7240"/>
    <w:rsid w:val="0070014B"/>
    <w:rsid w:val="0071172C"/>
    <w:rsid w:val="007245ED"/>
    <w:rsid w:val="00760F71"/>
    <w:rsid w:val="007611F2"/>
    <w:rsid w:val="007633B8"/>
    <w:rsid w:val="00776349"/>
    <w:rsid w:val="007806CF"/>
    <w:rsid w:val="007A3316"/>
    <w:rsid w:val="007A4815"/>
    <w:rsid w:val="007B64AD"/>
    <w:rsid w:val="007C6D41"/>
    <w:rsid w:val="007D721A"/>
    <w:rsid w:val="007F55D7"/>
    <w:rsid w:val="007F6795"/>
    <w:rsid w:val="008015F4"/>
    <w:rsid w:val="008146AB"/>
    <w:rsid w:val="008263B1"/>
    <w:rsid w:val="0083380D"/>
    <w:rsid w:val="008409CF"/>
    <w:rsid w:val="008567DF"/>
    <w:rsid w:val="008602CE"/>
    <w:rsid w:val="008732FD"/>
    <w:rsid w:val="008768F3"/>
    <w:rsid w:val="00884EF2"/>
    <w:rsid w:val="00886B97"/>
    <w:rsid w:val="00895688"/>
    <w:rsid w:val="008C7934"/>
    <w:rsid w:val="008D13A2"/>
    <w:rsid w:val="008D3433"/>
    <w:rsid w:val="008D540A"/>
    <w:rsid w:val="008D5916"/>
    <w:rsid w:val="008F34E0"/>
    <w:rsid w:val="009003A4"/>
    <w:rsid w:val="00912118"/>
    <w:rsid w:val="00934B10"/>
    <w:rsid w:val="0095615A"/>
    <w:rsid w:val="00965F7C"/>
    <w:rsid w:val="00997CC8"/>
    <w:rsid w:val="009A7B43"/>
    <w:rsid w:val="009B5A7B"/>
    <w:rsid w:val="009E6A00"/>
    <w:rsid w:val="00A051A9"/>
    <w:rsid w:val="00A319EA"/>
    <w:rsid w:val="00A4254D"/>
    <w:rsid w:val="00A43611"/>
    <w:rsid w:val="00A53884"/>
    <w:rsid w:val="00A63E4A"/>
    <w:rsid w:val="00A67D7A"/>
    <w:rsid w:val="00A75604"/>
    <w:rsid w:val="00A803D4"/>
    <w:rsid w:val="00A813DE"/>
    <w:rsid w:val="00AA0E94"/>
    <w:rsid w:val="00AE00BE"/>
    <w:rsid w:val="00AE36AE"/>
    <w:rsid w:val="00AE3750"/>
    <w:rsid w:val="00AF1E40"/>
    <w:rsid w:val="00B02395"/>
    <w:rsid w:val="00B06DDE"/>
    <w:rsid w:val="00B06F77"/>
    <w:rsid w:val="00B23C2E"/>
    <w:rsid w:val="00B24101"/>
    <w:rsid w:val="00B346E2"/>
    <w:rsid w:val="00B422FD"/>
    <w:rsid w:val="00B4288D"/>
    <w:rsid w:val="00B526EA"/>
    <w:rsid w:val="00B5380D"/>
    <w:rsid w:val="00B579C4"/>
    <w:rsid w:val="00B70BB5"/>
    <w:rsid w:val="00B729B3"/>
    <w:rsid w:val="00B74A35"/>
    <w:rsid w:val="00B767B8"/>
    <w:rsid w:val="00B90C6F"/>
    <w:rsid w:val="00B94100"/>
    <w:rsid w:val="00B96016"/>
    <w:rsid w:val="00BA49D9"/>
    <w:rsid w:val="00BA59BF"/>
    <w:rsid w:val="00BB6A69"/>
    <w:rsid w:val="00BC1EE6"/>
    <w:rsid w:val="00BC720A"/>
    <w:rsid w:val="00BE0558"/>
    <w:rsid w:val="00BF04B8"/>
    <w:rsid w:val="00C11842"/>
    <w:rsid w:val="00C20A41"/>
    <w:rsid w:val="00C346DE"/>
    <w:rsid w:val="00C4096B"/>
    <w:rsid w:val="00C57F2C"/>
    <w:rsid w:val="00C77492"/>
    <w:rsid w:val="00CA7EE2"/>
    <w:rsid w:val="00CB5421"/>
    <w:rsid w:val="00CB6174"/>
    <w:rsid w:val="00CC60DC"/>
    <w:rsid w:val="00CD54A5"/>
    <w:rsid w:val="00CF3762"/>
    <w:rsid w:val="00CF71F7"/>
    <w:rsid w:val="00CF764F"/>
    <w:rsid w:val="00D109D7"/>
    <w:rsid w:val="00D115DA"/>
    <w:rsid w:val="00D21D82"/>
    <w:rsid w:val="00D27D53"/>
    <w:rsid w:val="00D47C3B"/>
    <w:rsid w:val="00D52860"/>
    <w:rsid w:val="00D60B30"/>
    <w:rsid w:val="00D646B4"/>
    <w:rsid w:val="00D74FE3"/>
    <w:rsid w:val="00D80096"/>
    <w:rsid w:val="00DA0E6F"/>
    <w:rsid w:val="00DA683E"/>
    <w:rsid w:val="00DA6E81"/>
    <w:rsid w:val="00DB072F"/>
    <w:rsid w:val="00DB415D"/>
    <w:rsid w:val="00DC2CC6"/>
    <w:rsid w:val="00E07B0A"/>
    <w:rsid w:val="00E22CC7"/>
    <w:rsid w:val="00E24019"/>
    <w:rsid w:val="00E30D2F"/>
    <w:rsid w:val="00E52B3C"/>
    <w:rsid w:val="00E52ED5"/>
    <w:rsid w:val="00E60721"/>
    <w:rsid w:val="00E61700"/>
    <w:rsid w:val="00E752C6"/>
    <w:rsid w:val="00E7683F"/>
    <w:rsid w:val="00E93202"/>
    <w:rsid w:val="00E9608A"/>
    <w:rsid w:val="00EB1338"/>
    <w:rsid w:val="00EB353D"/>
    <w:rsid w:val="00EB73CA"/>
    <w:rsid w:val="00EC4661"/>
    <w:rsid w:val="00EC7480"/>
    <w:rsid w:val="00ED31EF"/>
    <w:rsid w:val="00EE5991"/>
    <w:rsid w:val="00F00F52"/>
    <w:rsid w:val="00F033DD"/>
    <w:rsid w:val="00F03B80"/>
    <w:rsid w:val="00F05E25"/>
    <w:rsid w:val="00F15CB6"/>
    <w:rsid w:val="00F17608"/>
    <w:rsid w:val="00F25D84"/>
    <w:rsid w:val="00F318F4"/>
    <w:rsid w:val="00F56B27"/>
    <w:rsid w:val="00F63E78"/>
    <w:rsid w:val="00F70F95"/>
    <w:rsid w:val="00F7396E"/>
    <w:rsid w:val="00F76854"/>
    <w:rsid w:val="00F76DD7"/>
    <w:rsid w:val="00F865B9"/>
    <w:rsid w:val="00FA3368"/>
    <w:rsid w:val="00FA7F2D"/>
    <w:rsid w:val="00FA7F33"/>
    <w:rsid w:val="00FD0633"/>
    <w:rsid w:val="00FD63B7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4672F"/>
  <w15:chartTrackingRefBased/>
  <w15:docId w15:val="{D0FC1813-7020-4E5F-A865-8F47037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DE"/>
    <w:rPr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s1">
    <w:name w:val="pagecontents1"/>
    <w:rsid w:val="001537D3"/>
    <w:rPr>
      <w:rFonts w:ascii="Verdana" w:hAnsi="Verdana" w:hint="default"/>
      <w:color w:val="000000"/>
      <w:sz w:val="22"/>
      <w:szCs w:val="22"/>
    </w:rPr>
  </w:style>
  <w:style w:type="paragraph" w:styleId="Header">
    <w:name w:val="header"/>
    <w:basedOn w:val="Normal"/>
    <w:rsid w:val="005516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164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B6F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60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uiPriority w:val="99"/>
    <w:semiHidden/>
    <w:unhideWhenUsed/>
    <w:rsid w:val="00AE3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6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36AE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6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36AE"/>
    <w:rPr>
      <w:b/>
      <w:bCs/>
      <w:lang w:eastAsia="ja-JP"/>
    </w:rPr>
  </w:style>
  <w:style w:type="character" w:styleId="Hyperlink">
    <w:name w:val="Hyperlink"/>
    <w:uiPriority w:val="99"/>
    <w:unhideWhenUsed/>
    <w:rsid w:val="00B526EA"/>
    <w:rPr>
      <w:color w:val="0563C1"/>
      <w:u w:val="single"/>
    </w:rPr>
  </w:style>
  <w:style w:type="table" w:customStyle="1" w:styleId="1">
    <w:name w:val="표 구분선1"/>
    <w:basedOn w:val="TableNormal"/>
    <w:next w:val="TableGrid"/>
    <w:uiPriority w:val="59"/>
    <w:rsid w:val="009003A4"/>
    <w:rPr>
      <w:rFonts w:eastAsia="Malgun Gothic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0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개요 1"/>
    <w:link w:val="1Char"/>
    <w:rsid w:val="0048094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Batang" w:eastAsia="Batang"/>
      <w:color w:val="000000"/>
    </w:rPr>
  </w:style>
  <w:style w:type="character" w:customStyle="1" w:styleId="1Char">
    <w:name w:val="개요 1 Char"/>
    <w:basedOn w:val="DefaultParagraphFont"/>
    <w:link w:val="10"/>
    <w:rsid w:val="00480945"/>
    <w:rPr>
      <w:rFonts w:ascii="Batang" w:eastAsia="Batang"/>
      <w:color w:val="000000"/>
    </w:rPr>
  </w:style>
  <w:style w:type="paragraph" w:styleId="ListParagraph">
    <w:name w:val="List Paragraph"/>
    <w:basedOn w:val="Normal"/>
    <w:uiPriority w:val="72"/>
    <w:qFormat/>
    <w:rsid w:val="00AE3750"/>
    <w:pPr>
      <w:ind w:leftChars="400" w:left="800"/>
    </w:pPr>
  </w:style>
  <w:style w:type="character" w:styleId="UnresolvedMention">
    <w:name w:val="Unresolved Mention"/>
    <w:basedOn w:val="DefaultParagraphFont"/>
    <w:uiPriority w:val="99"/>
    <w:semiHidden/>
    <w:unhideWhenUsed/>
    <w:rsid w:val="00E0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Changes to Manuscript Central set up:</vt:lpstr>
      <vt:lpstr>Changes to Manuscript Central set up:</vt:lpstr>
    </vt:vector>
  </TitlesOfParts>
  <Manager/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Manuscript Central set up:</dc:title>
  <dc:subject/>
  <dc:creator>문성우(내과학교실)</dc:creator>
  <cp:keywords/>
  <cp:lastModifiedBy>Murphy, Alexandra</cp:lastModifiedBy>
  <cp:revision>2</cp:revision>
  <dcterms:created xsi:type="dcterms:W3CDTF">2026-05-29T00:40:00Z</dcterms:created>
  <dcterms:modified xsi:type="dcterms:W3CDTF">2026-05-29T00:40:00Z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662922d,721cf95b,7a8b55ad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2026-05-29T00:40:38Z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a5c87380-7ccc-4722-babc-7726444023b2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