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A05" w:rsidRPr="005E09FB" w:rsidRDefault="00F41A05" w:rsidP="00F41A05">
      <w:pPr>
        <w:pStyle w:val="MDPI62backmatter"/>
        <w:spacing w:before="240" w:line="480" w:lineRule="auto"/>
        <w:ind w:left="0"/>
        <w:rPr>
          <w:rFonts w:ascii="Arial" w:hAnsi="Arial" w:cs="Arial"/>
        </w:rPr>
      </w:pPr>
      <w:r w:rsidRPr="005E09FB">
        <w:rPr>
          <w:rFonts w:ascii="Arial" w:hAnsi="Arial" w:cs="Arial"/>
          <w:b/>
          <w:sz w:val="32"/>
          <w:szCs w:val="36"/>
        </w:rPr>
        <w:t>Supplementary Materials</w:t>
      </w:r>
      <w:r w:rsidRPr="005E09FB">
        <w:rPr>
          <w:rFonts w:ascii="Arial" w:hAnsi="Arial" w:cs="Arial"/>
          <w:b/>
        </w:rPr>
        <w:t xml:space="preserve">: </w:t>
      </w:r>
    </w:p>
    <w:p w:rsidR="00F41A05" w:rsidRPr="005E09FB" w:rsidRDefault="001A617A" w:rsidP="00F41A05">
      <w:pPr>
        <w:pStyle w:val="Web"/>
        <w:spacing w:line="480" w:lineRule="auto"/>
        <w:rPr>
          <w:rFonts w:ascii="Arial" w:hAnsi="Arial" w:cs="Arial"/>
          <w:lang w:eastAsia="zh-TW"/>
        </w:rPr>
      </w:pPr>
      <w:r w:rsidRPr="001A617A">
        <w:rPr>
          <w:rFonts w:ascii="Arial" w:hAnsi="Arial" w:cs="Arial"/>
          <w:noProof/>
        </w:rPr>
        <w:drawing>
          <wp:inline distT="0" distB="0" distL="0" distR="0" wp14:anchorId="2C541B70" wp14:editId="233D35AE">
            <wp:extent cx="5274310" cy="3457575"/>
            <wp:effectExtent l="0" t="0" r="0" b="0"/>
            <wp:docPr id="13013486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48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17A">
        <w:rPr>
          <w:rFonts w:ascii="Arial" w:hAnsi="Arial" w:cs="Arial"/>
          <w:noProof/>
        </w:rPr>
        <w:t xml:space="preserve"> </w:t>
      </w:r>
      <w:r w:rsidR="00FF2AB8" w:rsidRPr="00FF2AB8">
        <w:rPr>
          <w:rFonts w:ascii="Arial" w:hAnsi="Arial" w:cs="Arial"/>
          <w:noProof/>
        </w:rPr>
        <w:t xml:space="preserve"> </w:t>
      </w:r>
    </w:p>
    <w:p w:rsidR="00F41A05" w:rsidRDefault="00F41A05" w:rsidP="00F41A05">
      <w:pPr>
        <w:pStyle w:val="Web"/>
        <w:spacing w:line="480" w:lineRule="auto"/>
        <w:rPr>
          <w:rFonts w:ascii="Arial" w:hAnsi="Arial" w:cs="Arial"/>
          <w:lang w:eastAsia="zh-TW"/>
        </w:rPr>
      </w:pPr>
      <w:r w:rsidRPr="005E09FB">
        <w:rPr>
          <w:rFonts w:ascii="Arial" w:hAnsi="Arial" w:cs="Arial"/>
          <w:lang w:eastAsia="zh-TW"/>
        </w:rPr>
        <w:t>Supplementary Figure 1</w:t>
      </w:r>
      <w:r w:rsidR="00BB2B6E">
        <w:rPr>
          <w:rFonts w:ascii="Arial" w:hAnsi="Arial" w:cs="Arial"/>
          <w:lang w:eastAsia="zh-TW"/>
        </w:rPr>
        <w:t>.</w:t>
      </w:r>
      <w:r w:rsidRPr="005E09FB">
        <w:rPr>
          <w:rFonts w:ascii="Arial" w:hAnsi="Arial" w:cs="Arial" w:hint="eastAsia"/>
          <w:lang w:eastAsia="zh-TW"/>
        </w:rPr>
        <w:t xml:space="preserve"> </w:t>
      </w:r>
      <w:r w:rsidRPr="005E09FB">
        <w:rPr>
          <w:rFonts w:ascii="Arial" w:hAnsi="Arial" w:cs="Arial"/>
          <w:lang w:eastAsia="zh-TW"/>
        </w:rPr>
        <w:t>Kaplan–Meier overall survival from the 3-month landmark, stratified by post-TARE UCSF status (fit vs unfit). Patients who died within 3 months after TARE were excluded to mitigate time-dependent bias (landmark at 3 months, aligned with response assessment). The landmark population included n=37 in the UCSF-fit group and n=25 in the UCSF-unfit group. Survival separation was attenuated but remained directionally consistent (log-rank p=0.053)</w:t>
      </w:r>
    </w:p>
    <w:p w:rsidR="00F41A05" w:rsidRPr="005E09FB" w:rsidRDefault="00F41A05" w:rsidP="00F41A05">
      <w:pPr>
        <w:pStyle w:val="Web"/>
        <w:spacing w:line="480" w:lineRule="auto"/>
        <w:rPr>
          <w:rFonts w:ascii="Arial" w:hAnsi="Arial" w:cs="Arial"/>
          <w:lang w:eastAsia="zh-TW"/>
        </w:rPr>
      </w:pPr>
    </w:p>
    <w:p w:rsidR="00F41A05" w:rsidRPr="005E09FB" w:rsidRDefault="00F41A05" w:rsidP="00F41A05">
      <w:pPr>
        <w:pStyle w:val="Web"/>
        <w:spacing w:line="480" w:lineRule="auto"/>
        <w:rPr>
          <w:rFonts w:ascii="Arial" w:hAnsi="Arial" w:cs="Arial"/>
        </w:rPr>
      </w:pPr>
      <w:r w:rsidRPr="005E09FB">
        <w:rPr>
          <w:rFonts w:ascii="Arial" w:hAnsi="Arial" w:cs="Arial"/>
        </w:rPr>
        <w:t>Supplementary Table 1 Sensitivity analysis using ROC-derived tumor size cut-off (≥7.8 cm)</w:t>
      </w:r>
    </w:p>
    <w:tbl>
      <w:tblPr>
        <w:tblW w:w="77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985"/>
        <w:gridCol w:w="1411"/>
        <w:gridCol w:w="1422"/>
      </w:tblGrid>
      <w:tr w:rsidR="00F41A05" w:rsidRPr="005E09FB" w:rsidTr="00475846">
        <w:trPr>
          <w:trHeight w:val="440"/>
          <w:tblHeader/>
          <w:tblCellSpacing w:w="15" w:type="dxa"/>
        </w:trPr>
        <w:tc>
          <w:tcPr>
            <w:tcW w:w="2931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lastRenderedPageBreak/>
              <w:t>Variable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Odds ratio (OR)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95% CI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p value</w:t>
            </w:r>
          </w:p>
        </w:tc>
      </w:tr>
      <w:tr w:rsidR="00F41A05" w:rsidRPr="005E09FB" w:rsidTr="00475846">
        <w:trPr>
          <w:trHeight w:val="512"/>
          <w:tblCellSpacing w:w="15" w:type="dxa"/>
        </w:trPr>
        <w:tc>
          <w:tcPr>
            <w:tcW w:w="2931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>Largest tumor size ≥ 7.8 cm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>4.53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>1.50–13.66</w:t>
            </w:r>
          </w:p>
        </w:tc>
        <w:tc>
          <w:tcPr>
            <w:tcW w:w="1377" w:type="dxa"/>
            <w:tcBorders>
              <w:top w:val="single" w:sz="12" w:space="0" w:color="000000" w:themeColor="text1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  <w:vertAlign w:val="superscript"/>
                <w:lang w:eastAsia="zh-TW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>0.007</w:t>
            </w:r>
            <w:r w:rsidRPr="005E09FB">
              <w:rPr>
                <w:rStyle w:val="af"/>
                <w:rFonts w:cs="Arial"/>
                <w:b w:val="0"/>
                <w:bCs w:val="0"/>
                <w:vertAlign w:val="superscript"/>
              </w:rPr>
              <w:t>＊</w:t>
            </w:r>
          </w:p>
        </w:tc>
      </w:tr>
      <w:tr w:rsidR="00F41A05" w:rsidRPr="005E09FB" w:rsidTr="00475846">
        <w:trPr>
          <w:trHeight w:val="478"/>
          <w:tblCellSpacing w:w="15" w:type="dxa"/>
        </w:trPr>
        <w:tc>
          <w:tcPr>
            <w:tcW w:w="2931" w:type="dxa"/>
            <w:tcBorders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rPr>
                <w:rFonts w:cs="Arial"/>
              </w:rPr>
            </w:pPr>
            <w:r w:rsidRPr="005E09FB">
              <w:rPr>
                <w:rFonts w:cs="Arial"/>
              </w:rPr>
              <w:t>ALBI grade (2 vs 1)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1.23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0.38–4.02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0.733</w:t>
            </w:r>
          </w:p>
        </w:tc>
      </w:tr>
    </w:tbl>
    <w:p w:rsidR="00F41A05" w:rsidRDefault="00F41A05" w:rsidP="00F41A05">
      <w:pPr>
        <w:pStyle w:val="Web"/>
        <w:spacing w:line="480" w:lineRule="auto"/>
        <w:rPr>
          <w:rFonts w:ascii="Arial" w:hAnsi="Arial" w:cs="Arial"/>
        </w:rPr>
      </w:pPr>
      <w:r w:rsidRPr="005E09FB">
        <w:rPr>
          <w:rStyle w:val="af"/>
          <w:rFonts w:ascii="Arial" w:hAnsi="Arial" w:cs="Arial"/>
          <w:b w:val="0"/>
          <w:bCs w:val="0"/>
        </w:rPr>
        <w:t>Model statistics</w:t>
      </w:r>
      <w:r w:rsidRPr="005E09FB">
        <w:rPr>
          <w:rFonts w:ascii="Arial" w:hAnsi="Arial" w:cs="Arial"/>
        </w:rPr>
        <w:t>: Omnibus χ² = 8.38, p = 0.015; Nagelkerke R² = 0.163</w:t>
      </w:r>
    </w:p>
    <w:p w:rsidR="00AF72B2" w:rsidRPr="00AF72B2" w:rsidRDefault="00AF72B2" w:rsidP="00AF72B2">
      <w:pPr>
        <w:jc w:val="both"/>
        <w:rPr>
          <w:rFonts w:eastAsia="微軟正黑體" w:cs="Arial"/>
          <w:bCs/>
          <w:color w:val="000000" w:themeColor="text1"/>
        </w:rPr>
      </w:pPr>
      <w:r w:rsidRPr="005E09FB">
        <w:rPr>
          <w:rStyle w:val="af"/>
          <w:rFonts w:cs="Arial"/>
          <w:b w:val="0"/>
          <w:bCs w:val="0"/>
          <w:vertAlign w:val="superscript"/>
        </w:rPr>
        <w:t>＊</w:t>
      </w:r>
      <w:r w:rsidRPr="0049574F">
        <w:rPr>
          <w:rFonts w:eastAsia="微軟正黑體" w:cs="Arial"/>
          <w:bCs/>
          <w:color w:val="000000" w:themeColor="text1"/>
        </w:rPr>
        <w:t>Statistically signif</w:t>
      </w:r>
      <w:r>
        <w:rPr>
          <w:rFonts w:eastAsia="微軟正黑體" w:cs="Arial"/>
          <w:bCs/>
          <w:color w:val="000000" w:themeColor="text1"/>
        </w:rPr>
        <w:t>i</w:t>
      </w:r>
      <w:r w:rsidRPr="0049574F">
        <w:rPr>
          <w:rFonts w:eastAsia="微軟正黑體" w:cs="Arial"/>
          <w:bCs/>
          <w:color w:val="000000" w:themeColor="text1"/>
        </w:rPr>
        <w:t>cant dif</w:t>
      </w:r>
      <w:r>
        <w:rPr>
          <w:rFonts w:eastAsia="微軟正黑體" w:cs="Arial"/>
          <w:bCs/>
          <w:color w:val="000000" w:themeColor="text1"/>
        </w:rPr>
        <w:t>f</w:t>
      </w:r>
      <w:r w:rsidRPr="0049574F">
        <w:rPr>
          <w:rFonts w:eastAsia="微軟正黑體" w:cs="Arial"/>
          <w:bCs/>
          <w:color w:val="000000" w:themeColor="text1"/>
        </w:rPr>
        <w:t>erence.</w:t>
      </w:r>
    </w:p>
    <w:p w:rsidR="00F41A05" w:rsidRPr="005E09FB" w:rsidRDefault="00F41A05" w:rsidP="00F41A05">
      <w:pPr>
        <w:pStyle w:val="Web"/>
        <w:spacing w:line="480" w:lineRule="auto"/>
        <w:rPr>
          <w:rFonts w:ascii="Arial" w:hAnsi="Arial" w:cs="Arial"/>
        </w:rPr>
      </w:pPr>
    </w:p>
    <w:p w:rsidR="00F41A05" w:rsidRPr="005E09FB" w:rsidRDefault="00F41A05" w:rsidP="00F41A05">
      <w:pPr>
        <w:pStyle w:val="Web"/>
        <w:spacing w:line="480" w:lineRule="auto"/>
        <w:rPr>
          <w:rFonts w:ascii="Arial" w:hAnsi="Arial" w:cs="Arial"/>
          <w:lang w:eastAsia="zh-TW"/>
        </w:rPr>
      </w:pPr>
      <w:r w:rsidRPr="005E09FB">
        <w:rPr>
          <w:rFonts w:ascii="Arial" w:hAnsi="Arial" w:cs="Arial"/>
        </w:rPr>
        <w:t>Supplementary Table 2 Interaction analysis between tumor size and tumor number for successful downstaging</w:t>
      </w:r>
    </w:p>
    <w:p w:rsidR="00F41A05" w:rsidRPr="005E09FB" w:rsidRDefault="00F41A05" w:rsidP="00F41A05">
      <w:pPr>
        <w:pStyle w:val="Web"/>
        <w:spacing w:line="480" w:lineRule="auto"/>
        <w:rPr>
          <w:rFonts w:ascii="Arial" w:hAnsi="Arial" w:cs="Arial"/>
          <w:lang w:eastAsia="zh-TW"/>
        </w:rPr>
      </w:pPr>
      <w:r w:rsidRPr="005E09FB">
        <w:rPr>
          <w:rStyle w:val="af"/>
          <w:rFonts w:ascii="Arial" w:hAnsi="Arial" w:cs="Arial"/>
          <w:b w:val="0"/>
          <w:bCs w:val="0"/>
        </w:rPr>
        <w:t>Outcome</w:t>
      </w:r>
      <w:r w:rsidRPr="005E09FB">
        <w:rPr>
          <w:rStyle w:val="af"/>
          <w:rFonts w:ascii="Arial" w:hAnsi="Arial" w:cs="Arial"/>
        </w:rPr>
        <w:t>:</w:t>
      </w:r>
      <w:r w:rsidRPr="005E09FB">
        <w:rPr>
          <w:rFonts w:ascii="Arial" w:hAnsi="Arial" w:cs="Arial"/>
        </w:rPr>
        <w:t xml:space="preserve"> Successful downstaging to within UCSF criteria (Yes = 1)</w:t>
      </w:r>
    </w:p>
    <w:tbl>
      <w:tblPr>
        <w:tblW w:w="7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1803"/>
        <w:gridCol w:w="1559"/>
        <w:gridCol w:w="1418"/>
      </w:tblGrid>
      <w:tr w:rsidR="00F41A05" w:rsidRPr="005E09FB" w:rsidTr="00475846">
        <w:trPr>
          <w:trHeight w:val="641"/>
          <w:tblHeader/>
          <w:tblCellSpacing w:w="15" w:type="dxa"/>
        </w:trPr>
        <w:tc>
          <w:tcPr>
            <w:tcW w:w="297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Variable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Odds ratio (OR)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95% CI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p value</w:t>
            </w:r>
          </w:p>
        </w:tc>
      </w:tr>
      <w:tr w:rsidR="00F41A05" w:rsidRPr="005E09FB" w:rsidTr="00475846">
        <w:trPr>
          <w:trHeight w:val="359"/>
          <w:tblCellSpacing w:w="15" w:type="dxa"/>
        </w:trPr>
        <w:tc>
          <w:tcPr>
            <w:tcW w:w="2971" w:type="dxa"/>
            <w:vAlign w:val="center"/>
            <w:hideMark/>
          </w:tcPr>
          <w:p w:rsidR="00F41A05" w:rsidRPr="005E09FB" w:rsidRDefault="00F41A05" w:rsidP="00475846">
            <w:pPr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>Tumor number (per lesion)</w:t>
            </w:r>
          </w:p>
        </w:tc>
        <w:tc>
          <w:tcPr>
            <w:tcW w:w="1773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1.03</w:t>
            </w:r>
          </w:p>
        </w:tc>
        <w:tc>
          <w:tcPr>
            <w:tcW w:w="1529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 xml:space="preserve">0.94 - 1.13 </w:t>
            </w:r>
          </w:p>
        </w:tc>
        <w:tc>
          <w:tcPr>
            <w:tcW w:w="1373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Style w:val="af"/>
                <w:rFonts w:cs="Arial"/>
                <w:b w:val="0"/>
                <w:bCs w:val="0"/>
              </w:rPr>
              <w:t xml:space="preserve"> 0.49</w:t>
            </w:r>
          </w:p>
        </w:tc>
      </w:tr>
      <w:tr w:rsidR="00F41A05" w:rsidRPr="005E09FB" w:rsidTr="00475846">
        <w:trPr>
          <w:trHeight w:val="365"/>
          <w:tblCellSpacing w:w="15" w:type="dxa"/>
        </w:trPr>
        <w:tc>
          <w:tcPr>
            <w:tcW w:w="2971" w:type="dxa"/>
            <w:vAlign w:val="center"/>
            <w:hideMark/>
          </w:tcPr>
          <w:p w:rsidR="00F41A05" w:rsidRPr="005E09FB" w:rsidRDefault="00F41A05" w:rsidP="00475846">
            <w:pPr>
              <w:rPr>
                <w:rFonts w:cs="Arial"/>
              </w:rPr>
            </w:pPr>
            <w:r w:rsidRPr="005E09FB">
              <w:rPr>
                <w:rFonts w:cs="Arial"/>
              </w:rPr>
              <w:t>Largest tumor diameter</w:t>
            </w:r>
            <w:r w:rsidRPr="005E09FB">
              <w:rPr>
                <w:rFonts w:cs="Arial"/>
                <w:lang w:eastAsia="zh-TW"/>
              </w:rPr>
              <w:t xml:space="preserve"> </w:t>
            </w:r>
            <w:r w:rsidRPr="005E09FB">
              <w:rPr>
                <w:rFonts w:cs="Arial"/>
              </w:rPr>
              <w:t>≥</w:t>
            </w:r>
            <w:r w:rsidRPr="005E09FB">
              <w:rPr>
                <w:rFonts w:cs="Arial"/>
                <w:lang w:eastAsia="zh-TW"/>
              </w:rPr>
              <w:t xml:space="preserve"> </w:t>
            </w:r>
            <w:r w:rsidRPr="005E09FB">
              <w:rPr>
                <w:rFonts w:cs="Arial"/>
              </w:rPr>
              <w:t>7.8 cm</w:t>
            </w:r>
          </w:p>
        </w:tc>
        <w:tc>
          <w:tcPr>
            <w:tcW w:w="1773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0.14</w:t>
            </w:r>
          </w:p>
        </w:tc>
        <w:tc>
          <w:tcPr>
            <w:tcW w:w="1529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0.03 – 0.76</w:t>
            </w:r>
          </w:p>
        </w:tc>
        <w:tc>
          <w:tcPr>
            <w:tcW w:w="1373" w:type="dxa"/>
            <w:vAlign w:val="center"/>
            <w:hideMark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 xml:space="preserve"> 0.023</w:t>
            </w:r>
          </w:p>
        </w:tc>
      </w:tr>
      <w:tr w:rsidR="00F41A05" w:rsidRPr="005E09FB" w:rsidTr="00475846">
        <w:trPr>
          <w:trHeight w:val="357"/>
          <w:tblCellSpacing w:w="15" w:type="dxa"/>
        </w:trPr>
        <w:tc>
          <w:tcPr>
            <w:tcW w:w="2971" w:type="dxa"/>
            <w:tcBorders>
              <w:bottom w:val="single" w:sz="12" w:space="0" w:color="auto"/>
            </w:tcBorders>
            <w:vAlign w:val="center"/>
          </w:tcPr>
          <w:p w:rsidR="00F41A05" w:rsidRPr="005E09FB" w:rsidRDefault="00F41A05" w:rsidP="00475846">
            <w:pPr>
              <w:rPr>
                <w:rFonts w:cs="Arial"/>
              </w:rPr>
            </w:pPr>
            <w:r w:rsidRPr="005E09FB">
              <w:rPr>
                <w:rFonts w:cs="Arial"/>
              </w:rPr>
              <w:t>Size × number interaction</w:t>
            </w:r>
          </w:p>
        </w:tc>
        <w:tc>
          <w:tcPr>
            <w:tcW w:w="1773" w:type="dxa"/>
            <w:tcBorders>
              <w:bottom w:val="single" w:sz="12" w:space="0" w:color="auto"/>
            </w:tcBorders>
            <w:vAlign w:val="center"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0.95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0.78 – 1.15</w:t>
            </w:r>
          </w:p>
        </w:tc>
        <w:tc>
          <w:tcPr>
            <w:tcW w:w="1373" w:type="dxa"/>
            <w:tcBorders>
              <w:bottom w:val="single" w:sz="12" w:space="0" w:color="auto"/>
            </w:tcBorders>
            <w:vAlign w:val="center"/>
          </w:tcPr>
          <w:p w:rsidR="00F41A05" w:rsidRPr="005E09FB" w:rsidRDefault="00F41A05" w:rsidP="00475846">
            <w:pPr>
              <w:jc w:val="center"/>
              <w:rPr>
                <w:rFonts w:cs="Arial"/>
              </w:rPr>
            </w:pPr>
            <w:r w:rsidRPr="005E09FB">
              <w:rPr>
                <w:rFonts w:cs="Arial"/>
              </w:rPr>
              <w:t>0.612</w:t>
            </w:r>
          </w:p>
        </w:tc>
      </w:tr>
    </w:tbl>
    <w:p w:rsidR="00F41A05" w:rsidRPr="001D7B66" w:rsidRDefault="00F41A05" w:rsidP="00F41A05">
      <w:pPr>
        <w:pStyle w:val="Web"/>
        <w:spacing w:line="480" w:lineRule="auto"/>
        <w:rPr>
          <w:rFonts w:ascii="Arial" w:hAnsi="Arial" w:cs="Arial"/>
          <w:lang w:eastAsia="zh-TW"/>
        </w:rPr>
      </w:pPr>
      <w:r w:rsidRPr="005E09FB">
        <w:rPr>
          <w:rStyle w:val="af"/>
          <w:rFonts w:ascii="Arial" w:hAnsi="Arial" w:cs="Arial"/>
          <w:b w:val="0"/>
          <w:bCs w:val="0"/>
        </w:rPr>
        <w:t>Model fit</w:t>
      </w:r>
      <w:r w:rsidRPr="005E09FB">
        <w:rPr>
          <w:rStyle w:val="af"/>
          <w:rFonts w:ascii="Arial" w:hAnsi="Arial" w:cs="Arial"/>
        </w:rPr>
        <w:t>:</w:t>
      </w:r>
      <w:r w:rsidRPr="005E09FB">
        <w:rPr>
          <w:rFonts w:ascii="Arial" w:hAnsi="Arial" w:cs="Arial"/>
        </w:rPr>
        <w:t xml:space="preserve"> Omnibus χ² = 8.78, </w:t>
      </w:r>
      <w:r w:rsidRPr="005E09FB">
        <w:rPr>
          <w:rStyle w:val="ae"/>
          <w:rFonts w:ascii="Arial" w:hAnsi="Arial" w:cs="Arial"/>
          <w:b w:val="0"/>
          <w:bCs w:val="0"/>
        </w:rPr>
        <w:t>p</w:t>
      </w:r>
      <w:r w:rsidRPr="005E09FB">
        <w:rPr>
          <w:rFonts w:ascii="Arial" w:hAnsi="Arial" w:cs="Arial"/>
        </w:rPr>
        <w:t xml:space="preserve"> = 0.032; Nagelkerke R² = 0.17</w:t>
      </w:r>
    </w:p>
    <w:p w:rsidR="00984963" w:rsidRDefault="00984963"/>
    <w:sectPr w:rsidR="009849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5"/>
    <w:rsid w:val="00027AC3"/>
    <w:rsid w:val="0004234A"/>
    <w:rsid w:val="000501D7"/>
    <w:rsid w:val="000A676B"/>
    <w:rsid w:val="000E4D7A"/>
    <w:rsid w:val="001236AF"/>
    <w:rsid w:val="00165A8D"/>
    <w:rsid w:val="001A0ABE"/>
    <w:rsid w:val="001A617A"/>
    <w:rsid w:val="001C1C18"/>
    <w:rsid w:val="002873EE"/>
    <w:rsid w:val="002C232A"/>
    <w:rsid w:val="00330EF6"/>
    <w:rsid w:val="003329A5"/>
    <w:rsid w:val="003C028C"/>
    <w:rsid w:val="003D41AB"/>
    <w:rsid w:val="003E1019"/>
    <w:rsid w:val="00401D99"/>
    <w:rsid w:val="004028AB"/>
    <w:rsid w:val="0043488B"/>
    <w:rsid w:val="00466535"/>
    <w:rsid w:val="00473EF4"/>
    <w:rsid w:val="00475F53"/>
    <w:rsid w:val="004D62A7"/>
    <w:rsid w:val="00507F74"/>
    <w:rsid w:val="005E7A78"/>
    <w:rsid w:val="006B68ED"/>
    <w:rsid w:val="006E1EB9"/>
    <w:rsid w:val="006E61BE"/>
    <w:rsid w:val="007458E0"/>
    <w:rsid w:val="00762CF2"/>
    <w:rsid w:val="007679C1"/>
    <w:rsid w:val="007D5784"/>
    <w:rsid w:val="008204EE"/>
    <w:rsid w:val="00833D22"/>
    <w:rsid w:val="00851668"/>
    <w:rsid w:val="008847D9"/>
    <w:rsid w:val="0089427B"/>
    <w:rsid w:val="008D73C8"/>
    <w:rsid w:val="0095434D"/>
    <w:rsid w:val="00975E06"/>
    <w:rsid w:val="00984963"/>
    <w:rsid w:val="00992F2F"/>
    <w:rsid w:val="009E6BB6"/>
    <w:rsid w:val="00A02921"/>
    <w:rsid w:val="00A128B4"/>
    <w:rsid w:val="00A33378"/>
    <w:rsid w:val="00A87E52"/>
    <w:rsid w:val="00A92AB1"/>
    <w:rsid w:val="00AF527A"/>
    <w:rsid w:val="00AF72B2"/>
    <w:rsid w:val="00BA5556"/>
    <w:rsid w:val="00BB2B6E"/>
    <w:rsid w:val="00C17262"/>
    <w:rsid w:val="00C24F43"/>
    <w:rsid w:val="00D40BDE"/>
    <w:rsid w:val="00D46C05"/>
    <w:rsid w:val="00D47AB8"/>
    <w:rsid w:val="00D70453"/>
    <w:rsid w:val="00D872FC"/>
    <w:rsid w:val="00DD5686"/>
    <w:rsid w:val="00DE0F86"/>
    <w:rsid w:val="00DE2331"/>
    <w:rsid w:val="00E04257"/>
    <w:rsid w:val="00E371EF"/>
    <w:rsid w:val="00E51E7B"/>
    <w:rsid w:val="00E85D0F"/>
    <w:rsid w:val="00F41A05"/>
    <w:rsid w:val="00F504DE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94C05"/>
  <w15:chartTrackingRefBased/>
  <w15:docId w15:val="{AB153696-0E1E-C041-BE79-E2313EA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05"/>
    <w:pPr>
      <w:spacing w:after="0" w:line="480" w:lineRule="auto"/>
    </w:pPr>
    <w:rPr>
      <w:rFonts w:ascii="Arial" w:hAnsi="Arial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A05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05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05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05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05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05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05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05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05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1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1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1A0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1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1A0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1A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1A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1A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1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A05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05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1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05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1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05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F41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0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1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05"/>
    <w:rPr>
      <w:b/>
      <w:bCs/>
      <w:smallCaps/>
      <w:color w:val="2F5496" w:themeColor="accent1" w:themeShade="BF"/>
      <w:spacing w:val="5"/>
    </w:rPr>
  </w:style>
  <w:style w:type="character" w:styleId="ae">
    <w:name w:val="Emphasis"/>
    <w:uiPriority w:val="20"/>
    <w:qFormat/>
    <w:rsid w:val="00F41A05"/>
    <w:rPr>
      <w:b/>
      <w:bCs/>
      <w:i w:val="0"/>
      <w:iCs w:val="0"/>
    </w:rPr>
  </w:style>
  <w:style w:type="paragraph" w:styleId="Web">
    <w:name w:val="Normal (Web)"/>
    <w:basedOn w:val="a"/>
    <w:uiPriority w:val="99"/>
    <w:rsid w:val="00F41A05"/>
    <w:pPr>
      <w:spacing w:line="280" w:lineRule="atLeast"/>
      <w:jc w:val="both"/>
    </w:pPr>
    <w:rPr>
      <w:rFonts w:ascii="Palatino Linotype" w:eastAsia="SimSun" w:hAnsi="Palatino Linotype"/>
      <w:color w:val="000000"/>
      <w:lang w:eastAsia="zh-CN"/>
    </w:rPr>
  </w:style>
  <w:style w:type="character" w:styleId="af">
    <w:name w:val="Strong"/>
    <w:basedOn w:val="a0"/>
    <w:uiPriority w:val="22"/>
    <w:qFormat/>
    <w:rsid w:val="00F41A05"/>
    <w:rPr>
      <w:b/>
      <w:bCs/>
    </w:rPr>
  </w:style>
  <w:style w:type="paragraph" w:customStyle="1" w:styleId="MDPI62backmatter">
    <w:name w:val="MDPI_6.2_back_matter"/>
    <w:qFormat/>
    <w:rsid w:val="00F41A05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雋驊 邱</dc:creator>
  <cp:keywords/>
  <dc:description/>
  <cp:lastModifiedBy>雋驊 邱</cp:lastModifiedBy>
  <cp:revision>5</cp:revision>
  <dcterms:created xsi:type="dcterms:W3CDTF">2026-03-30T16:05:00Z</dcterms:created>
  <dcterms:modified xsi:type="dcterms:W3CDTF">2026-06-13T07:54:00Z</dcterms:modified>
</cp:coreProperties>
</file>