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D38A" w14:textId="77777777" w:rsidR="0071030C" w:rsidRPr="00A4606D" w:rsidRDefault="0071030C" w:rsidP="0071030C">
      <w:pPr>
        <w:pStyle w:val="HTML"/>
        <w:widowControl/>
        <w:spacing w:line="360" w:lineRule="auto"/>
        <w:jc w:val="both"/>
        <w:rPr>
          <w:rFonts w:ascii="Arial" w:eastAsia="等线 Light" w:hAnsi="Arial" w:cs="Arial" w:hint="default"/>
          <w:b/>
          <w:bCs/>
          <w:color w:val="000000" w:themeColor="text1"/>
          <w:sz w:val="16"/>
          <w:szCs w:val="16"/>
          <w:lang w:val="en-GB"/>
        </w:rPr>
      </w:pPr>
      <w:r w:rsidRPr="00A4606D">
        <w:rPr>
          <w:rFonts w:ascii="Arial" w:eastAsia="等线 Light" w:hAnsi="Arial" w:cs="Arial" w:hint="default"/>
          <w:b/>
          <w:bCs/>
          <w:color w:val="000000" w:themeColor="text1"/>
          <w:sz w:val="16"/>
          <w:szCs w:val="16"/>
          <w:lang w:val="en-GB"/>
        </w:rPr>
        <w:t>Supplementary Table 1: Disease-Specific Pathological Features and Nanozyme Design Priorities in Arthritis Therapy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"/>
        <w:gridCol w:w="2336"/>
        <w:gridCol w:w="226"/>
        <w:gridCol w:w="2056"/>
        <w:gridCol w:w="2146"/>
      </w:tblGrid>
      <w:tr w:rsidR="0071030C" w:rsidRPr="00A4606D" w14:paraId="173471CF" w14:textId="77777777" w:rsidTr="00A4606D">
        <w:trPr>
          <w:trHeight w:val="372"/>
          <w:tblHeader/>
        </w:trPr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0A2F92" w14:textId="77777777" w:rsidR="0071030C" w:rsidRPr="00A4606D" w:rsidRDefault="0071030C" w:rsidP="003D046E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b/>
                <w:bCs/>
                <w:color w:val="0F1115"/>
                <w:kern w:val="0"/>
                <w:sz w:val="16"/>
                <w:szCs w:val="16"/>
              </w:rPr>
              <w:t>Dimension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CFD718" w14:textId="77777777" w:rsidR="0071030C" w:rsidRPr="00A4606D" w:rsidRDefault="0071030C" w:rsidP="003D046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b/>
                <w:bCs/>
                <w:color w:val="0F1115"/>
                <w:kern w:val="0"/>
                <w:sz w:val="16"/>
                <w:szCs w:val="16"/>
              </w:rPr>
              <w:t>Rheumatoid Arthritis (RA)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7B9281" w14:textId="77777777" w:rsidR="0071030C" w:rsidRPr="00A4606D" w:rsidRDefault="0071030C" w:rsidP="003D046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b/>
                <w:bCs/>
                <w:color w:val="0F1115"/>
                <w:kern w:val="0"/>
                <w:sz w:val="16"/>
                <w:szCs w:val="16"/>
              </w:rPr>
              <w:t>Osteoarthritis (OA)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B0302A" w14:textId="77777777" w:rsidR="0071030C" w:rsidRPr="00A4606D" w:rsidRDefault="0071030C" w:rsidP="003D046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b/>
                <w:bCs/>
                <w:color w:val="0F1115"/>
                <w:kern w:val="0"/>
                <w:sz w:val="16"/>
                <w:szCs w:val="16"/>
              </w:rPr>
              <w:t>Gouty Arthritis (GA)</w:t>
            </w:r>
          </w:p>
        </w:tc>
      </w:tr>
      <w:tr w:rsidR="0071030C" w:rsidRPr="00A4606D" w14:paraId="72614036" w14:textId="77777777" w:rsidTr="00A4606D">
        <w:trPr>
          <w:trHeight w:val="20"/>
        </w:trPr>
        <w:tc>
          <w:tcPr>
            <w:tcW w:w="1542" w:type="dxa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FECEAA" w14:textId="77777777" w:rsidR="0071030C" w:rsidRPr="00A4606D" w:rsidRDefault="0071030C" w:rsidP="003D046E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b/>
                <w:bCs/>
                <w:color w:val="0F1115"/>
                <w:kern w:val="0"/>
                <w:sz w:val="16"/>
                <w:szCs w:val="16"/>
              </w:rPr>
              <w:t>Pathological nature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4B4000" w14:textId="77777777" w:rsidR="0071030C" w:rsidRPr="00A4606D" w:rsidRDefault="0071030C" w:rsidP="003D046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Autoimmune-driven inflammatory disease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E31D96" w14:textId="77777777" w:rsidR="0071030C" w:rsidRPr="00A4606D" w:rsidRDefault="0071030C" w:rsidP="003D046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Degenerative cartilage disorder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F2D850" w14:textId="77777777" w:rsidR="0071030C" w:rsidRPr="00A4606D" w:rsidRDefault="0071030C" w:rsidP="003D046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Crystal-induced acute inflammation</w:t>
            </w:r>
          </w:p>
        </w:tc>
      </w:tr>
      <w:tr w:rsidR="0071030C" w:rsidRPr="00A4606D" w14:paraId="17B8CB6C" w14:textId="77777777" w:rsidTr="00A4606D">
        <w:trPr>
          <w:trHeight w:val="20"/>
        </w:trPr>
        <w:tc>
          <w:tcPr>
            <w:tcW w:w="154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E95EF1" w14:textId="77777777" w:rsidR="0071030C" w:rsidRPr="00A4606D" w:rsidRDefault="0071030C" w:rsidP="003D046E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b/>
                <w:bCs/>
                <w:color w:val="0F1115"/>
                <w:kern w:val="0"/>
                <w:sz w:val="16"/>
                <w:szCs w:val="16"/>
              </w:rPr>
              <w:t>Pathogenic drivers</w:t>
            </w:r>
          </w:p>
        </w:tc>
        <w:tc>
          <w:tcPr>
            <w:tcW w:w="23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EBF8D2" w14:textId="77777777" w:rsidR="0071030C" w:rsidRPr="00A4606D" w:rsidRDefault="0071030C" w:rsidP="003D046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Autoantibodies, T-cell dysregulation, synovial hyperplasia</w:t>
            </w:r>
          </w:p>
        </w:tc>
        <w:tc>
          <w:tcPr>
            <w:tcW w:w="2282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B5961C" w14:textId="77777777" w:rsidR="0071030C" w:rsidRPr="00A4606D" w:rsidRDefault="0071030C" w:rsidP="003D046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Mechanical stress, chondrocyte senescence, metabolic dysregulation</w:t>
            </w:r>
          </w:p>
        </w:tc>
        <w:tc>
          <w:tcPr>
            <w:tcW w:w="214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4C99E5" w14:textId="3E8989DB" w:rsidR="0071030C" w:rsidRPr="00A4606D" w:rsidRDefault="00A4606D" w:rsidP="003D046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MSU</w:t>
            </w: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 xml:space="preserve"> </w:t>
            </w:r>
            <w:r w:rsidR="0071030C"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crystal deposition, purine metabolic disorders</w:t>
            </w:r>
          </w:p>
        </w:tc>
      </w:tr>
      <w:tr w:rsidR="0071030C" w:rsidRPr="00A4606D" w14:paraId="0A935632" w14:textId="77777777" w:rsidTr="00A4606D">
        <w:trPr>
          <w:trHeight w:val="20"/>
        </w:trPr>
        <w:tc>
          <w:tcPr>
            <w:tcW w:w="154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60B0EC" w14:textId="77777777" w:rsidR="0071030C" w:rsidRPr="00A4606D" w:rsidRDefault="0071030C" w:rsidP="003D046E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b/>
                <w:bCs/>
                <w:color w:val="0F1115"/>
                <w:kern w:val="0"/>
                <w:sz w:val="16"/>
                <w:szCs w:val="16"/>
              </w:rPr>
              <w:t>Inflammatory pathways</w:t>
            </w:r>
          </w:p>
        </w:tc>
        <w:tc>
          <w:tcPr>
            <w:tcW w:w="23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701A89" w14:textId="77777777" w:rsidR="0071030C" w:rsidRPr="00A4606D" w:rsidRDefault="0071030C" w:rsidP="003D046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NF-</w:t>
            </w:r>
            <w:proofErr w:type="spellStart"/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κB</w:t>
            </w:r>
            <w:proofErr w:type="spellEnd"/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, MAPK, JAK-STAT, HIF-1α</w:t>
            </w:r>
          </w:p>
        </w:tc>
        <w:tc>
          <w:tcPr>
            <w:tcW w:w="2282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B6DA94" w14:textId="77777777" w:rsidR="0071030C" w:rsidRPr="00A4606D" w:rsidRDefault="0071030C" w:rsidP="003D046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NF-</w:t>
            </w:r>
            <w:proofErr w:type="spellStart"/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κB</w:t>
            </w:r>
            <w:proofErr w:type="spellEnd"/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 xml:space="preserve">, MAPK, </w:t>
            </w:r>
            <w:proofErr w:type="spellStart"/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cGAS</w:t>
            </w:r>
            <w:proofErr w:type="spellEnd"/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-STING</w:t>
            </w:r>
          </w:p>
        </w:tc>
        <w:tc>
          <w:tcPr>
            <w:tcW w:w="214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EC2D52" w14:textId="77777777" w:rsidR="0071030C" w:rsidRPr="00A4606D" w:rsidRDefault="0071030C" w:rsidP="003D046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NF-</w:t>
            </w:r>
            <w:proofErr w:type="spellStart"/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κB</w:t>
            </w:r>
            <w:proofErr w:type="spellEnd"/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, NLRP3, TLR4/MyD88</w:t>
            </w:r>
          </w:p>
        </w:tc>
      </w:tr>
      <w:tr w:rsidR="0071030C" w:rsidRPr="00A4606D" w14:paraId="78EE7F33" w14:textId="77777777" w:rsidTr="00A4606D">
        <w:trPr>
          <w:trHeight w:val="20"/>
        </w:trPr>
        <w:tc>
          <w:tcPr>
            <w:tcW w:w="154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5E6081" w14:textId="77777777" w:rsidR="0071030C" w:rsidRPr="00A4606D" w:rsidRDefault="0071030C" w:rsidP="003D046E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b/>
                <w:bCs/>
                <w:color w:val="0F1115"/>
                <w:kern w:val="0"/>
                <w:sz w:val="16"/>
                <w:szCs w:val="16"/>
              </w:rPr>
              <w:t>Nanozymes function</w:t>
            </w:r>
          </w:p>
        </w:tc>
        <w:tc>
          <w:tcPr>
            <w:tcW w:w="23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A91260" w14:textId="77777777" w:rsidR="0071030C" w:rsidRPr="00A4606D" w:rsidRDefault="0071030C" w:rsidP="003D046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Immunomodulation and hypoxia relief</w:t>
            </w:r>
          </w:p>
        </w:tc>
        <w:tc>
          <w:tcPr>
            <w:tcW w:w="2282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32BAB9" w14:textId="77777777" w:rsidR="0071030C" w:rsidRPr="00A4606D" w:rsidRDefault="0071030C" w:rsidP="003D046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Chondroprotection and mitochondrial quality control</w:t>
            </w:r>
          </w:p>
        </w:tc>
        <w:tc>
          <w:tcPr>
            <w:tcW w:w="214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3240D8" w14:textId="77777777" w:rsidR="0071030C" w:rsidRPr="00A4606D" w:rsidRDefault="0071030C" w:rsidP="003D046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Rapid ROS scavenging and uric acid metabolic regulation</w:t>
            </w:r>
          </w:p>
        </w:tc>
      </w:tr>
      <w:tr w:rsidR="0071030C" w:rsidRPr="00A4606D" w14:paraId="40CC6FD5" w14:textId="77777777" w:rsidTr="00A4606D">
        <w:trPr>
          <w:trHeight w:val="20"/>
        </w:trPr>
        <w:tc>
          <w:tcPr>
            <w:tcW w:w="154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92B478" w14:textId="77777777" w:rsidR="0071030C" w:rsidRPr="00A4606D" w:rsidRDefault="0071030C" w:rsidP="003D046E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b/>
                <w:bCs/>
                <w:color w:val="0F1115"/>
                <w:kern w:val="0"/>
                <w:sz w:val="16"/>
                <w:szCs w:val="16"/>
              </w:rPr>
              <w:t>Enzyme-mimetic activities</w:t>
            </w:r>
          </w:p>
        </w:tc>
        <w:tc>
          <w:tcPr>
            <w:tcW w:w="23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2263FE" w14:textId="77777777" w:rsidR="0071030C" w:rsidRPr="00A4606D" w:rsidRDefault="0071030C" w:rsidP="003D046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SOD-like / CAT-like with oxygen generation</w:t>
            </w:r>
          </w:p>
        </w:tc>
        <w:tc>
          <w:tcPr>
            <w:tcW w:w="2282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62DF9E" w14:textId="77777777" w:rsidR="0071030C" w:rsidRPr="00A4606D" w:rsidRDefault="0071030C" w:rsidP="003D046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Mitochondria-targeted SOD/CAT-like activities</w:t>
            </w:r>
          </w:p>
        </w:tc>
        <w:tc>
          <w:tcPr>
            <w:tcW w:w="214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2969CC" w14:textId="77777777" w:rsidR="0071030C" w:rsidRPr="00A4606D" w:rsidRDefault="0071030C" w:rsidP="003D046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SOD-like / CAT-like combined with UOD-like activity</w:t>
            </w:r>
          </w:p>
        </w:tc>
      </w:tr>
      <w:tr w:rsidR="0071030C" w:rsidRPr="00A4606D" w14:paraId="3B117F37" w14:textId="77777777" w:rsidTr="00A4606D">
        <w:trPr>
          <w:trHeight w:val="20"/>
        </w:trPr>
        <w:tc>
          <w:tcPr>
            <w:tcW w:w="154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EB051C" w14:textId="77777777" w:rsidR="0071030C" w:rsidRPr="00A4606D" w:rsidRDefault="0071030C" w:rsidP="003D046E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b/>
                <w:bCs/>
                <w:color w:val="0F1115"/>
                <w:kern w:val="0"/>
                <w:sz w:val="16"/>
                <w:szCs w:val="16"/>
              </w:rPr>
              <w:t>Target cells</w:t>
            </w:r>
          </w:p>
        </w:tc>
        <w:tc>
          <w:tcPr>
            <w:tcW w:w="23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2FEEFF" w14:textId="77777777" w:rsidR="0071030C" w:rsidRPr="00A4606D" w:rsidRDefault="0071030C" w:rsidP="003D046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Synovial fibroblasts, T cells, macrophages</w:t>
            </w:r>
          </w:p>
        </w:tc>
        <w:tc>
          <w:tcPr>
            <w:tcW w:w="2282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F06ECD" w14:textId="77777777" w:rsidR="0071030C" w:rsidRPr="00A4606D" w:rsidRDefault="0071030C" w:rsidP="003D046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Chondrocytes</w:t>
            </w:r>
          </w:p>
        </w:tc>
        <w:tc>
          <w:tcPr>
            <w:tcW w:w="214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D770DC" w14:textId="77777777" w:rsidR="0071030C" w:rsidRPr="00A4606D" w:rsidRDefault="0071030C" w:rsidP="003D046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Macrophages (particularly MSU-phagocytosing macrophages)</w:t>
            </w:r>
          </w:p>
        </w:tc>
      </w:tr>
      <w:tr w:rsidR="0071030C" w:rsidRPr="00A4606D" w14:paraId="7FD167B6" w14:textId="77777777" w:rsidTr="00A4606D">
        <w:trPr>
          <w:trHeight w:val="20"/>
        </w:trPr>
        <w:tc>
          <w:tcPr>
            <w:tcW w:w="1542" w:type="dxa"/>
            <w:tcBorders>
              <w:bottom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4A2BE9" w14:textId="77777777" w:rsidR="0071030C" w:rsidRPr="00A4606D" w:rsidRDefault="0071030C" w:rsidP="003D046E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b/>
                <w:bCs/>
                <w:color w:val="0F1115"/>
                <w:kern w:val="0"/>
                <w:sz w:val="16"/>
                <w:szCs w:val="16"/>
              </w:rPr>
              <w:t>Disease-specific mechanisms</w:t>
            </w:r>
          </w:p>
        </w:tc>
        <w:tc>
          <w:tcPr>
            <w:tcW w:w="2336" w:type="dxa"/>
            <w:tcBorders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8355B3" w14:textId="77777777" w:rsidR="0071030C" w:rsidRPr="00A4606D" w:rsidRDefault="0071030C" w:rsidP="003D046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NETs degradation, HIF-1α/VEGF suppression, vascular pannus inhibition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7B7584" w14:textId="77777777" w:rsidR="0071030C" w:rsidRPr="00A4606D" w:rsidRDefault="0071030C" w:rsidP="003D046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Nrf2 activation, PINK1/Parkin-mediated mitophagy, cartilage matrix preservation</w:t>
            </w:r>
          </w:p>
        </w:tc>
        <w:tc>
          <w:tcPr>
            <w:tcW w:w="2146" w:type="dxa"/>
            <w:tcBorders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581959" w14:textId="77777777" w:rsidR="0071030C" w:rsidRPr="00A4606D" w:rsidRDefault="0071030C" w:rsidP="003D046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Purine metabolic modulation (XDH/PKM downregulation), NLRP3 inflammasome inhibition</w:t>
            </w:r>
          </w:p>
        </w:tc>
      </w:tr>
      <w:tr w:rsidR="00A4606D" w:rsidRPr="00A4606D" w14:paraId="413CE768" w14:textId="77777777" w:rsidTr="00646848">
        <w:tc>
          <w:tcPr>
            <w:tcW w:w="83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7D9152" w14:textId="71A893E9" w:rsidR="00A4606D" w:rsidRPr="00A4606D" w:rsidRDefault="00A4606D" w:rsidP="003D046E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</w:pP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CAT: Catalase; SOD: Superoxide dismutase;</w:t>
            </w: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 xml:space="preserve"> </w:t>
            </w: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MSU</w:t>
            </w: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 xml:space="preserve">: </w:t>
            </w: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Monosodium urate</w:t>
            </w: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 xml:space="preserve">; </w:t>
            </w: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UOD</w:t>
            </w: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:</w:t>
            </w:r>
            <w:r w:rsidRPr="00A4606D">
              <w:rPr>
                <w:rFonts w:ascii="Arial" w:hAnsi="Arial" w:cs="Arial"/>
                <w:sz w:val="18"/>
                <w:szCs w:val="21"/>
              </w:rPr>
              <w:t xml:space="preserve"> </w:t>
            </w:r>
            <w:r w:rsidRPr="00A4606D">
              <w:rPr>
                <w:rFonts w:ascii="Arial" w:eastAsia="宋体" w:hAnsi="Arial" w:cs="Arial"/>
                <w:color w:val="0F1115"/>
                <w:kern w:val="0"/>
                <w:sz w:val="16"/>
                <w:szCs w:val="16"/>
              </w:rPr>
              <w:t>Urate oxidase</w:t>
            </w:r>
          </w:p>
        </w:tc>
      </w:tr>
    </w:tbl>
    <w:p w14:paraId="1F849F0A" w14:textId="77777777" w:rsidR="0071030C" w:rsidRPr="00BA6861" w:rsidRDefault="0071030C" w:rsidP="0071030C">
      <w:pPr>
        <w:pStyle w:val="HTML"/>
        <w:widowControl/>
        <w:spacing w:line="360" w:lineRule="auto"/>
        <w:jc w:val="both"/>
        <w:rPr>
          <w:rFonts w:ascii="Times New Roman" w:eastAsia="等线 Light" w:hAnsi="Times New Roman" w:hint="default"/>
          <w:b/>
          <w:bCs/>
          <w:i/>
          <w:iCs/>
          <w:color w:val="000000" w:themeColor="text1"/>
          <w:kern w:val="2"/>
          <w:lang w:val="en-GB"/>
        </w:rPr>
      </w:pPr>
    </w:p>
    <w:p w14:paraId="72C6EFB5" w14:textId="77777777" w:rsidR="005049DC" w:rsidRPr="0071030C" w:rsidRDefault="005049DC">
      <w:pPr>
        <w:rPr>
          <w:rFonts w:hint="eastAsia"/>
          <w:lang w:val="en-GB"/>
        </w:rPr>
      </w:pPr>
    </w:p>
    <w:sectPr w:rsidR="005049DC" w:rsidRPr="00710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19BA6" w14:textId="77777777" w:rsidR="00500E58" w:rsidRDefault="00500E58" w:rsidP="0071030C">
      <w:pPr>
        <w:rPr>
          <w:rFonts w:hint="eastAsia"/>
        </w:rPr>
      </w:pPr>
      <w:r>
        <w:separator/>
      </w:r>
    </w:p>
  </w:endnote>
  <w:endnote w:type="continuationSeparator" w:id="0">
    <w:p w14:paraId="75C4EEBA" w14:textId="77777777" w:rsidR="00500E58" w:rsidRDefault="00500E58" w:rsidP="007103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C9423" w14:textId="77777777" w:rsidR="00500E58" w:rsidRDefault="00500E58" w:rsidP="0071030C">
      <w:pPr>
        <w:rPr>
          <w:rFonts w:hint="eastAsia"/>
        </w:rPr>
      </w:pPr>
      <w:r>
        <w:separator/>
      </w:r>
    </w:p>
  </w:footnote>
  <w:footnote w:type="continuationSeparator" w:id="0">
    <w:p w14:paraId="66B385D4" w14:textId="77777777" w:rsidR="00500E58" w:rsidRDefault="00500E58" w:rsidP="0071030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D2"/>
    <w:rsid w:val="00237509"/>
    <w:rsid w:val="00376DF4"/>
    <w:rsid w:val="003A1BCF"/>
    <w:rsid w:val="003F4FA7"/>
    <w:rsid w:val="00500E58"/>
    <w:rsid w:val="005049DC"/>
    <w:rsid w:val="0071030C"/>
    <w:rsid w:val="00A4606D"/>
    <w:rsid w:val="00C0054F"/>
    <w:rsid w:val="00CA7AB0"/>
    <w:rsid w:val="00CE769C"/>
    <w:rsid w:val="00E6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D67A1"/>
  <w15:chartTrackingRefBased/>
  <w15:docId w15:val="{A428CFFC-E32A-4F1A-B0C1-330E58B1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30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E637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7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7D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7D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7D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7D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7D2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7D2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7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7D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7D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637D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7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7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7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7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7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7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7D2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637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7D2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E637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637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37D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103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1030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10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1030C"/>
    <w:rPr>
      <w:sz w:val="18"/>
      <w:szCs w:val="18"/>
    </w:rPr>
  </w:style>
  <w:style w:type="paragraph" w:styleId="HTML">
    <w:name w:val="HTML Preformatted"/>
    <w:basedOn w:val="a"/>
    <w:link w:val="HTML0"/>
    <w:uiPriority w:val="99"/>
    <w:qFormat/>
    <w:rsid w:val="00710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71030C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 HAN</dc:creator>
  <cp:keywords/>
  <dc:description/>
  <cp:lastModifiedBy>SHUN HAN</cp:lastModifiedBy>
  <cp:revision>3</cp:revision>
  <dcterms:created xsi:type="dcterms:W3CDTF">2026-06-19T12:43:00Z</dcterms:created>
  <dcterms:modified xsi:type="dcterms:W3CDTF">2026-06-19T12:48:00Z</dcterms:modified>
</cp:coreProperties>
</file>