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25B34" w14:textId="19B83565" w:rsidR="00221633" w:rsidRDefault="00221633">
      <w:pPr>
        <w:spacing w:after="120"/>
        <w:rPr>
          <w:b/>
          <w:bCs/>
          <w:sz w:val="22"/>
          <w:szCs w:val="22"/>
        </w:rPr>
      </w:pPr>
      <w:r>
        <w:rPr>
          <w:i/>
          <w:iCs/>
          <w:sz w:val="20"/>
          <w:szCs w:val="20"/>
        </w:rPr>
        <w:t>Supplemental Material</w:t>
      </w:r>
    </w:p>
    <w:p w14:paraId="54FBC34A" w14:textId="70B55D1F" w:rsidR="00832E1E" w:rsidRDefault="00262109">
      <w:pPr>
        <w:spacing w:after="120"/>
      </w:pPr>
      <w:r>
        <w:rPr>
          <w:b/>
          <w:bCs/>
          <w:sz w:val="22"/>
          <w:szCs w:val="22"/>
        </w:rPr>
        <w:t>Table S1. UMLS Concepts for ICD-10-CM Diagnosis Codes and CPT Procedure Codes Used to Define Ruptured Aortic Disease and Aortic Repair Procedures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85"/>
        <w:gridCol w:w="3230"/>
        <w:gridCol w:w="6183"/>
      </w:tblGrid>
      <w:tr w:rsidR="00832E1E" w14:paraId="32726F3F" w14:textId="77777777" w:rsidTr="00221633">
        <w:tc>
          <w:tcPr>
            <w:tcW w:w="1385" w:type="dxa"/>
            <w:tcBorders>
              <w:top w:val="single" w:sz="1" w:space="0" w:color="000000"/>
              <w:left w:val="single" w:sz="1" w:space="0" w:color="000000"/>
              <w:bottom w:val="single" w:sz="1" w:space="0" w:color="000000"/>
              <w:right w:val="single" w:sz="1" w:space="0" w:color="000000"/>
            </w:tcBorders>
            <w:shd w:val="clear" w:color="auto" w:fill="D9D9D9"/>
            <w:tcMar>
              <w:top w:w="60" w:type="dxa"/>
              <w:left w:w="80" w:type="dxa"/>
              <w:bottom w:w="60" w:type="dxa"/>
              <w:right w:w="80" w:type="dxa"/>
            </w:tcMar>
            <w:vAlign w:val="center"/>
          </w:tcPr>
          <w:p w14:paraId="18E6B5CF" w14:textId="77777777" w:rsidR="00832E1E" w:rsidRDefault="00262109">
            <w:pPr>
              <w:jc w:val="center"/>
            </w:pPr>
            <w:r>
              <w:rPr>
                <w:b/>
                <w:bCs/>
              </w:rPr>
              <w:t>Domain</w:t>
            </w:r>
          </w:p>
        </w:tc>
        <w:tc>
          <w:tcPr>
            <w:tcW w:w="3230" w:type="dxa"/>
            <w:tcBorders>
              <w:top w:val="single" w:sz="1" w:space="0" w:color="000000"/>
              <w:left w:val="single" w:sz="1" w:space="0" w:color="000000"/>
              <w:bottom w:val="single" w:sz="1" w:space="0" w:color="000000"/>
              <w:right w:val="single" w:sz="1" w:space="0" w:color="000000"/>
            </w:tcBorders>
            <w:shd w:val="clear" w:color="auto" w:fill="D9D9D9"/>
            <w:tcMar>
              <w:top w:w="60" w:type="dxa"/>
              <w:left w:w="80" w:type="dxa"/>
              <w:bottom w:w="60" w:type="dxa"/>
              <w:right w:w="80" w:type="dxa"/>
            </w:tcMar>
            <w:vAlign w:val="center"/>
          </w:tcPr>
          <w:p w14:paraId="65D98703" w14:textId="77777777" w:rsidR="00832E1E" w:rsidRDefault="00262109">
            <w:pPr>
              <w:jc w:val="center"/>
            </w:pPr>
            <w:r>
              <w:rPr>
                <w:b/>
                <w:bCs/>
              </w:rPr>
              <w:t>UMLS Concept (Code)</w:t>
            </w:r>
          </w:p>
        </w:tc>
        <w:tc>
          <w:tcPr>
            <w:tcW w:w="6183" w:type="dxa"/>
            <w:tcBorders>
              <w:top w:val="single" w:sz="1" w:space="0" w:color="000000"/>
              <w:left w:val="single" w:sz="1" w:space="0" w:color="000000"/>
              <w:bottom w:val="single" w:sz="1" w:space="0" w:color="000000"/>
              <w:right w:val="single" w:sz="1" w:space="0" w:color="000000"/>
            </w:tcBorders>
            <w:shd w:val="clear" w:color="auto" w:fill="D9D9D9"/>
            <w:tcMar>
              <w:top w:w="60" w:type="dxa"/>
              <w:left w:w="80" w:type="dxa"/>
              <w:bottom w:w="60" w:type="dxa"/>
              <w:right w:w="80" w:type="dxa"/>
            </w:tcMar>
            <w:vAlign w:val="center"/>
          </w:tcPr>
          <w:p w14:paraId="651D5C7F" w14:textId="77777777" w:rsidR="00832E1E" w:rsidRDefault="00262109">
            <w:pPr>
              <w:jc w:val="center"/>
            </w:pPr>
            <w:r>
              <w:rPr>
                <w:b/>
                <w:bCs/>
              </w:rPr>
              <w:t>Description</w:t>
            </w:r>
          </w:p>
        </w:tc>
      </w:tr>
      <w:tr w:rsidR="00832E1E" w14:paraId="26CAFF9F" w14:textId="77777777">
        <w:tc>
          <w:tcPr>
            <w:tcW w:w="0" w:type="auto"/>
            <w:gridSpan w:val="3"/>
            <w:tcBorders>
              <w:top w:val="single" w:sz="1" w:space="0" w:color="000000"/>
              <w:left w:val="single" w:sz="1" w:space="0" w:color="000000"/>
              <w:bottom w:val="single" w:sz="1" w:space="0" w:color="000000"/>
              <w:right w:val="single" w:sz="1" w:space="0" w:color="000000"/>
            </w:tcBorders>
            <w:shd w:val="clear" w:color="auto" w:fill="F2F2F2"/>
            <w:tcMar>
              <w:top w:w="60" w:type="dxa"/>
              <w:left w:w="80" w:type="dxa"/>
              <w:bottom w:w="60" w:type="dxa"/>
              <w:right w:w="80" w:type="dxa"/>
            </w:tcMar>
          </w:tcPr>
          <w:p w14:paraId="6B228812" w14:textId="77777777" w:rsidR="00832E1E" w:rsidRDefault="00262109">
            <w:r>
              <w:rPr>
                <w:b/>
                <w:bCs/>
              </w:rPr>
              <w:t>Diagnosis Codes (ICD-10-CM) — Ruptured Aortic Disease</w:t>
            </w:r>
          </w:p>
        </w:tc>
      </w:tr>
      <w:tr w:rsidR="00832E1E" w14:paraId="2E835A85" w14:textId="77777777" w:rsidTr="00221633">
        <w:tc>
          <w:tcPr>
            <w:tcW w:w="1385" w:type="dxa"/>
            <w:tcBorders>
              <w:top w:val="single" w:sz="1" w:space="0" w:color="000000"/>
              <w:left w:val="single" w:sz="1" w:space="0" w:color="000000"/>
              <w:bottom w:val="single" w:sz="1" w:space="0" w:color="000000"/>
              <w:right w:val="single" w:sz="1" w:space="0" w:color="000000"/>
            </w:tcBorders>
            <w:tcMar>
              <w:top w:w="50" w:type="dxa"/>
              <w:left w:w="80" w:type="dxa"/>
              <w:bottom w:w="50" w:type="dxa"/>
              <w:right w:w="80" w:type="dxa"/>
            </w:tcMar>
          </w:tcPr>
          <w:p w14:paraId="54BD2B96" w14:textId="77777777" w:rsidR="00832E1E" w:rsidRDefault="00262109">
            <w:r>
              <w:t>Diagnosis</w:t>
            </w:r>
          </w:p>
        </w:tc>
        <w:tc>
          <w:tcPr>
            <w:tcW w:w="3230" w:type="dxa"/>
            <w:tcBorders>
              <w:top w:val="single" w:sz="1" w:space="0" w:color="000000"/>
              <w:left w:val="single" w:sz="1" w:space="0" w:color="000000"/>
              <w:bottom w:val="single" w:sz="1" w:space="0" w:color="000000"/>
              <w:right w:val="single" w:sz="1" w:space="0" w:color="000000"/>
            </w:tcBorders>
            <w:tcMar>
              <w:top w:w="50" w:type="dxa"/>
              <w:left w:w="80" w:type="dxa"/>
              <w:bottom w:w="50" w:type="dxa"/>
              <w:right w:w="80" w:type="dxa"/>
            </w:tcMar>
          </w:tcPr>
          <w:p w14:paraId="783DF580" w14:textId="77777777" w:rsidR="00832E1E" w:rsidRDefault="00262109">
            <w:r>
              <w:t>ICD10CM:I71.1</w:t>
            </w:r>
          </w:p>
        </w:tc>
        <w:tc>
          <w:tcPr>
            <w:tcW w:w="6183" w:type="dxa"/>
            <w:tcBorders>
              <w:top w:val="single" w:sz="1" w:space="0" w:color="000000"/>
              <w:left w:val="single" w:sz="1" w:space="0" w:color="000000"/>
              <w:bottom w:val="single" w:sz="1" w:space="0" w:color="000000"/>
              <w:right w:val="single" w:sz="1" w:space="0" w:color="000000"/>
            </w:tcBorders>
            <w:tcMar>
              <w:top w:w="50" w:type="dxa"/>
              <w:left w:w="80" w:type="dxa"/>
              <w:bottom w:w="50" w:type="dxa"/>
              <w:right w:w="80" w:type="dxa"/>
            </w:tcMar>
          </w:tcPr>
          <w:p w14:paraId="7C0031CC" w14:textId="77777777" w:rsidR="00832E1E" w:rsidRDefault="00262109">
            <w:r>
              <w:t>Thoracic aortic aneurysm, ruptured</w:t>
            </w:r>
          </w:p>
        </w:tc>
      </w:tr>
      <w:tr w:rsidR="00832E1E" w14:paraId="6204D60F" w14:textId="77777777" w:rsidTr="00221633">
        <w:tc>
          <w:tcPr>
            <w:tcW w:w="1385" w:type="dxa"/>
            <w:tcBorders>
              <w:top w:val="single" w:sz="1" w:space="0" w:color="000000"/>
              <w:left w:val="single" w:sz="1" w:space="0" w:color="000000"/>
              <w:bottom w:val="single" w:sz="1" w:space="0" w:color="000000"/>
              <w:right w:val="single" w:sz="1" w:space="0" w:color="000000"/>
            </w:tcBorders>
            <w:tcMar>
              <w:top w:w="50" w:type="dxa"/>
              <w:left w:w="80" w:type="dxa"/>
              <w:bottom w:w="50" w:type="dxa"/>
              <w:right w:w="80" w:type="dxa"/>
            </w:tcMar>
          </w:tcPr>
          <w:p w14:paraId="00345A17" w14:textId="77777777" w:rsidR="00832E1E" w:rsidRDefault="00262109">
            <w:r>
              <w:t>Diagnosis</w:t>
            </w:r>
          </w:p>
        </w:tc>
        <w:tc>
          <w:tcPr>
            <w:tcW w:w="3230" w:type="dxa"/>
            <w:tcBorders>
              <w:top w:val="single" w:sz="1" w:space="0" w:color="000000"/>
              <w:left w:val="single" w:sz="1" w:space="0" w:color="000000"/>
              <w:bottom w:val="single" w:sz="1" w:space="0" w:color="000000"/>
              <w:right w:val="single" w:sz="1" w:space="0" w:color="000000"/>
            </w:tcBorders>
            <w:tcMar>
              <w:top w:w="50" w:type="dxa"/>
              <w:left w:w="80" w:type="dxa"/>
              <w:bottom w:w="50" w:type="dxa"/>
              <w:right w:w="80" w:type="dxa"/>
            </w:tcMar>
          </w:tcPr>
          <w:p w14:paraId="7370D98D" w14:textId="77777777" w:rsidR="00832E1E" w:rsidRDefault="00262109">
            <w:r>
              <w:t>ICD10CM:I71.3</w:t>
            </w:r>
          </w:p>
        </w:tc>
        <w:tc>
          <w:tcPr>
            <w:tcW w:w="6183" w:type="dxa"/>
            <w:tcBorders>
              <w:top w:val="single" w:sz="1" w:space="0" w:color="000000"/>
              <w:left w:val="single" w:sz="1" w:space="0" w:color="000000"/>
              <w:bottom w:val="single" w:sz="1" w:space="0" w:color="000000"/>
              <w:right w:val="single" w:sz="1" w:space="0" w:color="000000"/>
            </w:tcBorders>
            <w:tcMar>
              <w:top w:w="50" w:type="dxa"/>
              <w:left w:w="80" w:type="dxa"/>
              <w:bottom w:w="50" w:type="dxa"/>
              <w:right w:w="80" w:type="dxa"/>
            </w:tcMar>
          </w:tcPr>
          <w:p w14:paraId="4B56F514" w14:textId="77777777" w:rsidR="00832E1E" w:rsidRDefault="00262109">
            <w:r>
              <w:t>Abdominal aortic aneurysm, ruptured</w:t>
            </w:r>
          </w:p>
        </w:tc>
      </w:tr>
      <w:tr w:rsidR="00832E1E" w14:paraId="0D00ADB0" w14:textId="77777777" w:rsidTr="00221633">
        <w:tc>
          <w:tcPr>
            <w:tcW w:w="1385" w:type="dxa"/>
            <w:tcBorders>
              <w:top w:val="single" w:sz="1" w:space="0" w:color="000000"/>
              <w:left w:val="single" w:sz="1" w:space="0" w:color="000000"/>
              <w:bottom w:val="single" w:sz="1" w:space="0" w:color="000000"/>
              <w:right w:val="single" w:sz="1" w:space="0" w:color="000000"/>
            </w:tcBorders>
            <w:tcMar>
              <w:top w:w="50" w:type="dxa"/>
              <w:left w:w="80" w:type="dxa"/>
              <w:bottom w:w="50" w:type="dxa"/>
              <w:right w:w="80" w:type="dxa"/>
            </w:tcMar>
          </w:tcPr>
          <w:p w14:paraId="6E94D676" w14:textId="77777777" w:rsidR="00832E1E" w:rsidRDefault="00262109">
            <w:r>
              <w:t>Diagnosis</w:t>
            </w:r>
          </w:p>
        </w:tc>
        <w:tc>
          <w:tcPr>
            <w:tcW w:w="3230" w:type="dxa"/>
            <w:tcBorders>
              <w:top w:val="single" w:sz="1" w:space="0" w:color="000000"/>
              <w:left w:val="single" w:sz="1" w:space="0" w:color="000000"/>
              <w:bottom w:val="single" w:sz="1" w:space="0" w:color="000000"/>
              <w:right w:val="single" w:sz="1" w:space="0" w:color="000000"/>
            </w:tcBorders>
            <w:tcMar>
              <w:top w:w="50" w:type="dxa"/>
              <w:left w:w="80" w:type="dxa"/>
              <w:bottom w:w="50" w:type="dxa"/>
              <w:right w:w="80" w:type="dxa"/>
            </w:tcMar>
          </w:tcPr>
          <w:p w14:paraId="5EF464FA" w14:textId="77777777" w:rsidR="00832E1E" w:rsidRDefault="00262109">
            <w:r>
              <w:t>ICD10CM:I71.5</w:t>
            </w:r>
          </w:p>
        </w:tc>
        <w:tc>
          <w:tcPr>
            <w:tcW w:w="6183" w:type="dxa"/>
            <w:tcBorders>
              <w:top w:val="single" w:sz="1" w:space="0" w:color="000000"/>
              <w:left w:val="single" w:sz="1" w:space="0" w:color="000000"/>
              <w:bottom w:val="single" w:sz="1" w:space="0" w:color="000000"/>
              <w:right w:val="single" w:sz="1" w:space="0" w:color="000000"/>
            </w:tcBorders>
            <w:tcMar>
              <w:top w:w="50" w:type="dxa"/>
              <w:left w:w="80" w:type="dxa"/>
              <w:bottom w:w="50" w:type="dxa"/>
              <w:right w:w="80" w:type="dxa"/>
            </w:tcMar>
          </w:tcPr>
          <w:p w14:paraId="60D2AB40" w14:textId="77777777" w:rsidR="00832E1E" w:rsidRDefault="00262109">
            <w:r>
              <w:t>Thoracoabdominal aortic aneurysm, ruptured</w:t>
            </w:r>
          </w:p>
        </w:tc>
      </w:tr>
      <w:tr w:rsidR="00832E1E" w14:paraId="684F813A" w14:textId="77777777" w:rsidTr="00221633">
        <w:tc>
          <w:tcPr>
            <w:tcW w:w="1385" w:type="dxa"/>
            <w:tcBorders>
              <w:top w:val="single" w:sz="1" w:space="0" w:color="000000"/>
              <w:left w:val="single" w:sz="1" w:space="0" w:color="000000"/>
              <w:bottom w:val="single" w:sz="1" w:space="0" w:color="000000"/>
              <w:right w:val="single" w:sz="1" w:space="0" w:color="000000"/>
            </w:tcBorders>
            <w:tcMar>
              <w:top w:w="50" w:type="dxa"/>
              <w:left w:w="80" w:type="dxa"/>
              <w:bottom w:w="50" w:type="dxa"/>
              <w:right w:w="80" w:type="dxa"/>
            </w:tcMar>
          </w:tcPr>
          <w:p w14:paraId="6E1400F1" w14:textId="77777777" w:rsidR="00832E1E" w:rsidRDefault="00262109">
            <w:r>
              <w:t>Diagnosis</w:t>
            </w:r>
          </w:p>
        </w:tc>
        <w:tc>
          <w:tcPr>
            <w:tcW w:w="3230" w:type="dxa"/>
            <w:tcBorders>
              <w:top w:val="single" w:sz="1" w:space="0" w:color="000000"/>
              <w:left w:val="single" w:sz="1" w:space="0" w:color="000000"/>
              <w:bottom w:val="single" w:sz="1" w:space="0" w:color="000000"/>
              <w:right w:val="single" w:sz="1" w:space="0" w:color="000000"/>
            </w:tcBorders>
            <w:tcMar>
              <w:top w:w="50" w:type="dxa"/>
              <w:left w:w="80" w:type="dxa"/>
              <w:bottom w:w="50" w:type="dxa"/>
              <w:right w:w="80" w:type="dxa"/>
            </w:tcMar>
          </w:tcPr>
          <w:p w14:paraId="10750CBF" w14:textId="77777777" w:rsidR="00832E1E" w:rsidRDefault="00262109">
            <w:r>
              <w:t>ICD10CM:I71.8</w:t>
            </w:r>
          </w:p>
        </w:tc>
        <w:tc>
          <w:tcPr>
            <w:tcW w:w="6183" w:type="dxa"/>
            <w:tcBorders>
              <w:top w:val="single" w:sz="1" w:space="0" w:color="000000"/>
              <w:left w:val="single" w:sz="1" w:space="0" w:color="000000"/>
              <w:bottom w:val="single" w:sz="1" w:space="0" w:color="000000"/>
              <w:right w:val="single" w:sz="1" w:space="0" w:color="000000"/>
            </w:tcBorders>
            <w:tcMar>
              <w:top w:w="50" w:type="dxa"/>
              <w:left w:w="80" w:type="dxa"/>
              <w:bottom w:w="50" w:type="dxa"/>
              <w:right w:w="80" w:type="dxa"/>
            </w:tcMar>
          </w:tcPr>
          <w:p w14:paraId="7576C424" w14:textId="77777777" w:rsidR="00832E1E" w:rsidRDefault="00262109">
            <w:r>
              <w:t>Aortic aneurysm of unspecified site, ruptured</w:t>
            </w:r>
          </w:p>
        </w:tc>
      </w:tr>
      <w:tr w:rsidR="00832E1E" w14:paraId="13E6FD84" w14:textId="77777777" w:rsidTr="00221633">
        <w:tc>
          <w:tcPr>
            <w:tcW w:w="1385" w:type="dxa"/>
            <w:tcBorders>
              <w:top w:val="single" w:sz="1" w:space="0" w:color="000000"/>
              <w:left w:val="single" w:sz="1" w:space="0" w:color="000000"/>
              <w:bottom w:val="single" w:sz="1" w:space="0" w:color="000000"/>
              <w:right w:val="single" w:sz="1" w:space="0" w:color="000000"/>
            </w:tcBorders>
            <w:tcMar>
              <w:top w:w="50" w:type="dxa"/>
              <w:left w:w="80" w:type="dxa"/>
              <w:bottom w:w="50" w:type="dxa"/>
              <w:right w:w="80" w:type="dxa"/>
            </w:tcMar>
          </w:tcPr>
          <w:p w14:paraId="4D1D7A7E" w14:textId="77777777" w:rsidR="00832E1E" w:rsidRDefault="00262109">
            <w:r>
              <w:t>Diagnosis</w:t>
            </w:r>
          </w:p>
        </w:tc>
        <w:tc>
          <w:tcPr>
            <w:tcW w:w="3230" w:type="dxa"/>
            <w:tcBorders>
              <w:top w:val="single" w:sz="1" w:space="0" w:color="000000"/>
              <w:left w:val="single" w:sz="1" w:space="0" w:color="000000"/>
              <w:bottom w:val="single" w:sz="1" w:space="0" w:color="000000"/>
              <w:right w:val="single" w:sz="1" w:space="0" w:color="000000"/>
            </w:tcBorders>
            <w:tcMar>
              <w:top w:w="50" w:type="dxa"/>
              <w:left w:w="80" w:type="dxa"/>
              <w:bottom w:w="50" w:type="dxa"/>
              <w:right w:w="80" w:type="dxa"/>
            </w:tcMar>
          </w:tcPr>
          <w:p w14:paraId="7EF1073D" w14:textId="77777777" w:rsidR="00832E1E" w:rsidRDefault="00262109">
            <w:r>
              <w:t>ICD10CM:I71.0</w:t>
            </w:r>
          </w:p>
        </w:tc>
        <w:tc>
          <w:tcPr>
            <w:tcW w:w="6183" w:type="dxa"/>
            <w:tcBorders>
              <w:top w:val="single" w:sz="1" w:space="0" w:color="000000"/>
              <w:left w:val="single" w:sz="1" w:space="0" w:color="000000"/>
              <w:bottom w:val="single" w:sz="1" w:space="0" w:color="000000"/>
              <w:right w:val="single" w:sz="1" w:space="0" w:color="000000"/>
            </w:tcBorders>
            <w:tcMar>
              <w:top w:w="50" w:type="dxa"/>
              <w:left w:w="80" w:type="dxa"/>
              <w:bottom w:w="50" w:type="dxa"/>
              <w:right w:w="80" w:type="dxa"/>
            </w:tcMar>
          </w:tcPr>
          <w:p w14:paraId="7FAFBCB2" w14:textId="77777777" w:rsidR="00832E1E" w:rsidRDefault="00262109">
            <w:r>
              <w:t>Dissection of aorta</w:t>
            </w:r>
          </w:p>
        </w:tc>
      </w:tr>
      <w:tr w:rsidR="00832E1E" w14:paraId="349C5E45" w14:textId="77777777">
        <w:tc>
          <w:tcPr>
            <w:tcW w:w="0" w:type="auto"/>
            <w:gridSpan w:val="3"/>
            <w:tcBorders>
              <w:top w:val="single" w:sz="1" w:space="0" w:color="000000"/>
              <w:left w:val="single" w:sz="1" w:space="0" w:color="000000"/>
              <w:bottom w:val="single" w:sz="1" w:space="0" w:color="000000"/>
              <w:right w:val="single" w:sz="1" w:space="0" w:color="000000"/>
            </w:tcBorders>
            <w:shd w:val="clear" w:color="auto" w:fill="F2F2F2"/>
            <w:tcMar>
              <w:top w:w="60" w:type="dxa"/>
              <w:left w:w="80" w:type="dxa"/>
              <w:bottom w:w="60" w:type="dxa"/>
              <w:right w:w="80" w:type="dxa"/>
            </w:tcMar>
          </w:tcPr>
          <w:p w14:paraId="1F986661" w14:textId="77777777" w:rsidR="00832E1E" w:rsidRDefault="00262109">
            <w:r>
              <w:rPr>
                <w:b/>
                <w:bCs/>
              </w:rPr>
              <w:t>Procedure Codes (CPT) — Open Aortic Repair</w:t>
            </w:r>
          </w:p>
        </w:tc>
      </w:tr>
      <w:tr w:rsidR="00832E1E" w14:paraId="125E4227" w14:textId="77777777" w:rsidTr="00221633">
        <w:tc>
          <w:tcPr>
            <w:tcW w:w="1385" w:type="dxa"/>
            <w:tcBorders>
              <w:top w:val="single" w:sz="1" w:space="0" w:color="000000"/>
              <w:left w:val="single" w:sz="1" w:space="0" w:color="000000"/>
              <w:bottom w:val="single" w:sz="1" w:space="0" w:color="000000"/>
              <w:right w:val="single" w:sz="1" w:space="0" w:color="000000"/>
            </w:tcBorders>
            <w:tcMar>
              <w:top w:w="50" w:type="dxa"/>
              <w:left w:w="80" w:type="dxa"/>
              <w:bottom w:w="50" w:type="dxa"/>
              <w:right w:w="80" w:type="dxa"/>
            </w:tcMar>
          </w:tcPr>
          <w:p w14:paraId="6DD95E65" w14:textId="77777777" w:rsidR="00832E1E" w:rsidRDefault="00262109">
            <w:r>
              <w:t>Procedure</w:t>
            </w:r>
          </w:p>
        </w:tc>
        <w:tc>
          <w:tcPr>
            <w:tcW w:w="3230" w:type="dxa"/>
            <w:tcBorders>
              <w:top w:val="single" w:sz="1" w:space="0" w:color="000000"/>
              <w:left w:val="single" w:sz="1" w:space="0" w:color="000000"/>
              <w:bottom w:val="single" w:sz="1" w:space="0" w:color="000000"/>
              <w:right w:val="single" w:sz="1" w:space="0" w:color="000000"/>
            </w:tcBorders>
            <w:tcMar>
              <w:top w:w="50" w:type="dxa"/>
              <w:left w:w="80" w:type="dxa"/>
              <w:bottom w:w="50" w:type="dxa"/>
              <w:right w:w="80" w:type="dxa"/>
            </w:tcMar>
          </w:tcPr>
          <w:p w14:paraId="47074705" w14:textId="77777777" w:rsidR="00832E1E" w:rsidRDefault="00262109">
            <w:r>
              <w:t>CPT:33858</w:t>
            </w:r>
          </w:p>
        </w:tc>
        <w:tc>
          <w:tcPr>
            <w:tcW w:w="6183" w:type="dxa"/>
            <w:tcBorders>
              <w:top w:val="single" w:sz="1" w:space="0" w:color="000000"/>
              <w:left w:val="single" w:sz="1" w:space="0" w:color="000000"/>
              <w:bottom w:val="single" w:sz="1" w:space="0" w:color="000000"/>
              <w:right w:val="single" w:sz="1" w:space="0" w:color="000000"/>
            </w:tcBorders>
            <w:tcMar>
              <w:top w:w="50" w:type="dxa"/>
              <w:left w:w="80" w:type="dxa"/>
              <w:bottom w:w="50" w:type="dxa"/>
              <w:right w:w="80" w:type="dxa"/>
            </w:tcMar>
          </w:tcPr>
          <w:p w14:paraId="7D3C6E3E" w14:textId="77777777" w:rsidR="00832E1E" w:rsidRDefault="00262109">
            <w:r>
              <w:t>Ascending aorta graft, with cardiopulmonary bypass, includes valve suspension, when performed; for aortic dissection</w:t>
            </w:r>
          </w:p>
        </w:tc>
      </w:tr>
      <w:tr w:rsidR="00832E1E" w14:paraId="741A990A" w14:textId="77777777" w:rsidTr="00221633">
        <w:tc>
          <w:tcPr>
            <w:tcW w:w="1385" w:type="dxa"/>
            <w:tcBorders>
              <w:top w:val="single" w:sz="1" w:space="0" w:color="000000"/>
              <w:left w:val="single" w:sz="1" w:space="0" w:color="000000"/>
              <w:bottom w:val="single" w:sz="1" w:space="0" w:color="000000"/>
              <w:right w:val="single" w:sz="1" w:space="0" w:color="000000"/>
            </w:tcBorders>
            <w:tcMar>
              <w:top w:w="50" w:type="dxa"/>
              <w:left w:w="80" w:type="dxa"/>
              <w:bottom w:w="50" w:type="dxa"/>
              <w:right w:w="80" w:type="dxa"/>
            </w:tcMar>
          </w:tcPr>
          <w:p w14:paraId="451C8EEF" w14:textId="77777777" w:rsidR="00832E1E" w:rsidRDefault="00262109">
            <w:r>
              <w:t>Procedure</w:t>
            </w:r>
          </w:p>
        </w:tc>
        <w:tc>
          <w:tcPr>
            <w:tcW w:w="3230" w:type="dxa"/>
            <w:tcBorders>
              <w:top w:val="single" w:sz="1" w:space="0" w:color="000000"/>
              <w:left w:val="single" w:sz="1" w:space="0" w:color="000000"/>
              <w:bottom w:val="single" w:sz="1" w:space="0" w:color="000000"/>
              <w:right w:val="single" w:sz="1" w:space="0" w:color="000000"/>
            </w:tcBorders>
            <w:tcMar>
              <w:top w:w="50" w:type="dxa"/>
              <w:left w:w="80" w:type="dxa"/>
              <w:bottom w:w="50" w:type="dxa"/>
              <w:right w:w="80" w:type="dxa"/>
            </w:tcMar>
          </w:tcPr>
          <w:p w14:paraId="73A44C93" w14:textId="77777777" w:rsidR="00832E1E" w:rsidRDefault="00262109">
            <w:r>
              <w:t>CPT:33859</w:t>
            </w:r>
          </w:p>
        </w:tc>
        <w:tc>
          <w:tcPr>
            <w:tcW w:w="6183" w:type="dxa"/>
            <w:tcBorders>
              <w:top w:val="single" w:sz="1" w:space="0" w:color="000000"/>
              <w:left w:val="single" w:sz="1" w:space="0" w:color="000000"/>
              <w:bottom w:val="single" w:sz="1" w:space="0" w:color="000000"/>
              <w:right w:val="single" w:sz="1" w:space="0" w:color="000000"/>
            </w:tcBorders>
            <w:tcMar>
              <w:top w:w="50" w:type="dxa"/>
              <w:left w:w="80" w:type="dxa"/>
              <w:bottom w:w="50" w:type="dxa"/>
              <w:right w:w="80" w:type="dxa"/>
            </w:tcMar>
          </w:tcPr>
          <w:p w14:paraId="011A96DF" w14:textId="77777777" w:rsidR="00832E1E" w:rsidRDefault="00262109">
            <w:r>
              <w:t>Ascending aorta graft, with cardiopulmonary bypass, includes valve suspension, when performed; for aortic disease other than dissection (</w:t>
            </w:r>
            <w:proofErr w:type="spellStart"/>
            <w:r>
              <w:t>eg</w:t>
            </w:r>
            <w:proofErr w:type="spellEnd"/>
            <w:r>
              <w:t>, aneurysm)</w:t>
            </w:r>
          </w:p>
        </w:tc>
      </w:tr>
      <w:tr w:rsidR="00832E1E" w14:paraId="4A995BF0" w14:textId="77777777" w:rsidTr="00221633">
        <w:tc>
          <w:tcPr>
            <w:tcW w:w="1385" w:type="dxa"/>
            <w:tcBorders>
              <w:top w:val="single" w:sz="1" w:space="0" w:color="000000"/>
              <w:left w:val="single" w:sz="1" w:space="0" w:color="000000"/>
              <w:bottom w:val="single" w:sz="1" w:space="0" w:color="000000"/>
              <w:right w:val="single" w:sz="1" w:space="0" w:color="000000"/>
            </w:tcBorders>
            <w:tcMar>
              <w:top w:w="50" w:type="dxa"/>
              <w:left w:w="80" w:type="dxa"/>
              <w:bottom w:w="50" w:type="dxa"/>
              <w:right w:w="80" w:type="dxa"/>
            </w:tcMar>
          </w:tcPr>
          <w:p w14:paraId="3B6DFF08" w14:textId="77777777" w:rsidR="00832E1E" w:rsidRDefault="00262109">
            <w:r>
              <w:t>Procedure</w:t>
            </w:r>
          </w:p>
        </w:tc>
        <w:tc>
          <w:tcPr>
            <w:tcW w:w="3230" w:type="dxa"/>
            <w:tcBorders>
              <w:top w:val="single" w:sz="1" w:space="0" w:color="000000"/>
              <w:left w:val="single" w:sz="1" w:space="0" w:color="000000"/>
              <w:bottom w:val="single" w:sz="1" w:space="0" w:color="000000"/>
              <w:right w:val="single" w:sz="1" w:space="0" w:color="000000"/>
            </w:tcBorders>
            <w:tcMar>
              <w:top w:w="50" w:type="dxa"/>
              <w:left w:w="80" w:type="dxa"/>
              <w:bottom w:w="50" w:type="dxa"/>
              <w:right w:w="80" w:type="dxa"/>
            </w:tcMar>
          </w:tcPr>
          <w:p w14:paraId="05DDB897" w14:textId="77777777" w:rsidR="00832E1E" w:rsidRDefault="00262109">
            <w:r>
              <w:t>CPT:33866</w:t>
            </w:r>
          </w:p>
        </w:tc>
        <w:tc>
          <w:tcPr>
            <w:tcW w:w="6183" w:type="dxa"/>
            <w:tcBorders>
              <w:top w:val="single" w:sz="1" w:space="0" w:color="000000"/>
              <w:left w:val="single" w:sz="1" w:space="0" w:color="000000"/>
              <w:bottom w:val="single" w:sz="1" w:space="0" w:color="000000"/>
              <w:right w:val="single" w:sz="1" w:space="0" w:color="000000"/>
            </w:tcBorders>
            <w:tcMar>
              <w:top w:w="50" w:type="dxa"/>
              <w:left w:w="80" w:type="dxa"/>
              <w:bottom w:w="50" w:type="dxa"/>
              <w:right w:w="80" w:type="dxa"/>
            </w:tcMar>
          </w:tcPr>
          <w:p w14:paraId="25FF34CD" w14:textId="77777777" w:rsidR="00832E1E" w:rsidRDefault="00262109">
            <w:r>
              <w:t>Aortic hemiarch graft including isolation and control of the arch vessels, beveled open distal aortic anastomosis extending under one or more of the arch vessels, and total circulatory arrest or isolated cerebral perfusion (List separately in addition to code for primary procedure)</w:t>
            </w:r>
          </w:p>
        </w:tc>
      </w:tr>
      <w:tr w:rsidR="00832E1E" w14:paraId="1B12D3FF" w14:textId="77777777" w:rsidTr="00221633">
        <w:tc>
          <w:tcPr>
            <w:tcW w:w="1385" w:type="dxa"/>
            <w:tcBorders>
              <w:top w:val="single" w:sz="1" w:space="0" w:color="000000"/>
              <w:left w:val="single" w:sz="1" w:space="0" w:color="000000"/>
              <w:bottom w:val="single" w:sz="1" w:space="0" w:color="000000"/>
              <w:right w:val="single" w:sz="1" w:space="0" w:color="000000"/>
            </w:tcBorders>
            <w:tcMar>
              <w:top w:w="50" w:type="dxa"/>
              <w:left w:w="80" w:type="dxa"/>
              <w:bottom w:w="50" w:type="dxa"/>
              <w:right w:w="80" w:type="dxa"/>
            </w:tcMar>
          </w:tcPr>
          <w:p w14:paraId="7868DA41" w14:textId="77777777" w:rsidR="00832E1E" w:rsidRDefault="00262109">
            <w:r>
              <w:t>Procedure</w:t>
            </w:r>
          </w:p>
        </w:tc>
        <w:tc>
          <w:tcPr>
            <w:tcW w:w="3230" w:type="dxa"/>
            <w:tcBorders>
              <w:top w:val="single" w:sz="1" w:space="0" w:color="000000"/>
              <w:left w:val="single" w:sz="1" w:space="0" w:color="000000"/>
              <w:bottom w:val="single" w:sz="1" w:space="0" w:color="000000"/>
              <w:right w:val="single" w:sz="1" w:space="0" w:color="000000"/>
            </w:tcBorders>
            <w:tcMar>
              <w:top w:w="50" w:type="dxa"/>
              <w:left w:w="80" w:type="dxa"/>
              <w:bottom w:w="50" w:type="dxa"/>
              <w:right w:w="80" w:type="dxa"/>
            </w:tcMar>
          </w:tcPr>
          <w:p w14:paraId="6989E82C" w14:textId="77777777" w:rsidR="00832E1E" w:rsidRDefault="00262109">
            <w:r>
              <w:t>CPT:33875</w:t>
            </w:r>
          </w:p>
        </w:tc>
        <w:tc>
          <w:tcPr>
            <w:tcW w:w="6183" w:type="dxa"/>
            <w:tcBorders>
              <w:top w:val="single" w:sz="1" w:space="0" w:color="000000"/>
              <w:left w:val="single" w:sz="1" w:space="0" w:color="000000"/>
              <w:bottom w:val="single" w:sz="1" w:space="0" w:color="000000"/>
              <w:right w:val="single" w:sz="1" w:space="0" w:color="000000"/>
            </w:tcBorders>
            <w:tcMar>
              <w:top w:w="50" w:type="dxa"/>
              <w:left w:w="80" w:type="dxa"/>
              <w:bottom w:w="50" w:type="dxa"/>
              <w:right w:w="80" w:type="dxa"/>
            </w:tcMar>
          </w:tcPr>
          <w:p w14:paraId="6A9CC3DD" w14:textId="77777777" w:rsidR="00832E1E" w:rsidRDefault="00262109">
            <w:r>
              <w:t>Descending thoracic aorta graft, with or without bypass</w:t>
            </w:r>
          </w:p>
        </w:tc>
      </w:tr>
      <w:tr w:rsidR="00832E1E" w14:paraId="6EDBF6CE" w14:textId="77777777" w:rsidTr="00221633">
        <w:tc>
          <w:tcPr>
            <w:tcW w:w="1385" w:type="dxa"/>
            <w:tcBorders>
              <w:top w:val="single" w:sz="1" w:space="0" w:color="000000"/>
              <w:left w:val="single" w:sz="1" w:space="0" w:color="000000"/>
              <w:bottom w:val="single" w:sz="1" w:space="0" w:color="000000"/>
              <w:right w:val="single" w:sz="1" w:space="0" w:color="000000"/>
            </w:tcBorders>
            <w:tcMar>
              <w:top w:w="50" w:type="dxa"/>
              <w:left w:w="80" w:type="dxa"/>
              <w:bottom w:w="50" w:type="dxa"/>
              <w:right w:w="80" w:type="dxa"/>
            </w:tcMar>
          </w:tcPr>
          <w:p w14:paraId="3C5BA7E4" w14:textId="77777777" w:rsidR="00832E1E" w:rsidRDefault="00262109">
            <w:r>
              <w:t>Procedure</w:t>
            </w:r>
          </w:p>
        </w:tc>
        <w:tc>
          <w:tcPr>
            <w:tcW w:w="3230" w:type="dxa"/>
            <w:tcBorders>
              <w:top w:val="single" w:sz="1" w:space="0" w:color="000000"/>
              <w:left w:val="single" w:sz="1" w:space="0" w:color="000000"/>
              <w:bottom w:val="single" w:sz="1" w:space="0" w:color="000000"/>
              <w:right w:val="single" w:sz="1" w:space="0" w:color="000000"/>
            </w:tcBorders>
            <w:tcMar>
              <w:top w:w="50" w:type="dxa"/>
              <w:left w:w="80" w:type="dxa"/>
              <w:bottom w:w="50" w:type="dxa"/>
              <w:right w:w="80" w:type="dxa"/>
            </w:tcMar>
          </w:tcPr>
          <w:p w14:paraId="2344AFE5" w14:textId="77777777" w:rsidR="00832E1E" w:rsidRDefault="00262109">
            <w:r>
              <w:t>CPT:33877</w:t>
            </w:r>
          </w:p>
        </w:tc>
        <w:tc>
          <w:tcPr>
            <w:tcW w:w="6183" w:type="dxa"/>
            <w:tcBorders>
              <w:top w:val="single" w:sz="1" w:space="0" w:color="000000"/>
              <w:left w:val="single" w:sz="1" w:space="0" w:color="000000"/>
              <w:bottom w:val="single" w:sz="1" w:space="0" w:color="000000"/>
              <w:right w:val="single" w:sz="1" w:space="0" w:color="000000"/>
            </w:tcBorders>
            <w:tcMar>
              <w:top w:w="50" w:type="dxa"/>
              <w:left w:w="80" w:type="dxa"/>
              <w:bottom w:w="50" w:type="dxa"/>
              <w:right w:w="80" w:type="dxa"/>
            </w:tcMar>
          </w:tcPr>
          <w:p w14:paraId="1D1CA468" w14:textId="77777777" w:rsidR="00832E1E" w:rsidRDefault="00262109">
            <w:r>
              <w:t>Repair of thoracoabdominal aortic aneurysm with graft, with or without cardiopulmonary bypass</w:t>
            </w:r>
          </w:p>
        </w:tc>
      </w:tr>
      <w:tr w:rsidR="00832E1E" w14:paraId="539ECA73" w14:textId="77777777" w:rsidTr="00221633">
        <w:tc>
          <w:tcPr>
            <w:tcW w:w="1385" w:type="dxa"/>
            <w:tcBorders>
              <w:top w:val="single" w:sz="1" w:space="0" w:color="000000"/>
              <w:left w:val="single" w:sz="1" w:space="0" w:color="000000"/>
              <w:bottom w:val="single" w:sz="1" w:space="0" w:color="000000"/>
              <w:right w:val="single" w:sz="1" w:space="0" w:color="000000"/>
            </w:tcBorders>
            <w:tcMar>
              <w:top w:w="50" w:type="dxa"/>
              <w:left w:w="80" w:type="dxa"/>
              <w:bottom w:w="50" w:type="dxa"/>
              <w:right w:w="80" w:type="dxa"/>
            </w:tcMar>
          </w:tcPr>
          <w:p w14:paraId="0798328D" w14:textId="77777777" w:rsidR="00832E1E" w:rsidRDefault="00262109">
            <w:r>
              <w:t>Procedure</w:t>
            </w:r>
          </w:p>
        </w:tc>
        <w:tc>
          <w:tcPr>
            <w:tcW w:w="3230" w:type="dxa"/>
            <w:tcBorders>
              <w:top w:val="single" w:sz="1" w:space="0" w:color="000000"/>
              <w:left w:val="single" w:sz="1" w:space="0" w:color="000000"/>
              <w:bottom w:val="single" w:sz="1" w:space="0" w:color="000000"/>
              <w:right w:val="single" w:sz="1" w:space="0" w:color="000000"/>
            </w:tcBorders>
            <w:tcMar>
              <w:top w:w="50" w:type="dxa"/>
              <w:left w:w="80" w:type="dxa"/>
              <w:bottom w:w="50" w:type="dxa"/>
              <w:right w:w="80" w:type="dxa"/>
            </w:tcMar>
          </w:tcPr>
          <w:p w14:paraId="74D80C7B" w14:textId="77777777" w:rsidR="00832E1E" w:rsidRDefault="00262109">
            <w:r>
              <w:t>CPT:33335</w:t>
            </w:r>
          </w:p>
        </w:tc>
        <w:tc>
          <w:tcPr>
            <w:tcW w:w="6183" w:type="dxa"/>
            <w:tcBorders>
              <w:top w:val="single" w:sz="1" w:space="0" w:color="000000"/>
              <w:left w:val="single" w:sz="1" w:space="0" w:color="000000"/>
              <w:bottom w:val="single" w:sz="1" w:space="0" w:color="000000"/>
              <w:right w:val="single" w:sz="1" w:space="0" w:color="000000"/>
            </w:tcBorders>
            <w:tcMar>
              <w:top w:w="50" w:type="dxa"/>
              <w:left w:w="80" w:type="dxa"/>
              <w:bottom w:w="50" w:type="dxa"/>
              <w:right w:w="80" w:type="dxa"/>
            </w:tcMar>
          </w:tcPr>
          <w:p w14:paraId="1F63D2E8" w14:textId="77777777" w:rsidR="00832E1E" w:rsidRDefault="00262109">
            <w:r>
              <w:t>Insertion of graft, aorta or great vessels; with cardiopulmonary bypass</w:t>
            </w:r>
          </w:p>
        </w:tc>
      </w:tr>
      <w:tr w:rsidR="00832E1E" w14:paraId="0F0722E3" w14:textId="77777777" w:rsidTr="00221633">
        <w:tc>
          <w:tcPr>
            <w:tcW w:w="1385" w:type="dxa"/>
            <w:tcBorders>
              <w:top w:val="single" w:sz="1" w:space="0" w:color="000000"/>
              <w:left w:val="single" w:sz="1" w:space="0" w:color="000000"/>
              <w:bottom w:val="single" w:sz="1" w:space="0" w:color="000000"/>
              <w:right w:val="single" w:sz="1" w:space="0" w:color="000000"/>
            </w:tcBorders>
            <w:tcMar>
              <w:top w:w="50" w:type="dxa"/>
              <w:left w:w="80" w:type="dxa"/>
              <w:bottom w:w="50" w:type="dxa"/>
              <w:right w:w="80" w:type="dxa"/>
            </w:tcMar>
          </w:tcPr>
          <w:p w14:paraId="0DC97226" w14:textId="77777777" w:rsidR="00832E1E" w:rsidRDefault="00262109">
            <w:r>
              <w:t>Procedure</w:t>
            </w:r>
          </w:p>
        </w:tc>
        <w:tc>
          <w:tcPr>
            <w:tcW w:w="3230" w:type="dxa"/>
            <w:tcBorders>
              <w:top w:val="single" w:sz="1" w:space="0" w:color="000000"/>
              <w:left w:val="single" w:sz="1" w:space="0" w:color="000000"/>
              <w:bottom w:val="single" w:sz="1" w:space="0" w:color="000000"/>
              <w:right w:val="single" w:sz="1" w:space="0" w:color="000000"/>
            </w:tcBorders>
            <w:tcMar>
              <w:top w:w="50" w:type="dxa"/>
              <w:left w:w="80" w:type="dxa"/>
              <w:bottom w:w="50" w:type="dxa"/>
              <w:right w:w="80" w:type="dxa"/>
            </w:tcMar>
          </w:tcPr>
          <w:p w14:paraId="042CE384" w14:textId="77777777" w:rsidR="00832E1E" w:rsidRDefault="00262109">
            <w:r>
              <w:t>CPT:33390</w:t>
            </w:r>
          </w:p>
        </w:tc>
        <w:tc>
          <w:tcPr>
            <w:tcW w:w="6183" w:type="dxa"/>
            <w:tcBorders>
              <w:top w:val="single" w:sz="1" w:space="0" w:color="000000"/>
              <w:left w:val="single" w:sz="1" w:space="0" w:color="000000"/>
              <w:bottom w:val="single" w:sz="1" w:space="0" w:color="000000"/>
              <w:right w:val="single" w:sz="1" w:space="0" w:color="000000"/>
            </w:tcBorders>
            <w:tcMar>
              <w:top w:w="50" w:type="dxa"/>
              <w:left w:w="80" w:type="dxa"/>
              <w:bottom w:w="50" w:type="dxa"/>
              <w:right w:w="80" w:type="dxa"/>
            </w:tcMar>
          </w:tcPr>
          <w:p w14:paraId="4920EBE9" w14:textId="77777777" w:rsidR="00832E1E" w:rsidRDefault="00262109">
            <w:r>
              <w:t>Valvuloplasty, aortic valve, open, with cardiopulmonary bypass; simple (</w:t>
            </w:r>
            <w:proofErr w:type="spellStart"/>
            <w:r>
              <w:t>ie</w:t>
            </w:r>
            <w:proofErr w:type="spellEnd"/>
            <w:r>
              <w:t>, valvotomy, debridement, debulking, and/or simple commissural resuspension)</w:t>
            </w:r>
          </w:p>
        </w:tc>
      </w:tr>
      <w:tr w:rsidR="00832E1E" w14:paraId="5AF2A61B" w14:textId="77777777">
        <w:tc>
          <w:tcPr>
            <w:tcW w:w="0" w:type="auto"/>
            <w:gridSpan w:val="3"/>
            <w:tcBorders>
              <w:top w:val="single" w:sz="1" w:space="0" w:color="000000"/>
              <w:left w:val="single" w:sz="1" w:space="0" w:color="000000"/>
              <w:bottom w:val="single" w:sz="1" w:space="0" w:color="000000"/>
              <w:right w:val="single" w:sz="1" w:space="0" w:color="000000"/>
            </w:tcBorders>
            <w:shd w:val="clear" w:color="auto" w:fill="F2F2F2"/>
            <w:tcMar>
              <w:top w:w="60" w:type="dxa"/>
              <w:left w:w="80" w:type="dxa"/>
              <w:bottom w:w="60" w:type="dxa"/>
              <w:right w:w="80" w:type="dxa"/>
            </w:tcMar>
          </w:tcPr>
          <w:p w14:paraId="1FD21EC1" w14:textId="77777777" w:rsidR="00832E1E" w:rsidRDefault="00262109">
            <w:r>
              <w:rPr>
                <w:b/>
                <w:bCs/>
              </w:rPr>
              <w:t>Procedure Codes (CPT) — Endovascular Repair of Descending Thoracic Aorta</w:t>
            </w:r>
          </w:p>
        </w:tc>
      </w:tr>
      <w:tr w:rsidR="00832E1E" w14:paraId="57203E1E" w14:textId="77777777" w:rsidTr="00221633">
        <w:tc>
          <w:tcPr>
            <w:tcW w:w="1385" w:type="dxa"/>
            <w:tcBorders>
              <w:top w:val="single" w:sz="1" w:space="0" w:color="000000"/>
              <w:left w:val="single" w:sz="1" w:space="0" w:color="000000"/>
              <w:bottom w:val="single" w:sz="1" w:space="0" w:color="000000"/>
              <w:right w:val="single" w:sz="1" w:space="0" w:color="000000"/>
            </w:tcBorders>
            <w:tcMar>
              <w:top w:w="50" w:type="dxa"/>
              <w:left w:w="80" w:type="dxa"/>
              <w:bottom w:w="50" w:type="dxa"/>
              <w:right w:w="80" w:type="dxa"/>
            </w:tcMar>
          </w:tcPr>
          <w:p w14:paraId="29DB4B67" w14:textId="77777777" w:rsidR="00832E1E" w:rsidRDefault="00262109">
            <w:r>
              <w:t>Procedure</w:t>
            </w:r>
          </w:p>
        </w:tc>
        <w:tc>
          <w:tcPr>
            <w:tcW w:w="3230" w:type="dxa"/>
            <w:tcBorders>
              <w:top w:val="single" w:sz="1" w:space="0" w:color="000000"/>
              <w:left w:val="single" w:sz="1" w:space="0" w:color="000000"/>
              <w:bottom w:val="single" w:sz="1" w:space="0" w:color="000000"/>
              <w:right w:val="single" w:sz="1" w:space="0" w:color="000000"/>
            </w:tcBorders>
            <w:tcMar>
              <w:top w:w="50" w:type="dxa"/>
              <w:left w:w="80" w:type="dxa"/>
              <w:bottom w:w="50" w:type="dxa"/>
              <w:right w:w="80" w:type="dxa"/>
            </w:tcMar>
          </w:tcPr>
          <w:p w14:paraId="5CE86FFB" w14:textId="77777777" w:rsidR="00832E1E" w:rsidRDefault="00262109">
            <w:r>
              <w:t>CPT:33880</w:t>
            </w:r>
          </w:p>
        </w:tc>
        <w:tc>
          <w:tcPr>
            <w:tcW w:w="6183" w:type="dxa"/>
            <w:tcBorders>
              <w:top w:val="single" w:sz="1" w:space="0" w:color="000000"/>
              <w:left w:val="single" w:sz="1" w:space="0" w:color="000000"/>
              <w:bottom w:val="single" w:sz="1" w:space="0" w:color="000000"/>
              <w:right w:val="single" w:sz="1" w:space="0" w:color="000000"/>
            </w:tcBorders>
            <w:tcMar>
              <w:top w:w="50" w:type="dxa"/>
              <w:left w:w="80" w:type="dxa"/>
              <w:bottom w:w="50" w:type="dxa"/>
              <w:right w:w="80" w:type="dxa"/>
            </w:tcMar>
          </w:tcPr>
          <w:p w14:paraId="5C1CC78C" w14:textId="77777777" w:rsidR="00832E1E" w:rsidRDefault="00262109">
            <w:r>
              <w:t>Endovascular repair of descending thoracic aorta (</w:t>
            </w:r>
            <w:proofErr w:type="spellStart"/>
            <w:r>
              <w:t>eg</w:t>
            </w:r>
            <w:proofErr w:type="spellEnd"/>
            <w:r>
              <w:t>, aneurysm, pseudoaneurysm, dissection, penetrating ulcer, intramural hematoma, or traumatic disruption); involving coverage of left subclavian artery origin, initial endoprosthesis plus descending thoracic aortic extension(s), if required, to level of celiac artery origin</w:t>
            </w:r>
          </w:p>
        </w:tc>
      </w:tr>
      <w:tr w:rsidR="00832E1E" w14:paraId="4944C4CC" w14:textId="77777777" w:rsidTr="00221633">
        <w:tc>
          <w:tcPr>
            <w:tcW w:w="1385" w:type="dxa"/>
            <w:tcBorders>
              <w:top w:val="single" w:sz="1" w:space="0" w:color="000000"/>
              <w:left w:val="single" w:sz="1" w:space="0" w:color="000000"/>
              <w:bottom w:val="single" w:sz="1" w:space="0" w:color="000000"/>
              <w:right w:val="single" w:sz="1" w:space="0" w:color="000000"/>
            </w:tcBorders>
            <w:tcMar>
              <w:top w:w="50" w:type="dxa"/>
              <w:left w:w="80" w:type="dxa"/>
              <w:bottom w:w="50" w:type="dxa"/>
              <w:right w:w="80" w:type="dxa"/>
            </w:tcMar>
          </w:tcPr>
          <w:p w14:paraId="0AFBF332" w14:textId="77777777" w:rsidR="00832E1E" w:rsidRDefault="00262109">
            <w:r>
              <w:t>Procedure</w:t>
            </w:r>
          </w:p>
        </w:tc>
        <w:tc>
          <w:tcPr>
            <w:tcW w:w="3230" w:type="dxa"/>
            <w:tcBorders>
              <w:top w:val="single" w:sz="1" w:space="0" w:color="000000"/>
              <w:left w:val="single" w:sz="1" w:space="0" w:color="000000"/>
              <w:bottom w:val="single" w:sz="1" w:space="0" w:color="000000"/>
              <w:right w:val="single" w:sz="1" w:space="0" w:color="000000"/>
            </w:tcBorders>
            <w:tcMar>
              <w:top w:w="50" w:type="dxa"/>
              <w:left w:w="80" w:type="dxa"/>
              <w:bottom w:w="50" w:type="dxa"/>
              <w:right w:w="80" w:type="dxa"/>
            </w:tcMar>
          </w:tcPr>
          <w:p w14:paraId="7EAD8706" w14:textId="77777777" w:rsidR="00832E1E" w:rsidRDefault="00262109">
            <w:r>
              <w:t>CPT:33881</w:t>
            </w:r>
          </w:p>
        </w:tc>
        <w:tc>
          <w:tcPr>
            <w:tcW w:w="6183" w:type="dxa"/>
            <w:tcBorders>
              <w:top w:val="single" w:sz="1" w:space="0" w:color="000000"/>
              <w:left w:val="single" w:sz="1" w:space="0" w:color="000000"/>
              <w:bottom w:val="single" w:sz="1" w:space="0" w:color="000000"/>
              <w:right w:val="single" w:sz="1" w:space="0" w:color="000000"/>
            </w:tcBorders>
            <w:tcMar>
              <w:top w:w="50" w:type="dxa"/>
              <w:left w:w="80" w:type="dxa"/>
              <w:bottom w:w="50" w:type="dxa"/>
              <w:right w:w="80" w:type="dxa"/>
            </w:tcMar>
          </w:tcPr>
          <w:p w14:paraId="6221E46B" w14:textId="77777777" w:rsidR="00832E1E" w:rsidRDefault="00262109">
            <w:r>
              <w:t>Endovascular repair of descending thoracic aorta (</w:t>
            </w:r>
            <w:proofErr w:type="spellStart"/>
            <w:r>
              <w:t>eg</w:t>
            </w:r>
            <w:proofErr w:type="spellEnd"/>
            <w:r>
              <w:t>, aneurysm, pseudoaneurysm, dissection, penetrating ulcer, intramural hematoma, or traumatic disruption); not involving coverage of left subclavian artery origin, initial endoprosthesis plus descending thoracic aortic extension(s), if required, to level of celiac artery origin</w:t>
            </w:r>
          </w:p>
        </w:tc>
      </w:tr>
      <w:tr w:rsidR="00832E1E" w14:paraId="36D1BC9A" w14:textId="77777777" w:rsidTr="00221633">
        <w:tc>
          <w:tcPr>
            <w:tcW w:w="1385" w:type="dxa"/>
            <w:tcBorders>
              <w:top w:val="single" w:sz="1" w:space="0" w:color="000000"/>
              <w:left w:val="single" w:sz="1" w:space="0" w:color="000000"/>
              <w:bottom w:val="single" w:sz="1" w:space="0" w:color="000000"/>
              <w:right w:val="single" w:sz="1" w:space="0" w:color="000000"/>
            </w:tcBorders>
            <w:tcMar>
              <w:top w:w="50" w:type="dxa"/>
              <w:left w:w="80" w:type="dxa"/>
              <w:bottom w:w="50" w:type="dxa"/>
              <w:right w:w="80" w:type="dxa"/>
            </w:tcMar>
          </w:tcPr>
          <w:p w14:paraId="6E3E9D79" w14:textId="77777777" w:rsidR="00832E1E" w:rsidRDefault="00262109">
            <w:r>
              <w:t>Procedure</w:t>
            </w:r>
          </w:p>
        </w:tc>
        <w:tc>
          <w:tcPr>
            <w:tcW w:w="3230" w:type="dxa"/>
            <w:tcBorders>
              <w:top w:val="single" w:sz="1" w:space="0" w:color="000000"/>
              <w:left w:val="single" w:sz="1" w:space="0" w:color="000000"/>
              <w:bottom w:val="single" w:sz="1" w:space="0" w:color="000000"/>
              <w:right w:val="single" w:sz="1" w:space="0" w:color="000000"/>
            </w:tcBorders>
            <w:tcMar>
              <w:top w:w="50" w:type="dxa"/>
              <w:left w:w="80" w:type="dxa"/>
              <w:bottom w:w="50" w:type="dxa"/>
              <w:right w:w="80" w:type="dxa"/>
            </w:tcMar>
          </w:tcPr>
          <w:p w14:paraId="732C2337" w14:textId="77777777" w:rsidR="00832E1E" w:rsidRDefault="00262109">
            <w:r>
              <w:t>CPT:33883</w:t>
            </w:r>
          </w:p>
        </w:tc>
        <w:tc>
          <w:tcPr>
            <w:tcW w:w="6183" w:type="dxa"/>
            <w:tcBorders>
              <w:top w:val="single" w:sz="1" w:space="0" w:color="000000"/>
              <w:left w:val="single" w:sz="1" w:space="0" w:color="000000"/>
              <w:bottom w:val="single" w:sz="1" w:space="0" w:color="000000"/>
              <w:right w:val="single" w:sz="1" w:space="0" w:color="000000"/>
            </w:tcBorders>
            <w:tcMar>
              <w:top w:w="50" w:type="dxa"/>
              <w:left w:w="80" w:type="dxa"/>
              <w:bottom w:w="50" w:type="dxa"/>
              <w:right w:w="80" w:type="dxa"/>
            </w:tcMar>
          </w:tcPr>
          <w:p w14:paraId="7F4FE359" w14:textId="77777777" w:rsidR="00832E1E" w:rsidRDefault="00262109">
            <w:r>
              <w:t>Placement of proximal extension prosthesis for endovascular repair of descending thoracic aorta (</w:t>
            </w:r>
            <w:proofErr w:type="spellStart"/>
            <w:r>
              <w:t>eg</w:t>
            </w:r>
            <w:proofErr w:type="spellEnd"/>
            <w:r>
              <w:t>, aneurysm, pseudoaneurysm, dissection, penetrating ulcer, intramural hematoma, or traumatic disruption); initial extension</w:t>
            </w:r>
          </w:p>
        </w:tc>
      </w:tr>
      <w:tr w:rsidR="00832E1E" w14:paraId="423D696E" w14:textId="77777777" w:rsidTr="00221633">
        <w:tc>
          <w:tcPr>
            <w:tcW w:w="1385" w:type="dxa"/>
            <w:tcBorders>
              <w:top w:val="single" w:sz="1" w:space="0" w:color="000000"/>
              <w:left w:val="single" w:sz="1" w:space="0" w:color="000000"/>
              <w:bottom w:val="single" w:sz="1" w:space="0" w:color="000000"/>
              <w:right w:val="single" w:sz="1" w:space="0" w:color="000000"/>
            </w:tcBorders>
            <w:tcMar>
              <w:top w:w="50" w:type="dxa"/>
              <w:left w:w="80" w:type="dxa"/>
              <w:bottom w:w="50" w:type="dxa"/>
              <w:right w:w="80" w:type="dxa"/>
            </w:tcMar>
          </w:tcPr>
          <w:p w14:paraId="273D2FBF" w14:textId="77777777" w:rsidR="00832E1E" w:rsidRDefault="00262109">
            <w:r>
              <w:t>Procedure</w:t>
            </w:r>
          </w:p>
        </w:tc>
        <w:tc>
          <w:tcPr>
            <w:tcW w:w="3230" w:type="dxa"/>
            <w:tcBorders>
              <w:top w:val="single" w:sz="1" w:space="0" w:color="000000"/>
              <w:left w:val="single" w:sz="1" w:space="0" w:color="000000"/>
              <w:bottom w:val="single" w:sz="1" w:space="0" w:color="000000"/>
              <w:right w:val="single" w:sz="1" w:space="0" w:color="000000"/>
            </w:tcBorders>
            <w:tcMar>
              <w:top w:w="50" w:type="dxa"/>
              <w:left w:w="80" w:type="dxa"/>
              <w:bottom w:w="50" w:type="dxa"/>
              <w:right w:w="80" w:type="dxa"/>
            </w:tcMar>
          </w:tcPr>
          <w:p w14:paraId="715D7705" w14:textId="77777777" w:rsidR="00832E1E" w:rsidRDefault="00262109">
            <w:r>
              <w:t>CPT:33884</w:t>
            </w:r>
          </w:p>
        </w:tc>
        <w:tc>
          <w:tcPr>
            <w:tcW w:w="6183" w:type="dxa"/>
            <w:tcBorders>
              <w:top w:val="single" w:sz="1" w:space="0" w:color="000000"/>
              <w:left w:val="single" w:sz="1" w:space="0" w:color="000000"/>
              <w:bottom w:val="single" w:sz="1" w:space="0" w:color="000000"/>
              <w:right w:val="single" w:sz="1" w:space="0" w:color="000000"/>
            </w:tcBorders>
            <w:tcMar>
              <w:top w:w="50" w:type="dxa"/>
              <w:left w:w="80" w:type="dxa"/>
              <w:bottom w:w="50" w:type="dxa"/>
              <w:right w:w="80" w:type="dxa"/>
            </w:tcMar>
          </w:tcPr>
          <w:p w14:paraId="29ABE358" w14:textId="77777777" w:rsidR="00832E1E" w:rsidRDefault="00262109">
            <w:r>
              <w:t>Placement of proximal extension prosthesis for endovascular repair of descending thoracic aorta; each additional proximal extension (List separately in addition to code for primary procedure)</w:t>
            </w:r>
          </w:p>
        </w:tc>
      </w:tr>
      <w:tr w:rsidR="00832E1E" w14:paraId="48B74591" w14:textId="77777777" w:rsidTr="00221633">
        <w:tc>
          <w:tcPr>
            <w:tcW w:w="1385" w:type="dxa"/>
            <w:tcBorders>
              <w:top w:val="single" w:sz="1" w:space="0" w:color="000000"/>
              <w:left w:val="single" w:sz="1" w:space="0" w:color="000000"/>
              <w:bottom w:val="single" w:sz="1" w:space="0" w:color="000000"/>
              <w:right w:val="single" w:sz="1" w:space="0" w:color="000000"/>
            </w:tcBorders>
            <w:tcMar>
              <w:top w:w="50" w:type="dxa"/>
              <w:left w:w="80" w:type="dxa"/>
              <w:bottom w:w="50" w:type="dxa"/>
              <w:right w:w="80" w:type="dxa"/>
            </w:tcMar>
          </w:tcPr>
          <w:p w14:paraId="49027F38" w14:textId="77777777" w:rsidR="00832E1E" w:rsidRDefault="00262109">
            <w:r>
              <w:t>Procedure</w:t>
            </w:r>
          </w:p>
        </w:tc>
        <w:tc>
          <w:tcPr>
            <w:tcW w:w="3230" w:type="dxa"/>
            <w:tcBorders>
              <w:top w:val="single" w:sz="1" w:space="0" w:color="000000"/>
              <w:left w:val="single" w:sz="1" w:space="0" w:color="000000"/>
              <w:bottom w:val="single" w:sz="1" w:space="0" w:color="000000"/>
              <w:right w:val="single" w:sz="1" w:space="0" w:color="000000"/>
            </w:tcBorders>
            <w:tcMar>
              <w:top w:w="50" w:type="dxa"/>
              <w:left w:w="80" w:type="dxa"/>
              <w:bottom w:w="50" w:type="dxa"/>
              <w:right w:w="80" w:type="dxa"/>
            </w:tcMar>
          </w:tcPr>
          <w:p w14:paraId="7FD77483" w14:textId="77777777" w:rsidR="00832E1E" w:rsidRDefault="00262109">
            <w:r>
              <w:t>CPT:33886</w:t>
            </w:r>
          </w:p>
        </w:tc>
        <w:tc>
          <w:tcPr>
            <w:tcW w:w="6183" w:type="dxa"/>
            <w:tcBorders>
              <w:top w:val="single" w:sz="1" w:space="0" w:color="000000"/>
              <w:left w:val="single" w:sz="1" w:space="0" w:color="000000"/>
              <w:bottom w:val="single" w:sz="1" w:space="0" w:color="000000"/>
              <w:right w:val="single" w:sz="1" w:space="0" w:color="000000"/>
            </w:tcBorders>
            <w:tcMar>
              <w:top w:w="50" w:type="dxa"/>
              <w:left w:w="80" w:type="dxa"/>
              <w:bottom w:w="50" w:type="dxa"/>
              <w:right w:w="80" w:type="dxa"/>
            </w:tcMar>
          </w:tcPr>
          <w:p w14:paraId="079DB862" w14:textId="77777777" w:rsidR="00832E1E" w:rsidRDefault="00262109">
            <w:r>
              <w:t>Placement of distal extension prosthesis(s) delayed after endovascular repair of descending thoracic aorta</w:t>
            </w:r>
          </w:p>
        </w:tc>
      </w:tr>
      <w:tr w:rsidR="00832E1E" w14:paraId="7ABD9C44" w14:textId="77777777">
        <w:tc>
          <w:tcPr>
            <w:tcW w:w="0" w:type="auto"/>
            <w:gridSpan w:val="3"/>
            <w:tcBorders>
              <w:top w:val="single" w:sz="1" w:space="0" w:color="000000"/>
              <w:left w:val="single" w:sz="1" w:space="0" w:color="000000"/>
              <w:bottom w:val="single" w:sz="1" w:space="0" w:color="000000"/>
              <w:right w:val="single" w:sz="1" w:space="0" w:color="000000"/>
            </w:tcBorders>
            <w:shd w:val="clear" w:color="auto" w:fill="F2F2F2"/>
            <w:tcMar>
              <w:top w:w="60" w:type="dxa"/>
              <w:left w:w="80" w:type="dxa"/>
              <w:bottom w:w="60" w:type="dxa"/>
              <w:right w:w="80" w:type="dxa"/>
            </w:tcMar>
          </w:tcPr>
          <w:p w14:paraId="39F4ADD5" w14:textId="77777777" w:rsidR="00832E1E" w:rsidRDefault="00262109">
            <w:r>
              <w:rPr>
                <w:b/>
                <w:bCs/>
              </w:rPr>
              <w:t>Procedure Codes (CPT) — Adjunct Vascular Procedures</w:t>
            </w:r>
          </w:p>
        </w:tc>
      </w:tr>
      <w:tr w:rsidR="00832E1E" w14:paraId="167522D3" w14:textId="77777777" w:rsidTr="00221633">
        <w:tc>
          <w:tcPr>
            <w:tcW w:w="1385" w:type="dxa"/>
            <w:tcBorders>
              <w:top w:val="single" w:sz="1" w:space="0" w:color="000000"/>
              <w:left w:val="single" w:sz="1" w:space="0" w:color="000000"/>
              <w:bottom w:val="single" w:sz="1" w:space="0" w:color="000000"/>
              <w:right w:val="single" w:sz="1" w:space="0" w:color="000000"/>
            </w:tcBorders>
            <w:tcMar>
              <w:top w:w="50" w:type="dxa"/>
              <w:left w:w="80" w:type="dxa"/>
              <w:bottom w:w="50" w:type="dxa"/>
              <w:right w:w="80" w:type="dxa"/>
            </w:tcMar>
          </w:tcPr>
          <w:p w14:paraId="5720DF61" w14:textId="77777777" w:rsidR="00832E1E" w:rsidRDefault="00262109">
            <w:r>
              <w:t>Procedure</w:t>
            </w:r>
          </w:p>
        </w:tc>
        <w:tc>
          <w:tcPr>
            <w:tcW w:w="3230" w:type="dxa"/>
            <w:tcBorders>
              <w:top w:val="single" w:sz="1" w:space="0" w:color="000000"/>
              <w:left w:val="single" w:sz="1" w:space="0" w:color="000000"/>
              <w:bottom w:val="single" w:sz="1" w:space="0" w:color="000000"/>
              <w:right w:val="single" w:sz="1" w:space="0" w:color="000000"/>
            </w:tcBorders>
            <w:tcMar>
              <w:top w:w="50" w:type="dxa"/>
              <w:left w:w="80" w:type="dxa"/>
              <w:bottom w:w="50" w:type="dxa"/>
              <w:right w:w="80" w:type="dxa"/>
            </w:tcMar>
          </w:tcPr>
          <w:p w14:paraId="23265DB0" w14:textId="77777777" w:rsidR="00832E1E" w:rsidRDefault="00262109">
            <w:r>
              <w:t>CPT:33889</w:t>
            </w:r>
          </w:p>
        </w:tc>
        <w:tc>
          <w:tcPr>
            <w:tcW w:w="6183" w:type="dxa"/>
            <w:tcBorders>
              <w:top w:val="single" w:sz="1" w:space="0" w:color="000000"/>
              <w:left w:val="single" w:sz="1" w:space="0" w:color="000000"/>
              <w:bottom w:val="single" w:sz="1" w:space="0" w:color="000000"/>
              <w:right w:val="single" w:sz="1" w:space="0" w:color="000000"/>
            </w:tcBorders>
            <w:tcMar>
              <w:top w:w="50" w:type="dxa"/>
              <w:left w:w="80" w:type="dxa"/>
              <w:bottom w:w="50" w:type="dxa"/>
              <w:right w:w="80" w:type="dxa"/>
            </w:tcMar>
          </w:tcPr>
          <w:p w14:paraId="11E4ED6D" w14:textId="77777777" w:rsidR="00832E1E" w:rsidRDefault="00262109">
            <w:r>
              <w:t>Open subclavian to carotid artery transposition performed in conjunction with endovascular repair of descending thoracic aorta, by neck incision, unilateral</w:t>
            </w:r>
          </w:p>
        </w:tc>
      </w:tr>
      <w:tr w:rsidR="00832E1E" w14:paraId="6CD32EE6" w14:textId="77777777" w:rsidTr="00221633">
        <w:tc>
          <w:tcPr>
            <w:tcW w:w="1385" w:type="dxa"/>
            <w:tcBorders>
              <w:top w:val="single" w:sz="1" w:space="0" w:color="000000"/>
              <w:left w:val="single" w:sz="1" w:space="0" w:color="000000"/>
              <w:bottom w:val="single" w:sz="1" w:space="0" w:color="000000"/>
              <w:right w:val="single" w:sz="1" w:space="0" w:color="000000"/>
            </w:tcBorders>
            <w:tcMar>
              <w:top w:w="50" w:type="dxa"/>
              <w:left w:w="80" w:type="dxa"/>
              <w:bottom w:w="50" w:type="dxa"/>
              <w:right w:w="80" w:type="dxa"/>
            </w:tcMar>
          </w:tcPr>
          <w:p w14:paraId="26C5C348" w14:textId="77777777" w:rsidR="00832E1E" w:rsidRDefault="00262109">
            <w:r>
              <w:t>Procedure</w:t>
            </w:r>
          </w:p>
        </w:tc>
        <w:tc>
          <w:tcPr>
            <w:tcW w:w="3230" w:type="dxa"/>
            <w:tcBorders>
              <w:top w:val="single" w:sz="1" w:space="0" w:color="000000"/>
              <w:left w:val="single" w:sz="1" w:space="0" w:color="000000"/>
              <w:bottom w:val="single" w:sz="1" w:space="0" w:color="000000"/>
              <w:right w:val="single" w:sz="1" w:space="0" w:color="000000"/>
            </w:tcBorders>
            <w:tcMar>
              <w:top w:w="50" w:type="dxa"/>
              <w:left w:w="80" w:type="dxa"/>
              <w:bottom w:w="50" w:type="dxa"/>
              <w:right w:w="80" w:type="dxa"/>
            </w:tcMar>
          </w:tcPr>
          <w:p w14:paraId="0BE177B4" w14:textId="77777777" w:rsidR="00832E1E" w:rsidRDefault="00262109">
            <w:r>
              <w:t>CPT:33891</w:t>
            </w:r>
          </w:p>
        </w:tc>
        <w:tc>
          <w:tcPr>
            <w:tcW w:w="6183" w:type="dxa"/>
            <w:tcBorders>
              <w:top w:val="single" w:sz="1" w:space="0" w:color="000000"/>
              <w:left w:val="single" w:sz="1" w:space="0" w:color="000000"/>
              <w:bottom w:val="single" w:sz="1" w:space="0" w:color="000000"/>
              <w:right w:val="single" w:sz="1" w:space="0" w:color="000000"/>
            </w:tcBorders>
            <w:tcMar>
              <w:top w:w="50" w:type="dxa"/>
              <w:left w:w="80" w:type="dxa"/>
              <w:bottom w:w="50" w:type="dxa"/>
              <w:right w:w="80" w:type="dxa"/>
            </w:tcMar>
          </w:tcPr>
          <w:p w14:paraId="63B9DFFF" w14:textId="77777777" w:rsidR="00832E1E" w:rsidRDefault="00262109">
            <w:r>
              <w:t>Bypass graft, with other than vein, transcervical retropharyngeal carotid-</w:t>
            </w:r>
            <w:r>
              <w:lastRenderedPageBreak/>
              <w:t>carotid, performed in conjunction with endovascular repair of descending thoracic aorta, by neck incision</w:t>
            </w:r>
          </w:p>
        </w:tc>
      </w:tr>
      <w:tr w:rsidR="00832E1E" w14:paraId="2FA14DA6" w14:textId="77777777">
        <w:tc>
          <w:tcPr>
            <w:tcW w:w="0" w:type="auto"/>
            <w:gridSpan w:val="3"/>
            <w:tcBorders>
              <w:top w:val="single" w:sz="1" w:space="0" w:color="000000"/>
              <w:left w:val="single" w:sz="1" w:space="0" w:color="000000"/>
              <w:bottom w:val="single" w:sz="1" w:space="0" w:color="000000"/>
              <w:right w:val="single" w:sz="1" w:space="0" w:color="000000"/>
            </w:tcBorders>
            <w:shd w:val="clear" w:color="auto" w:fill="F2F2F2"/>
            <w:tcMar>
              <w:top w:w="60" w:type="dxa"/>
              <w:left w:w="80" w:type="dxa"/>
              <w:bottom w:w="60" w:type="dxa"/>
              <w:right w:w="80" w:type="dxa"/>
            </w:tcMar>
          </w:tcPr>
          <w:p w14:paraId="7CBB11A8" w14:textId="77777777" w:rsidR="00832E1E" w:rsidRDefault="00262109">
            <w:r>
              <w:rPr>
                <w:b/>
                <w:bCs/>
              </w:rPr>
              <w:lastRenderedPageBreak/>
              <w:t>Procedure Codes (CPT) — Endovascular Repair of Infrarenal Aorta (Non-rupture)</w:t>
            </w:r>
          </w:p>
        </w:tc>
      </w:tr>
      <w:tr w:rsidR="00832E1E" w14:paraId="1D9C17F9" w14:textId="77777777" w:rsidTr="00221633">
        <w:tc>
          <w:tcPr>
            <w:tcW w:w="1385" w:type="dxa"/>
            <w:tcBorders>
              <w:top w:val="single" w:sz="1" w:space="0" w:color="000000"/>
              <w:left w:val="single" w:sz="1" w:space="0" w:color="000000"/>
              <w:bottom w:val="single" w:sz="1" w:space="0" w:color="000000"/>
              <w:right w:val="single" w:sz="1" w:space="0" w:color="000000"/>
            </w:tcBorders>
            <w:tcMar>
              <w:top w:w="50" w:type="dxa"/>
              <w:left w:w="80" w:type="dxa"/>
              <w:bottom w:w="50" w:type="dxa"/>
              <w:right w:w="80" w:type="dxa"/>
            </w:tcMar>
          </w:tcPr>
          <w:p w14:paraId="5A2C9745" w14:textId="77777777" w:rsidR="00832E1E" w:rsidRDefault="00262109">
            <w:r>
              <w:t>Procedure</w:t>
            </w:r>
          </w:p>
        </w:tc>
        <w:tc>
          <w:tcPr>
            <w:tcW w:w="3230" w:type="dxa"/>
            <w:tcBorders>
              <w:top w:val="single" w:sz="1" w:space="0" w:color="000000"/>
              <w:left w:val="single" w:sz="1" w:space="0" w:color="000000"/>
              <w:bottom w:val="single" w:sz="1" w:space="0" w:color="000000"/>
              <w:right w:val="single" w:sz="1" w:space="0" w:color="000000"/>
            </w:tcBorders>
            <w:tcMar>
              <w:top w:w="50" w:type="dxa"/>
              <w:left w:w="80" w:type="dxa"/>
              <w:bottom w:w="50" w:type="dxa"/>
              <w:right w:w="80" w:type="dxa"/>
            </w:tcMar>
          </w:tcPr>
          <w:p w14:paraId="7BB41438" w14:textId="77777777" w:rsidR="00832E1E" w:rsidRDefault="00262109">
            <w:r>
              <w:t>CPT:34701</w:t>
            </w:r>
          </w:p>
        </w:tc>
        <w:tc>
          <w:tcPr>
            <w:tcW w:w="6183" w:type="dxa"/>
            <w:tcBorders>
              <w:top w:val="single" w:sz="1" w:space="0" w:color="000000"/>
              <w:left w:val="single" w:sz="1" w:space="0" w:color="000000"/>
              <w:bottom w:val="single" w:sz="1" w:space="0" w:color="000000"/>
              <w:right w:val="single" w:sz="1" w:space="0" w:color="000000"/>
            </w:tcBorders>
            <w:tcMar>
              <w:top w:w="50" w:type="dxa"/>
              <w:left w:w="80" w:type="dxa"/>
              <w:bottom w:w="50" w:type="dxa"/>
              <w:right w:w="80" w:type="dxa"/>
            </w:tcMar>
          </w:tcPr>
          <w:p w14:paraId="4678A699" w14:textId="77777777" w:rsidR="00832E1E" w:rsidRDefault="00262109">
            <w:r>
              <w:t>Endovascular repair of infrarenal aorta by deployment of an aorto-aortic tube endograft; for other than rupture (</w:t>
            </w:r>
            <w:proofErr w:type="spellStart"/>
            <w:r>
              <w:t>eg</w:t>
            </w:r>
            <w:proofErr w:type="spellEnd"/>
            <w:r>
              <w:t>, for aneurysm, pseudoaneurysm, dissection, penetrating ulcer)</w:t>
            </w:r>
          </w:p>
        </w:tc>
      </w:tr>
      <w:tr w:rsidR="00832E1E" w14:paraId="7E3CDA69" w14:textId="77777777" w:rsidTr="00221633">
        <w:tc>
          <w:tcPr>
            <w:tcW w:w="1385" w:type="dxa"/>
            <w:tcBorders>
              <w:top w:val="single" w:sz="1" w:space="0" w:color="000000"/>
              <w:left w:val="single" w:sz="1" w:space="0" w:color="000000"/>
              <w:bottom w:val="single" w:sz="1" w:space="0" w:color="000000"/>
              <w:right w:val="single" w:sz="1" w:space="0" w:color="000000"/>
            </w:tcBorders>
            <w:tcMar>
              <w:top w:w="50" w:type="dxa"/>
              <w:left w:w="80" w:type="dxa"/>
              <w:bottom w:w="50" w:type="dxa"/>
              <w:right w:w="80" w:type="dxa"/>
            </w:tcMar>
          </w:tcPr>
          <w:p w14:paraId="08505D83" w14:textId="77777777" w:rsidR="00832E1E" w:rsidRDefault="00262109">
            <w:r>
              <w:t>Procedure</w:t>
            </w:r>
          </w:p>
        </w:tc>
        <w:tc>
          <w:tcPr>
            <w:tcW w:w="3230" w:type="dxa"/>
            <w:tcBorders>
              <w:top w:val="single" w:sz="1" w:space="0" w:color="000000"/>
              <w:left w:val="single" w:sz="1" w:space="0" w:color="000000"/>
              <w:bottom w:val="single" w:sz="1" w:space="0" w:color="000000"/>
              <w:right w:val="single" w:sz="1" w:space="0" w:color="000000"/>
            </w:tcBorders>
            <w:tcMar>
              <w:top w:w="50" w:type="dxa"/>
              <w:left w:w="80" w:type="dxa"/>
              <w:bottom w:w="50" w:type="dxa"/>
              <w:right w:w="80" w:type="dxa"/>
            </w:tcMar>
          </w:tcPr>
          <w:p w14:paraId="0E202AF5" w14:textId="77777777" w:rsidR="00832E1E" w:rsidRDefault="00262109">
            <w:r>
              <w:t>CPT:34703</w:t>
            </w:r>
          </w:p>
        </w:tc>
        <w:tc>
          <w:tcPr>
            <w:tcW w:w="6183" w:type="dxa"/>
            <w:tcBorders>
              <w:top w:val="single" w:sz="1" w:space="0" w:color="000000"/>
              <w:left w:val="single" w:sz="1" w:space="0" w:color="000000"/>
              <w:bottom w:val="single" w:sz="1" w:space="0" w:color="000000"/>
              <w:right w:val="single" w:sz="1" w:space="0" w:color="000000"/>
            </w:tcBorders>
            <w:tcMar>
              <w:top w:w="50" w:type="dxa"/>
              <w:left w:w="80" w:type="dxa"/>
              <w:bottom w:w="50" w:type="dxa"/>
              <w:right w:w="80" w:type="dxa"/>
            </w:tcMar>
          </w:tcPr>
          <w:p w14:paraId="031CAD9C" w14:textId="77777777" w:rsidR="00832E1E" w:rsidRDefault="00262109">
            <w:r>
              <w:t>Endovascular repair of infrarenal aorta and/or iliac artery(</w:t>
            </w:r>
            <w:proofErr w:type="spellStart"/>
            <w:r>
              <w:t>ies</w:t>
            </w:r>
            <w:proofErr w:type="spellEnd"/>
            <w:r>
              <w:t>) by deployment of an aorto-</w:t>
            </w:r>
            <w:proofErr w:type="spellStart"/>
            <w:r>
              <w:t>uni</w:t>
            </w:r>
            <w:proofErr w:type="spellEnd"/>
            <w:r>
              <w:t>-iliac endograft; for other than rupture (</w:t>
            </w:r>
            <w:proofErr w:type="spellStart"/>
            <w:r>
              <w:t>eg</w:t>
            </w:r>
            <w:proofErr w:type="spellEnd"/>
            <w:r>
              <w:t>, for aneurysm, pseudoaneurysm, dissection, penetrating ulcer)</w:t>
            </w:r>
          </w:p>
        </w:tc>
      </w:tr>
      <w:tr w:rsidR="00832E1E" w14:paraId="2EE428BE" w14:textId="77777777" w:rsidTr="00221633">
        <w:tc>
          <w:tcPr>
            <w:tcW w:w="1385" w:type="dxa"/>
            <w:tcBorders>
              <w:top w:val="single" w:sz="1" w:space="0" w:color="000000"/>
              <w:left w:val="single" w:sz="1" w:space="0" w:color="000000"/>
              <w:bottom w:val="single" w:sz="1" w:space="0" w:color="000000"/>
              <w:right w:val="single" w:sz="1" w:space="0" w:color="000000"/>
            </w:tcBorders>
            <w:tcMar>
              <w:top w:w="50" w:type="dxa"/>
              <w:left w:w="80" w:type="dxa"/>
              <w:bottom w:w="50" w:type="dxa"/>
              <w:right w:w="80" w:type="dxa"/>
            </w:tcMar>
          </w:tcPr>
          <w:p w14:paraId="7F93FCCF" w14:textId="77777777" w:rsidR="00832E1E" w:rsidRDefault="00262109">
            <w:r>
              <w:t>Procedure</w:t>
            </w:r>
          </w:p>
        </w:tc>
        <w:tc>
          <w:tcPr>
            <w:tcW w:w="3230" w:type="dxa"/>
            <w:tcBorders>
              <w:top w:val="single" w:sz="1" w:space="0" w:color="000000"/>
              <w:left w:val="single" w:sz="1" w:space="0" w:color="000000"/>
              <w:bottom w:val="single" w:sz="1" w:space="0" w:color="000000"/>
              <w:right w:val="single" w:sz="1" w:space="0" w:color="000000"/>
            </w:tcBorders>
            <w:tcMar>
              <w:top w:w="50" w:type="dxa"/>
              <w:left w:w="80" w:type="dxa"/>
              <w:bottom w:w="50" w:type="dxa"/>
              <w:right w:w="80" w:type="dxa"/>
            </w:tcMar>
          </w:tcPr>
          <w:p w14:paraId="6B567C1F" w14:textId="77777777" w:rsidR="00832E1E" w:rsidRDefault="00262109">
            <w:r>
              <w:t>CPT:34705</w:t>
            </w:r>
          </w:p>
        </w:tc>
        <w:tc>
          <w:tcPr>
            <w:tcW w:w="6183" w:type="dxa"/>
            <w:tcBorders>
              <w:top w:val="single" w:sz="1" w:space="0" w:color="000000"/>
              <w:left w:val="single" w:sz="1" w:space="0" w:color="000000"/>
              <w:bottom w:val="single" w:sz="1" w:space="0" w:color="000000"/>
              <w:right w:val="single" w:sz="1" w:space="0" w:color="000000"/>
            </w:tcBorders>
            <w:tcMar>
              <w:top w:w="50" w:type="dxa"/>
              <w:left w:w="80" w:type="dxa"/>
              <w:bottom w:w="50" w:type="dxa"/>
              <w:right w:w="80" w:type="dxa"/>
            </w:tcMar>
          </w:tcPr>
          <w:p w14:paraId="6FE492E4" w14:textId="77777777" w:rsidR="00832E1E" w:rsidRDefault="00262109">
            <w:r>
              <w:t>Endovascular repair of infrarenal aorta and/or iliac artery(</w:t>
            </w:r>
            <w:proofErr w:type="spellStart"/>
            <w:r>
              <w:t>ies</w:t>
            </w:r>
            <w:proofErr w:type="spellEnd"/>
            <w:r>
              <w:t>) by deployment of an aorto-bi-iliac endograft; for other than rupture (</w:t>
            </w:r>
            <w:proofErr w:type="spellStart"/>
            <w:r>
              <w:t>eg</w:t>
            </w:r>
            <w:proofErr w:type="spellEnd"/>
            <w:r>
              <w:t>, for aneurysm, pseudoaneurysm, dissection, penetrating ulcer)</w:t>
            </w:r>
          </w:p>
        </w:tc>
      </w:tr>
      <w:tr w:rsidR="00832E1E" w14:paraId="360821F5" w14:textId="77777777">
        <w:tc>
          <w:tcPr>
            <w:tcW w:w="0" w:type="auto"/>
            <w:gridSpan w:val="3"/>
            <w:tcBorders>
              <w:top w:val="single" w:sz="1" w:space="0" w:color="000000"/>
              <w:left w:val="single" w:sz="1" w:space="0" w:color="000000"/>
              <w:bottom w:val="single" w:sz="1" w:space="0" w:color="000000"/>
              <w:right w:val="single" w:sz="1" w:space="0" w:color="000000"/>
            </w:tcBorders>
            <w:shd w:val="clear" w:color="auto" w:fill="F2F2F2"/>
            <w:tcMar>
              <w:top w:w="60" w:type="dxa"/>
              <w:left w:w="80" w:type="dxa"/>
              <w:bottom w:w="60" w:type="dxa"/>
              <w:right w:w="80" w:type="dxa"/>
            </w:tcMar>
          </w:tcPr>
          <w:p w14:paraId="01FBDADE" w14:textId="77777777" w:rsidR="00832E1E" w:rsidRDefault="00262109">
            <w:r>
              <w:rPr>
                <w:b/>
                <w:bCs/>
              </w:rPr>
              <w:t>Procedure Codes (CPT) — Endovascular Repair of Infrarenal Aorta (Rupture)</w:t>
            </w:r>
          </w:p>
        </w:tc>
      </w:tr>
      <w:tr w:rsidR="00832E1E" w14:paraId="45E9BBE8" w14:textId="77777777" w:rsidTr="00221633">
        <w:tc>
          <w:tcPr>
            <w:tcW w:w="1385" w:type="dxa"/>
            <w:tcBorders>
              <w:top w:val="single" w:sz="1" w:space="0" w:color="000000"/>
              <w:left w:val="single" w:sz="1" w:space="0" w:color="000000"/>
              <w:bottom w:val="single" w:sz="1" w:space="0" w:color="000000"/>
              <w:right w:val="single" w:sz="1" w:space="0" w:color="000000"/>
            </w:tcBorders>
            <w:tcMar>
              <w:top w:w="50" w:type="dxa"/>
              <w:left w:w="80" w:type="dxa"/>
              <w:bottom w:w="50" w:type="dxa"/>
              <w:right w:w="80" w:type="dxa"/>
            </w:tcMar>
          </w:tcPr>
          <w:p w14:paraId="710B8D65" w14:textId="77777777" w:rsidR="00832E1E" w:rsidRDefault="00262109">
            <w:r>
              <w:t>Procedure</w:t>
            </w:r>
          </w:p>
        </w:tc>
        <w:tc>
          <w:tcPr>
            <w:tcW w:w="3230" w:type="dxa"/>
            <w:tcBorders>
              <w:top w:val="single" w:sz="1" w:space="0" w:color="000000"/>
              <w:left w:val="single" w:sz="1" w:space="0" w:color="000000"/>
              <w:bottom w:val="single" w:sz="1" w:space="0" w:color="000000"/>
              <w:right w:val="single" w:sz="1" w:space="0" w:color="000000"/>
            </w:tcBorders>
            <w:tcMar>
              <w:top w:w="50" w:type="dxa"/>
              <w:left w:w="80" w:type="dxa"/>
              <w:bottom w:w="50" w:type="dxa"/>
              <w:right w:w="80" w:type="dxa"/>
            </w:tcMar>
          </w:tcPr>
          <w:p w14:paraId="633C40EB" w14:textId="77777777" w:rsidR="00832E1E" w:rsidRDefault="00262109">
            <w:r>
              <w:t>CPT:34702</w:t>
            </w:r>
          </w:p>
        </w:tc>
        <w:tc>
          <w:tcPr>
            <w:tcW w:w="6183" w:type="dxa"/>
            <w:tcBorders>
              <w:top w:val="single" w:sz="1" w:space="0" w:color="000000"/>
              <w:left w:val="single" w:sz="1" w:space="0" w:color="000000"/>
              <w:bottom w:val="single" w:sz="1" w:space="0" w:color="000000"/>
              <w:right w:val="single" w:sz="1" w:space="0" w:color="000000"/>
            </w:tcBorders>
            <w:tcMar>
              <w:top w:w="50" w:type="dxa"/>
              <w:left w:w="80" w:type="dxa"/>
              <w:bottom w:w="50" w:type="dxa"/>
              <w:right w:w="80" w:type="dxa"/>
            </w:tcMar>
          </w:tcPr>
          <w:p w14:paraId="19936080" w14:textId="77777777" w:rsidR="00832E1E" w:rsidRDefault="00262109">
            <w:r>
              <w:t>Endovascular repair of infrarenal aorta by deployment of an aorto-aortic tube endograft; for rupture including temporary aortic and/or iliac balloon occlusion, when performed (</w:t>
            </w:r>
            <w:proofErr w:type="spellStart"/>
            <w:r>
              <w:t>eg</w:t>
            </w:r>
            <w:proofErr w:type="spellEnd"/>
            <w:r>
              <w:t>, for aneurysm, pseudoaneurysm, dissection, penetrating ulcer, traumatic disruption)</w:t>
            </w:r>
          </w:p>
        </w:tc>
      </w:tr>
      <w:tr w:rsidR="00832E1E" w14:paraId="54931CE9" w14:textId="77777777" w:rsidTr="00221633">
        <w:tc>
          <w:tcPr>
            <w:tcW w:w="1385" w:type="dxa"/>
            <w:tcBorders>
              <w:top w:val="single" w:sz="1" w:space="0" w:color="000000"/>
              <w:left w:val="single" w:sz="1" w:space="0" w:color="000000"/>
              <w:bottom w:val="single" w:sz="1" w:space="0" w:color="000000"/>
              <w:right w:val="single" w:sz="1" w:space="0" w:color="000000"/>
            </w:tcBorders>
            <w:tcMar>
              <w:top w:w="50" w:type="dxa"/>
              <w:left w:w="80" w:type="dxa"/>
              <w:bottom w:w="50" w:type="dxa"/>
              <w:right w:w="80" w:type="dxa"/>
            </w:tcMar>
          </w:tcPr>
          <w:p w14:paraId="32DA8FF8" w14:textId="77777777" w:rsidR="00832E1E" w:rsidRDefault="00262109">
            <w:r>
              <w:t>Procedure</w:t>
            </w:r>
          </w:p>
        </w:tc>
        <w:tc>
          <w:tcPr>
            <w:tcW w:w="3230" w:type="dxa"/>
            <w:tcBorders>
              <w:top w:val="single" w:sz="1" w:space="0" w:color="000000"/>
              <w:left w:val="single" w:sz="1" w:space="0" w:color="000000"/>
              <w:bottom w:val="single" w:sz="1" w:space="0" w:color="000000"/>
              <w:right w:val="single" w:sz="1" w:space="0" w:color="000000"/>
            </w:tcBorders>
            <w:tcMar>
              <w:top w:w="50" w:type="dxa"/>
              <w:left w:w="80" w:type="dxa"/>
              <w:bottom w:w="50" w:type="dxa"/>
              <w:right w:w="80" w:type="dxa"/>
            </w:tcMar>
          </w:tcPr>
          <w:p w14:paraId="05D1EB06" w14:textId="77777777" w:rsidR="00832E1E" w:rsidRDefault="00262109">
            <w:r>
              <w:t>CPT:34704</w:t>
            </w:r>
          </w:p>
        </w:tc>
        <w:tc>
          <w:tcPr>
            <w:tcW w:w="6183" w:type="dxa"/>
            <w:tcBorders>
              <w:top w:val="single" w:sz="1" w:space="0" w:color="000000"/>
              <w:left w:val="single" w:sz="1" w:space="0" w:color="000000"/>
              <w:bottom w:val="single" w:sz="1" w:space="0" w:color="000000"/>
              <w:right w:val="single" w:sz="1" w:space="0" w:color="000000"/>
            </w:tcBorders>
            <w:tcMar>
              <w:top w:w="50" w:type="dxa"/>
              <w:left w:w="80" w:type="dxa"/>
              <w:bottom w:w="50" w:type="dxa"/>
              <w:right w:w="80" w:type="dxa"/>
            </w:tcMar>
          </w:tcPr>
          <w:p w14:paraId="6131F50F" w14:textId="77777777" w:rsidR="00832E1E" w:rsidRDefault="00262109">
            <w:r>
              <w:t>Endovascular repair of infrarenal aorta and/or iliac artery(</w:t>
            </w:r>
            <w:proofErr w:type="spellStart"/>
            <w:r>
              <w:t>ies</w:t>
            </w:r>
            <w:proofErr w:type="spellEnd"/>
            <w:r>
              <w:t>) by deployment of an aorto-</w:t>
            </w:r>
            <w:proofErr w:type="spellStart"/>
            <w:r>
              <w:t>uni</w:t>
            </w:r>
            <w:proofErr w:type="spellEnd"/>
            <w:r>
              <w:t>-iliac endograft; for rupture including temporary aortic and/or iliac balloon occlusion, when performed</w:t>
            </w:r>
          </w:p>
        </w:tc>
      </w:tr>
      <w:tr w:rsidR="00832E1E" w14:paraId="223DFD1B" w14:textId="77777777" w:rsidTr="00221633">
        <w:tc>
          <w:tcPr>
            <w:tcW w:w="1385" w:type="dxa"/>
            <w:tcBorders>
              <w:top w:val="single" w:sz="1" w:space="0" w:color="000000"/>
              <w:left w:val="single" w:sz="1" w:space="0" w:color="000000"/>
              <w:bottom w:val="single" w:sz="1" w:space="0" w:color="000000"/>
              <w:right w:val="single" w:sz="1" w:space="0" w:color="000000"/>
            </w:tcBorders>
            <w:tcMar>
              <w:top w:w="50" w:type="dxa"/>
              <w:left w:w="80" w:type="dxa"/>
              <w:bottom w:w="50" w:type="dxa"/>
              <w:right w:w="80" w:type="dxa"/>
            </w:tcMar>
          </w:tcPr>
          <w:p w14:paraId="2AC8F608" w14:textId="77777777" w:rsidR="00832E1E" w:rsidRDefault="00262109">
            <w:r>
              <w:t>Procedure</w:t>
            </w:r>
          </w:p>
        </w:tc>
        <w:tc>
          <w:tcPr>
            <w:tcW w:w="3230" w:type="dxa"/>
            <w:tcBorders>
              <w:top w:val="single" w:sz="1" w:space="0" w:color="000000"/>
              <w:left w:val="single" w:sz="1" w:space="0" w:color="000000"/>
              <w:bottom w:val="single" w:sz="1" w:space="0" w:color="000000"/>
              <w:right w:val="single" w:sz="1" w:space="0" w:color="000000"/>
            </w:tcBorders>
            <w:tcMar>
              <w:top w:w="50" w:type="dxa"/>
              <w:left w:w="80" w:type="dxa"/>
              <w:bottom w:w="50" w:type="dxa"/>
              <w:right w:w="80" w:type="dxa"/>
            </w:tcMar>
          </w:tcPr>
          <w:p w14:paraId="7A934D25" w14:textId="77777777" w:rsidR="00832E1E" w:rsidRDefault="00262109">
            <w:r>
              <w:t>CPT:34706</w:t>
            </w:r>
          </w:p>
        </w:tc>
        <w:tc>
          <w:tcPr>
            <w:tcW w:w="6183" w:type="dxa"/>
            <w:tcBorders>
              <w:top w:val="single" w:sz="1" w:space="0" w:color="000000"/>
              <w:left w:val="single" w:sz="1" w:space="0" w:color="000000"/>
              <w:bottom w:val="single" w:sz="1" w:space="0" w:color="000000"/>
              <w:right w:val="single" w:sz="1" w:space="0" w:color="000000"/>
            </w:tcBorders>
            <w:tcMar>
              <w:top w:w="50" w:type="dxa"/>
              <w:left w:w="80" w:type="dxa"/>
              <w:bottom w:w="50" w:type="dxa"/>
              <w:right w:w="80" w:type="dxa"/>
            </w:tcMar>
          </w:tcPr>
          <w:p w14:paraId="00038626" w14:textId="77777777" w:rsidR="00832E1E" w:rsidRDefault="00262109">
            <w:r>
              <w:t>Endovascular repair of infrarenal aorta and/or iliac artery(</w:t>
            </w:r>
            <w:proofErr w:type="spellStart"/>
            <w:r>
              <w:t>ies</w:t>
            </w:r>
            <w:proofErr w:type="spellEnd"/>
            <w:r>
              <w:t>) by deployment of an aorto-bi-iliac endograft; for rupture including temporary aortic and/or iliac balloon occlusion, when performed</w:t>
            </w:r>
          </w:p>
        </w:tc>
      </w:tr>
      <w:tr w:rsidR="00832E1E" w14:paraId="561B7698" w14:textId="77777777">
        <w:tc>
          <w:tcPr>
            <w:tcW w:w="0" w:type="auto"/>
            <w:gridSpan w:val="3"/>
            <w:tcBorders>
              <w:top w:val="single" w:sz="1" w:space="0" w:color="000000"/>
              <w:left w:val="single" w:sz="1" w:space="0" w:color="000000"/>
              <w:bottom w:val="single" w:sz="1" w:space="0" w:color="000000"/>
              <w:right w:val="single" w:sz="1" w:space="0" w:color="000000"/>
            </w:tcBorders>
            <w:shd w:val="clear" w:color="auto" w:fill="F2F2F2"/>
            <w:tcMar>
              <w:top w:w="60" w:type="dxa"/>
              <w:left w:w="80" w:type="dxa"/>
              <w:bottom w:w="60" w:type="dxa"/>
              <w:right w:w="80" w:type="dxa"/>
            </w:tcMar>
          </w:tcPr>
          <w:p w14:paraId="3F23A91C" w14:textId="77777777" w:rsidR="00832E1E" w:rsidRDefault="00262109">
            <w:r>
              <w:rPr>
                <w:b/>
                <w:bCs/>
              </w:rPr>
              <w:t>Procedure Codes (CPT) — Endovascular Repair of Iliac Artery</w:t>
            </w:r>
          </w:p>
        </w:tc>
      </w:tr>
      <w:tr w:rsidR="00832E1E" w14:paraId="0D3F2BE9" w14:textId="77777777" w:rsidTr="00221633">
        <w:tc>
          <w:tcPr>
            <w:tcW w:w="1385" w:type="dxa"/>
            <w:tcBorders>
              <w:top w:val="single" w:sz="1" w:space="0" w:color="000000"/>
              <w:left w:val="single" w:sz="1" w:space="0" w:color="000000"/>
              <w:bottom w:val="single" w:sz="1" w:space="0" w:color="000000"/>
              <w:right w:val="single" w:sz="1" w:space="0" w:color="000000"/>
            </w:tcBorders>
            <w:tcMar>
              <w:top w:w="50" w:type="dxa"/>
              <w:left w:w="80" w:type="dxa"/>
              <w:bottom w:w="50" w:type="dxa"/>
              <w:right w:w="80" w:type="dxa"/>
            </w:tcMar>
          </w:tcPr>
          <w:p w14:paraId="76A17816" w14:textId="77777777" w:rsidR="00832E1E" w:rsidRDefault="00262109">
            <w:r>
              <w:t>Procedure</w:t>
            </w:r>
          </w:p>
        </w:tc>
        <w:tc>
          <w:tcPr>
            <w:tcW w:w="3230" w:type="dxa"/>
            <w:tcBorders>
              <w:top w:val="single" w:sz="1" w:space="0" w:color="000000"/>
              <w:left w:val="single" w:sz="1" w:space="0" w:color="000000"/>
              <w:bottom w:val="single" w:sz="1" w:space="0" w:color="000000"/>
              <w:right w:val="single" w:sz="1" w:space="0" w:color="000000"/>
            </w:tcBorders>
            <w:tcMar>
              <w:top w:w="50" w:type="dxa"/>
              <w:left w:w="80" w:type="dxa"/>
              <w:bottom w:w="50" w:type="dxa"/>
              <w:right w:w="80" w:type="dxa"/>
            </w:tcMar>
          </w:tcPr>
          <w:p w14:paraId="2B88E026" w14:textId="77777777" w:rsidR="00832E1E" w:rsidRDefault="00262109">
            <w:r>
              <w:t>CPT:34707</w:t>
            </w:r>
          </w:p>
        </w:tc>
        <w:tc>
          <w:tcPr>
            <w:tcW w:w="6183" w:type="dxa"/>
            <w:tcBorders>
              <w:top w:val="single" w:sz="1" w:space="0" w:color="000000"/>
              <w:left w:val="single" w:sz="1" w:space="0" w:color="000000"/>
              <w:bottom w:val="single" w:sz="1" w:space="0" w:color="000000"/>
              <w:right w:val="single" w:sz="1" w:space="0" w:color="000000"/>
            </w:tcBorders>
            <w:tcMar>
              <w:top w:w="50" w:type="dxa"/>
              <w:left w:w="80" w:type="dxa"/>
              <w:bottom w:w="50" w:type="dxa"/>
              <w:right w:w="80" w:type="dxa"/>
            </w:tcMar>
          </w:tcPr>
          <w:p w14:paraId="3D0BEAE5" w14:textId="77777777" w:rsidR="00832E1E" w:rsidRDefault="00262109">
            <w:r>
              <w:t>Endovascular repair of iliac artery by deployment of an ilio-iliac tube endograft; for other than rupture (</w:t>
            </w:r>
            <w:proofErr w:type="spellStart"/>
            <w:r>
              <w:t>eg</w:t>
            </w:r>
            <w:proofErr w:type="spellEnd"/>
            <w:r>
              <w:t>, for aneurysm, pseudoaneurysm, dissection, arteriovenous malformation), unilateral</w:t>
            </w:r>
          </w:p>
        </w:tc>
      </w:tr>
    </w:tbl>
    <w:p w14:paraId="4B843F85" w14:textId="77777777" w:rsidR="00832E1E" w:rsidRDefault="00262109">
      <w:pPr>
        <w:spacing w:before="240"/>
      </w:pPr>
      <w:r>
        <w:rPr>
          <w:i/>
          <w:iCs/>
          <w:sz w:val="16"/>
          <w:szCs w:val="16"/>
        </w:rPr>
        <w:t>Abbreviations: CPT, Current Procedural Terminology; ICD-10-CM, International Classification of Diseases, Tenth Revision, Clinical Modification; UMLS, Unified Medical Language System.</w:t>
      </w:r>
    </w:p>
    <w:p w14:paraId="2B859BCC" w14:textId="64E8C573" w:rsidR="00262109" w:rsidRDefault="00262109">
      <w:pPr>
        <w:spacing w:before="120"/>
        <w:rPr>
          <w:sz w:val="16"/>
          <w:szCs w:val="16"/>
        </w:rPr>
      </w:pPr>
      <w:r>
        <w:rPr>
          <w:sz w:val="16"/>
          <w:szCs w:val="16"/>
        </w:rPr>
        <w:t>Note: These codes were used to identify exclusion criteria (patients with prior ruptured aortic disease or aortic repair) and primary outcome events (ruptured aortic aneurysm or aortic dissection requiring surgical or endovascular repair during follow-up).</w:t>
      </w:r>
      <w:r>
        <w:rPr>
          <w:sz w:val="16"/>
          <w:szCs w:val="16"/>
        </w:rPr>
        <w:br w:type="page"/>
      </w:r>
    </w:p>
    <w:p w14:paraId="6A323B6D" w14:textId="739B57D4" w:rsidR="00221633" w:rsidRDefault="00221633" w:rsidP="00221633">
      <w:pPr>
        <w:spacing w:after="80"/>
        <w:rPr>
          <w:rFonts w:ascii="Times New Roman" w:hAnsi="Times New Roman" w:cs="Times New Roman"/>
          <w:b/>
          <w:bCs/>
          <w:color w:val="1A365D"/>
          <w:sz w:val="24"/>
          <w:szCs w:val="24"/>
        </w:rPr>
      </w:pPr>
      <w:r>
        <w:rPr>
          <w:b/>
          <w:bCs/>
          <w:sz w:val="22"/>
          <w:szCs w:val="22"/>
        </w:rPr>
        <w:lastRenderedPageBreak/>
        <w:t>Table S</w:t>
      </w:r>
      <w:r w:rsidR="008172D6">
        <w:rPr>
          <w:rFonts w:hint="eastAsia"/>
          <w:b/>
          <w:bCs/>
          <w:sz w:val="22"/>
          <w:szCs w:val="22"/>
        </w:rPr>
        <w:t>2</w:t>
      </w:r>
      <w:r>
        <w:rPr>
          <w:b/>
          <w:bCs/>
          <w:sz w:val="22"/>
          <w:szCs w:val="22"/>
        </w:rPr>
        <w:t>.</w:t>
      </w:r>
      <w:r>
        <w:rPr>
          <w:rFonts w:hint="eastAsia"/>
          <w:b/>
          <w:bCs/>
          <w:sz w:val="22"/>
          <w:szCs w:val="22"/>
        </w:rPr>
        <w:t xml:space="preserve"> </w:t>
      </w:r>
      <w:r w:rsidRPr="00221633">
        <w:rPr>
          <w:b/>
          <w:bCs/>
          <w:sz w:val="22"/>
          <w:szCs w:val="22"/>
        </w:rPr>
        <w:t>STROBE Statement</w:t>
      </w:r>
    </w:p>
    <w:p w14:paraId="7FA25C2E" w14:textId="4E493990" w:rsidR="00262109" w:rsidRPr="00262109" w:rsidRDefault="00262109" w:rsidP="00262109">
      <w:pPr>
        <w:spacing w:after="80"/>
        <w:jc w:val="center"/>
        <w:rPr>
          <w:rFonts w:ascii="Times New Roman" w:hAnsi="Times New Roman" w:cs="Times New Roman"/>
          <w:sz w:val="20"/>
          <w:szCs w:val="20"/>
        </w:rPr>
      </w:pPr>
      <w:r w:rsidRPr="00262109">
        <w:rPr>
          <w:rFonts w:ascii="Times New Roman" w:eastAsia="Times New Roman" w:hAnsi="Times New Roman" w:cs="Times New Roman"/>
          <w:b/>
          <w:bCs/>
          <w:color w:val="1A365D"/>
          <w:sz w:val="24"/>
          <w:szCs w:val="24"/>
        </w:rPr>
        <w:t>STROBE Statement — Checklist of Items for Cohort Studies</w:t>
      </w:r>
    </w:p>
    <w:p w14:paraId="12B75F9A" w14:textId="77777777" w:rsidR="00262109" w:rsidRPr="00262109" w:rsidRDefault="00262109" w:rsidP="00262109">
      <w:pPr>
        <w:spacing w:after="80"/>
        <w:jc w:val="center"/>
        <w:rPr>
          <w:rFonts w:ascii="Times New Roman" w:hAnsi="Times New Roman" w:cs="Times New Roman"/>
          <w:sz w:val="20"/>
          <w:szCs w:val="20"/>
        </w:rPr>
      </w:pPr>
      <w:r w:rsidRPr="00262109">
        <w:rPr>
          <w:rFonts w:ascii="Times New Roman" w:eastAsia="Times New Roman" w:hAnsi="Times New Roman" w:cs="Times New Roman"/>
          <w:i/>
          <w:iCs/>
          <w:sz w:val="20"/>
          <w:szCs w:val="20"/>
        </w:rPr>
        <w:t>Supplemental Material</w:t>
      </w:r>
    </w:p>
    <w:p w14:paraId="1FDB5969" w14:textId="3A159CB2" w:rsidR="00262109" w:rsidRPr="00262109" w:rsidRDefault="00262109" w:rsidP="00262109">
      <w:pPr>
        <w:spacing w:after="80"/>
        <w:jc w:val="center"/>
        <w:rPr>
          <w:rFonts w:ascii="Times New Roman" w:hAnsi="Times New Roman" w:cs="Times New Roman"/>
          <w:sz w:val="20"/>
          <w:szCs w:val="20"/>
        </w:rPr>
      </w:pPr>
      <w:r w:rsidRPr="00262109">
        <w:rPr>
          <w:rFonts w:ascii="Times New Roman" w:eastAsia="Times New Roman" w:hAnsi="Times New Roman" w:cs="Times New Roman"/>
          <w:b/>
          <w:bCs/>
          <w:sz w:val="20"/>
          <w:szCs w:val="20"/>
        </w:rPr>
        <w:t xml:space="preserve">Manuscript title: </w:t>
      </w:r>
      <w:r w:rsidRPr="00262109">
        <w:rPr>
          <w:rFonts w:ascii="Times New Roman" w:eastAsia="Times New Roman" w:hAnsi="Times New Roman" w:cs="Times New Roman"/>
          <w:sz w:val="20"/>
          <w:szCs w:val="20"/>
        </w:rPr>
        <w:t xml:space="preserve">GLP-1 Receptor Agonists Reduce Aortic Dissection and Hypertensive Crisis in Diabetic Patients with Aortic Aneurysm: </w:t>
      </w:r>
      <w:r w:rsidR="00E623E3" w:rsidRPr="00E623E3">
        <w:rPr>
          <w:rFonts w:ascii="Times New Roman" w:eastAsia="Times New Roman" w:hAnsi="Times New Roman" w:cs="Times New Roman"/>
          <w:sz w:val="20"/>
          <w:szCs w:val="20"/>
        </w:rPr>
        <w:t>A Retrospective Cohort Study</w:t>
      </w:r>
    </w:p>
    <w:p w14:paraId="3D01C90B" w14:textId="77777777" w:rsidR="00262109" w:rsidRPr="00262109" w:rsidRDefault="00262109" w:rsidP="00262109">
      <w:pPr>
        <w:spacing w:after="200"/>
        <w:jc w:val="center"/>
        <w:rPr>
          <w:rFonts w:ascii="Times New Roman" w:hAnsi="Times New Roman" w:cs="Times New Roman"/>
          <w:sz w:val="20"/>
          <w:szCs w:val="20"/>
        </w:rPr>
      </w:pPr>
      <w:r w:rsidRPr="00262109">
        <w:rPr>
          <w:rFonts w:ascii="Times New Roman" w:eastAsia="Times New Roman" w:hAnsi="Times New Roman" w:cs="Times New Roman"/>
          <w:b/>
          <w:bCs/>
          <w:sz w:val="20"/>
          <w:szCs w:val="20"/>
        </w:rPr>
        <w:t xml:space="preserve">Authors: </w:t>
      </w:r>
      <w:r w:rsidRPr="00262109">
        <w:rPr>
          <w:rFonts w:ascii="Times New Roman" w:eastAsia="Times New Roman" w:hAnsi="Times New Roman" w:cs="Times New Roman"/>
          <w:sz w:val="20"/>
          <w:szCs w:val="20"/>
        </w:rPr>
        <w:t>Tsai YF, Lin HT, Liu YF, Chang R, Wu SC</w:t>
      </w:r>
    </w:p>
    <w:p w14:paraId="088A71CF" w14:textId="319F97F2" w:rsidR="00262109" w:rsidRPr="00262109" w:rsidRDefault="00262109" w:rsidP="00262109">
      <w:pPr>
        <w:spacing w:after="60"/>
        <w:jc w:val="both"/>
        <w:rPr>
          <w:rFonts w:ascii="Times New Roman" w:hAnsi="Times New Roman" w:cs="Times New Roman"/>
          <w:sz w:val="20"/>
          <w:szCs w:val="20"/>
        </w:rPr>
      </w:pPr>
      <w:r w:rsidRPr="00262109">
        <w:rPr>
          <w:rFonts w:ascii="Times New Roman" w:eastAsia="Times New Roman" w:hAnsi="Times New Roman" w:cs="Times New Roman"/>
          <w:b/>
          <w:bCs/>
        </w:rPr>
        <w:t xml:space="preserve">Key: </w:t>
      </w:r>
      <w:r w:rsidRPr="00262109">
        <w:rPr>
          <w:rFonts w:ascii="Times New Roman" w:eastAsia="Times New Roman" w:hAnsi="Times New Roman" w:cs="Times New Roman"/>
        </w:rPr>
        <w:t xml:space="preserve">Cells highlighted in </w:t>
      </w:r>
      <w:r w:rsidRPr="00262109">
        <w:rPr>
          <w:rFonts w:ascii="Times New Roman" w:eastAsia="Times New Roman" w:hAnsi="Times New Roman" w:cs="Times New Roman"/>
          <w:b/>
          <w:bCs/>
          <w:color w:val="276749"/>
        </w:rPr>
        <w:t>green</w:t>
      </w:r>
      <w:r w:rsidRPr="00262109">
        <w:rPr>
          <w:rFonts w:ascii="Times New Roman" w:eastAsia="Times New Roman" w:hAnsi="Times New Roman" w:cs="Times New Roman"/>
        </w:rPr>
        <w:t xml:space="preserve"> indicate items updated or clarified relative to the prior version of this checklist to reflect (</w:t>
      </w:r>
      <w:proofErr w:type="spellStart"/>
      <w:r w:rsidRPr="00262109">
        <w:rPr>
          <w:rFonts w:ascii="Times New Roman" w:eastAsia="Times New Roman" w:hAnsi="Times New Roman" w:cs="Times New Roman"/>
        </w:rPr>
        <w:t>i</w:t>
      </w:r>
      <w:proofErr w:type="spellEnd"/>
      <w:r w:rsidRPr="00262109">
        <w:rPr>
          <w:rFonts w:ascii="Times New Roman" w:eastAsia="Times New Roman" w:hAnsi="Times New Roman" w:cs="Times New Roman"/>
        </w:rPr>
        <w:t xml:space="preserve">) DMSO abstract format </w:t>
      </w:r>
      <w:r w:rsidR="0013213C" w:rsidRPr="0013213C">
        <w:rPr>
          <w:rFonts w:ascii="Times New Roman" w:eastAsia="Times New Roman" w:hAnsi="Times New Roman" w:cs="Times New Roman"/>
        </w:rPr>
        <w:t>(structured with four sections: Purpose, Methods, Results, and Conclusion; ≤250 words)</w:t>
      </w:r>
      <w:r w:rsidRPr="00262109">
        <w:rPr>
          <w:rFonts w:ascii="Times New Roman" w:eastAsia="Times New Roman" w:hAnsi="Times New Roman" w:cs="Times New Roman"/>
        </w:rPr>
        <w:t>, (ii) retention of active-comparator bias-reduction design description, and (i</w:t>
      </w:r>
      <w:r w:rsidR="00E830DC">
        <w:rPr>
          <w:rFonts w:ascii="Times New Roman" w:eastAsia="Times New Roman" w:hAnsi="Times New Roman" w:cs="Times New Roman"/>
        </w:rPr>
        <w:t>ii</w:t>
      </w:r>
      <w:r w:rsidRPr="00262109">
        <w:rPr>
          <w:rFonts w:ascii="Times New Roman" w:eastAsia="Times New Roman" w:hAnsi="Times New Roman" w:cs="Times New Roman"/>
        </w:rPr>
        <w:t>) accurate characterization of sensitivity vs subgroup analyses.</w:t>
      </w:r>
    </w:p>
    <w:tbl>
      <w:tblPr>
        <w:tblW w:w="8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0"/>
        <w:gridCol w:w="5060"/>
        <w:gridCol w:w="3000"/>
      </w:tblGrid>
      <w:tr w:rsidR="00262109" w:rsidRPr="00262109" w14:paraId="57072BAF" w14:textId="77777777" w:rsidTr="00262109">
        <w:trPr>
          <w:tblHeader/>
          <w:jc w:val="center"/>
        </w:trPr>
        <w:tc>
          <w:tcPr>
            <w:tcW w:w="900" w:type="dxa"/>
            <w:tcBorders>
              <w:top w:val="single" w:sz="4" w:space="0" w:color="2C5282"/>
              <w:left w:val="single" w:sz="1" w:space="0" w:color="2C5282"/>
              <w:bottom w:val="single" w:sz="4" w:space="0" w:color="2C5282"/>
              <w:right w:val="single" w:sz="1" w:space="0" w:color="2C5282"/>
            </w:tcBorders>
            <w:shd w:val="clear" w:color="auto" w:fill="EBF0F8"/>
            <w:tcMar>
              <w:top w:w="100" w:type="dxa"/>
              <w:left w:w="120" w:type="dxa"/>
              <w:bottom w:w="100" w:type="dxa"/>
              <w:right w:w="120" w:type="dxa"/>
            </w:tcMar>
            <w:vAlign w:val="center"/>
          </w:tcPr>
          <w:p w14:paraId="423CB843" w14:textId="77777777" w:rsidR="00262109" w:rsidRPr="00262109" w:rsidRDefault="00262109" w:rsidP="00262109">
            <w:pPr>
              <w:jc w:val="center"/>
              <w:rPr>
                <w:rFonts w:ascii="Times New Roman" w:hAnsi="Times New Roman" w:cs="Times New Roman"/>
                <w:sz w:val="20"/>
                <w:szCs w:val="20"/>
              </w:rPr>
            </w:pPr>
            <w:r w:rsidRPr="00262109">
              <w:rPr>
                <w:rFonts w:ascii="Times New Roman" w:eastAsia="Times New Roman" w:hAnsi="Times New Roman" w:cs="Times New Roman"/>
                <w:b/>
                <w:bCs/>
                <w:color w:val="1A365D"/>
                <w:sz w:val="20"/>
                <w:szCs w:val="20"/>
              </w:rPr>
              <w:t>Item No.</w:t>
            </w:r>
          </w:p>
        </w:tc>
        <w:tc>
          <w:tcPr>
            <w:tcW w:w="5060" w:type="dxa"/>
            <w:tcBorders>
              <w:top w:val="single" w:sz="4" w:space="0" w:color="2C5282"/>
              <w:left w:val="single" w:sz="1" w:space="0" w:color="2C5282"/>
              <w:bottom w:val="single" w:sz="4" w:space="0" w:color="2C5282"/>
              <w:right w:val="single" w:sz="1" w:space="0" w:color="2C5282"/>
            </w:tcBorders>
            <w:shd w:val="clear" w:color="auto" w:fill="EBF0F8"/>
            <w:tcMar>
              <w:top w:w="100" w:type="dxa"/>
              <w:left w:w="120" w:type="dxa"/>
              <w:bottom w:w="100" w:type="dxa"/>
              <w:right w:w="120" w:type="dxa"/>
            </w:tcMar>
            <w:vAlign w:val="center"/>
          </w:tcPr>
          <w:p w14:paraId="2E75C6AC" w14:textId="77777777" w:rsidR="00262109" w:rsidRPr="00262109" w:rsidRDefault="00262109" w:rsidP="00262109">
            <w:pPr>
              <w:jc w:val="center"/>
              <w:rPr>
                <w:rFonts w:ascii="Times New Roman" w:hAnsi="Times New Roman" w:cs="Times New Roman"/>
                <w:sz w:val="20"/>
                <w:szCs w:val="20"/>
              </w:rPr>
            </w:pPr>
            <w:r w:rsidRPr="00262109">
              <w:rPr>
                <w:rFonts w:ascii="Times New Roman" w:eastAsia="Times New Roman" w:hAnsi="Times New Roman" w:cs="Times New Roman"/>
                <w:b/>
                <w:bCs/>
                <w:color w:val="1A365D"/>
                <w:sz w:val="20"/>
                <w:szCs w:val="20"/>
              </w:rPr>
              <w:t>Recommendation</w:t>
            </w:r>
          </w:p>
        </w:tc>
        <w:tc>
          <w:tcPr>
            <w:tcW w:w="3000" w:type="dxa"/>
            <w:tcBorders>
              <w:top w:val="single" w:sz="4" w:space="0" w:color="2C5282"/>
              <w:left w:val="single" w:sz="1" w:space="0" w:color="2C5282"/>
              <w:bottom w:val="single" w:sz="4" w:space="0" w:color="2C5282"/>
              <w:right w:val="single" w:sz="1" w:space="0" w:color="2C5282"/>
            </w:tcBorders>
            <w:shd w:val="clear" w:color="auto" w:fill="EBF0F8"/>
            <w:tcMar>
              <w:top w:w="100" w:type="dxa"/>
              <w:left w:w="120" w:type="dxa"/>
              <w:bottom w:w="100" w:type="dxa"/>
              <w:right w:w="120" w:type="dxa"/>
            </w:tcMar>
            <w:vAlign w:val="center"/>
          </w:tcPr>
          <w:p w14:paraId="77537046" w14:textId="77777777" w:rsidR="00262109" w:rsidRPr="00262109" w:rsidRDefault="00262109" w:rsidP="00262109">
            <w:pPr>
              <w:jc w:val="center"/>
              <w:rPr>
                <w:rFonts w:ascii="Times New Roman" w:hAnsi="Times New Roman" w:cs="Times New Roman"/>
                <w:sz w:val="20"/>
                <w:szCs w:val="20"/>
              </w:rPr>
            </w:pPr>
            <w:r w:rsidRPr="00262109">
              <w:rPr>
                <w:rFonts w:ascii="Times New Roman" w:eastAsia="Times New Roman" w:hAnsi="Times New Roman" w:cs="Times New Roman"/>
                <w:b/>
                <w:bCs/>
                <w:color w:val="1A365D"/>
                <w:sz w:val="20"/>
                <w:szCs w:val="20"/>
              </w:rPr>
              <w:t>Reported on Page/Section</w:t>
            </w:r>
          </w:p>
        </w:tc>
      </w:tr>
      <w:tr w:rsidR="00262109" w:rsidRPr="00262109" w14:paraId="79E219C8" w14:textId="77777777" w:rsidTr="00262109">
        <w:trPr>
          <w:jc w:val="center"/>
        </w:trPr>
        <w:tc>
          <w:tcPr>
            <w:tcW w:w="0" w:type="auto"/>
            <w:gridSpan w:val="3"/>
            <w:tcBorders>
              <w:top w:val="single" w:sz="4" w:space="0" w:color="2C5282"/>
              <w:left w:val="single" w:sz="1" w:space="0" w:color="999999"/>
              <w:bottom w:val="single" w:sz="1" w:space="0" w:color="999999"/>
              <w:right w:val="single" w:sz="1" w:space="0" w:color="999999"/>
            </w:tcBorders>
            <w:shd w:val="clear" w:color="auto" w:fill="D6E4F0"/>
            <w:tcMar>
              <w:top w:w="80" w:type="dxa"/>
              <w:left w:w="120" w:type="dxa"/>
              <w:bottom w:w="80" w:type="dxa"/>
              <w:right w:w="120" w:type="dxa"/>
            </w:tcMar>
          </w:tcPr>
          <w:p w14:paraId="4923B4F6" w14:textId="77777777" w:rsidR="00262109" w:rsidRPr="00262109" w:rsidRDefault="00262109" w:rsidP="00262109">
            <w:pPr>
              <w:rPr>
                <w:rFonts w:ascii="Times New Roman" w:hAnsi="Times New Roman" w:cs="Times New Roman"/>
                <w:sz w:val="20"/>
                <w:szCs w:val="20"/>
              </w:rPr>
            </w:pPr>
            <w:r w:rsidRPr="00262109">
              <w:rPr>
                <w:rFonts w:ascii="Times New Roman" w:eastAsia="Times New Roman" w:hAnsi="Times New Roman" w:cs="Times New Roman"/>
                <w:b/>
                <w:bCs/>
                <w:color w:val="1A365D"/>
                <w:sz w:val="20"/>
                <w:szCs w:val="20"/>
              </w:rPr>
              <w:t>Title and Abstract</w:t>
            </w:r>
          </w:p>
        </w:tc>
      </w:tr>
      <w:tr w:rsidR="00262109" w:rsidRPr="00262109" w14:paraId="31358DA9" w14:textId="77777777" w:rsidTr="00262109">
        <w:trPr>
          <w:jc w:val="center"/>
        </w:trPr>
        <w:tc>
          <w:tcPr>
            <w:tcW w:w="900" w:type="dxa"/>
            <w:tcBorders>
              <w:top w:val="single" w:sz="1" w:space="0" w:color="999999"/>
              <w:left w:val="single" w:sz="1" w:space="0" w:color="999999"/>
              <w:bottom w:val="single" w:sz="1" w:space="0" w:color="999999"/>
              <w:right w:val="single" w:sz="1" w:space="0" w:color="999999"/>
            </w:tcBorders>
            <w:shd w:val="clear" w:color="auto" w:fill="F0FFF4"/>
            <w:tcMar>
              <w:top w:w="80" w:type="dxa"/>
              <w:left w:w="120" w:type="dxa"/>
              <w:bottom w:w="80" w:type="dxa"/>
              <w:right w:w="120" w:type="dxa"/>
            </w:tcMar>
          </w:tcPr>
          <w:p w14:paraId="7203F461" w14:textId="77777777" w:rsidR="00262109" w:rsidRPr="00262109" w:rsidRDefault="00262109" w:rsidP="00262109">
            <w:pPr>
              <w:jc w:val="center"/>
              <w:rPr>
                <w:rFonts w:ascii="Times New Roman" w:hAnsi="Times New Roman" w:cs="Times New Roman"/>
                <w:sz w:val="20"/>
                <w:szCs w:val="20"/>
              </w:rPr>
            </w:pPr>
            <w:r w:rsidRPr="00262109">
              <w:rPr>
                <w:rFonts w:ascii="Times New Roman" w:eastAsia="Times New Roman" w:hAnsi="Times New Roman" w:cs="Times New Roman"/>
              </w:rPr>
              <w:t>1</w:t>
            </w:r>
          </w:p>
        </w:tc>
        <w:tc>
          <w:tcPr>
            <w:tcW w:w="5060" w:type="dxa"/>
            <w:tcBorders>
              <w:top w:val="single" w:sz="1" w:space="0" w:color="999999"/>
              <w:left w:val="single" w:sz="1" w:space="0" w:color="999999"/>
              <w:bottom w:val="single" w:sz="1" w:space="0" w:color="999999"/>
              <w:right w:val="single" w:sz="1" w:space="0" w:color="999999"/>
            </w:tcBorders>
            <w:shd w:val="clear" w:color="auto" w:fill="F0FFF4"/>
            <w:tcMar>
              <w:top w:w="80" w:type="dxa"/>
              <w:left w:w="120" w:type="dxa"/>
              <w:bottom w:w="80" w:type="dxa"/>
              <w:right w:w="120" w:type="dxa"/>
            </w:tcMar>
          </w:tcPr>
          <w:p w14:paraId="1CC32EA4" w14:textId="77777777" w:rsidR="00262109" w:rsidRPr="00262109" w:rsidRDefault="00262109" w:rsidP="00262109">
            <w:pPr>
              <w:rPr>
                <w:rFonts w:ascii="Times New Roman" w:hAnsi="Times New Roman" w:cs="Times New Roman"/>
                <w:sz w:val="20"/>
                <w:szCs w:val="20"/>
              </w:rPr>
            </w:pPr>
            <w:r w:rsidRPr="00262109">
              <w:rPr>
                <w:rFonts w:ascii="Times New Roman" w:eastAsia="Times New Roman" w:hAnsi="Times New Roman" w:cs="Times New Roman"/>
              </w:rPr>
              <w:t>(a) Indicate the study's design with a commonly used term in the title or the abstract</w:t>
            </w:r>
          </w:p>
          <w:p w14:paraId="06E117BB" w14:textId="77777777" w:rsidR="00262109" w:rsidRPr="00262109" w:rsidRDefault="00262109" w:rsidP="00262109">
            <w:pPr>
              <w:rPr>
                <w:rFonts w:ascii="Times New Roman" w:hAnsi="Times New Roman" w:cs="Times New Roman"/>
                <w:sz w:val="20"/>
                <w:szCs w:val="20"/>
              </w:rPr>
            </w:pPr>
          </w:p>
          <w:p w14:paraId="045825B9" w14:textId="77777777" w:rsidR="00262109" w:rsidRPr="00262109" w:rsidRDefault="00262109" w:rsidP="00262109">
            <w:pPr>
              <w:rPr>
                <w:rFonts w:ascii="Times New Roman" w:hAnsi="Times New Roman" w:cs="Times New Roman"/>
                <w:sz w:val="20"/>
                <w:szCs w:val="20"/>
              </w:rPr>
            </w:pPr>
            <w:r w:rsidRPr="00262109">
              <w:rPr>
                <w:rFonts w:ascii="Times New Roman" w:eastAsia="Times New Roman" w:hAnsi="Times New Roman" w:cs="Times New Roman"/>
              </w:rPr>
              <w:t>(b) Provide in the abstract an informative and balanced summary of what was done and what was found</w:t>
            </w:r>
          </w:p>
        </w:tc>
        <w:tc>
          <w:tcPr>
            <w:tcW w:w="3000" w:type="dxa"/>
            <w:tcBorders>
              <w:top w:val="single" w:sz="1" w:space="0" w:color="999999"/>
              <w:left w:val="single" w:sz="1" w:space="0" w:color="999999"/>
              <w:bottom w:val="single" w:sz="1" w:space="0" w:color="999999"/>
              <w:right w:val="single" w:sz="1" w:space="0" w:color="999999"/>
            </w:tcBorders>
            <w:shd w:val="clear" w:color="auto" w:fill="F0FFF4"/>
            <w:tcMar>
              <w:top w:w="80" w:type="dxa"/>
              <w:left w:w="120" w:type="dxa"/>
              <w:bottom w:w="80" w:type="dxa"/>
              <w:right w:w="120" w:type="dxa"/>
            </w:tcMar>
          </w:tcPr>
          <w:p w14:paraId="743F087D" w14:textId="45DBB41C" w:rsidR="00262109" w:rsidRPr="00262109" w:rsidRDefault="0013213C" w:rsidP="00262109">
            <w:pPr>
              <w:rPr>
                <w:rFonts w:ascii="Times New Roman" w:hAnsi="Times New Roman" w:cs="Times New Roman"/>
                <w:sz w:val="20"/>
                <w:szCs w:val="20"/>
              </w:rPr>
            </w:pPr>
            <w:r w:rsidRPr="0013213C">
              <w:rPr>
                <w:rFonts w:ascii="Times New Roman" w:eastAsia="Times New Roman" w:hAnsi="Times New Roman" w:cs="Times New Roman"/>
                <w:color w:val="1A4731"/>
              </w:rPr>
              <w:t>Title: "GLP-1 Receptor Agonists Reduce Aortic Dissection and Hypertensive Crisis in Diabetic Patients with Aortic Aneurysm: A Retrospective Cohort Study"; Abstract: restructured into four sections (Purpose, Methods, Results, Conclusion) per DMSO author guidelines; (structured format, citation-free, ≤250 words)</w:t>
            </w:r>
          </w:p>
        </w:tc>
      </w:tr>
      <w:tr w:rsidR="00262109" w:rsidRPr="00262109" w14:paraId="7F4E79EB" w14:textId="77777777" w:rsidTr="00262109">
        <w:trPr>
          <w:jc w:val="center"/>
        </w:trPr>
        <w:tc>
          <w:tcPr>
            <w:tcW w:w="0" w:type="auto"/>
            <w:gridSpan w:val="3"/>
            <w:tcBorders>
              <w:top w:val="single" w:sz="4" w:space="0" w:color="2C5282"/>
              <w:left w:val="single" w:sz="1" w:space="0" w:color="999999"/>
              <w:bottom w:val="single" w:sz="1" w:space="0" w:color="999999"/>
              <w:right w:val="single" w:sz="1" w:space="0" w:color="999999"/>
            </w:tcBorders>
            <w:shd w:val="clear" w:color="auto" w:fill="D6E4F0"/>
            <w:tcMar>
              <w:top w:w="80" w:type="dxa"/>
              <w:left w:w="120" w:type="dxa"/>
              <w:bottom w:w="80" w:type="dxa"/>
              <w:right w:w="120" w:type="dxa"/>
            </w:tcMar>
          </w:tcPr>
          <w:p w14:paraId="6E8855BF" w14:textId="77777777" w:rsidR="00262109" w:rsidRPr="00262109" w:rsidRDefault="00262109" w:rsidP="00262109">
            <w:pPr>
              <w:rPr>
                <w:rFonts w:ascii="Times New Roman" w:hAnsi="Times New Roman" w:cs="Times New Roman"/>
                <w:sz w:val="20"/>
                <w:szCs w:val="20"/>
              </w:rPr>
            </w:pPr>
            <w:r w:rsidRPr="00262109">
              <w:rPr>
                <w:rFonts w:ascii="Times New Roman" w:eastAsia="Times New Roman" w:hAnsi="Times New Roman" w:cs="Times New Roman"/>
                <w:b/>
                <w:bCs/>
                <w:color w:val="1A365D"/>
                <w:sz w:val="20"/>
                <w:szCs w:val="20"/>
              </w:rPr>
              <w:t>Introduction</w:t>
            </w:r>
          </w:p>
        </w:tc>
      </w:tr>
      <w:tr w:rsidR="00262109" w:rsidRPr="00262109" w14:paraId="527C40E5" w14:textId="77777777" w:rsidTr="00262109">
        <w:trPr>
          <w:jc w:val="center"/>
        </w:trPr>
        <w:tc>
          <w:tcPr>
            <w:tcW w:w="900"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14:paraId="00A81E31" w14:textId="77777777" w:rsidR="00262109" w:rsidRPr="00262109" w:rsidRDefault="00262109" w:rsidP="00262109">
            <w:pPr>
              <w:jc w:val="center"/>
              <w:rPr>
                <w:rFonts w:ascii="Times New Roman" w:hAnsi="Times New Roman" w:cs="Times New Roman"/>
                <w:sz w:val="20"/>
                <w:szCs w:val="20"/>
              </w:rPr>
            </w:pPr>
            <w:r w:rsidRPr="00262109">
              <w:rPr>
                <w:rFonts w:ascii="Times New Roman" w:eastAsia="Times New Roman" w:hAnsi="Times New Roman" w:cs="Times New Roman"/>
              </w:rPr>
              <w:t>2</w:t>
            </w:r>
          </w:p>
        </w:tc>
        <w:tc>
          <w:tcPr>
            <w:tcW w:w="5060"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14:paraId="4C9AEDFB" w14:textId="77777777" w:rsidR="00262109" w:rsidRPr="00262109" w:rsidRDefault="00262109" w:rsidP="00262109">
            <w:pPr>
              <w:rPr>
                <w:rFonts w:ascii="Times New Roman" w:hAnsi="Times New Roman" w:cs="Times New Roman"/>
                <w:sz w:val="20"/>
                <w:szCs w:val="20"/>
              </w:rPr>
            </w:pPr>
            <w:r w:rsidRPr="00262109">
              <w:rPr>
                <w:rFonts w:ascii="Times New Roman" w:eastAsia="Times New Roman" w:hAnsi="Times New Roman" w:cs="Times New Roman"/>
              </w:rPr>
              <w:t>Background/rationale: Explain the scientific background and rationale for the investigation being reported</w:t>
            </w:r>
          </w:p>
        </w:tc>
        <w:tc>
          <w:tcPr>
            <w:tcW w:w="3000"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14:paraId="6EA88827" w14:textId="77777777" w:rsidR="00262109" w:rsidRPr="00262109" w:rsidRDefault="00262109" w:rsidP="00262109">
            <w:pPr>
              <w:rPr>
                <w:rFonts w:ascii="Times New Roman" w:hAnsi="Times New Roman" w:cs="Times New Roman"/>
                <w:sz w:val="20"/>
                <w:szCs w:val="20"/>
              </w:rPr>
            </w:pPr>
            <w:r w:rsidRPr="00262109">
              <w:rPr>
                <w:rFonts w:ascii="Times New Roman" w:eastAsia="Times New Roman" w:hAnsi="Times New Roman" w:cs="Times New Roman"/>
              </w:rPr>
              <w:t>Introduction, paragraphs 1–4</w:t>
            </w:r>
          </w:p>
        </w:tc>
      </w:tr>
      <w:tr w:rsidR="00262109" w:rsidRPr="00262109" w14:paraId="4E09993F" w14:textId="77777777" w:rsidTr="00262109">
        <w:trPr>
          <w:jc w:val="center"/>
        </w:trPr>
        <w:tc>
          <w:tcPr>
            <w:tcW w:w="900"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14:paraId="03D26D6F" w14:textId="77777777" w:rsidR="00262109" w:rsidRPr="00262109" w:rsidRDefault="00262109" w:rsidP="00262109">
            <w:pPr>
              <w:jc w:val="center"/>
              <w:rPr>
                <w:rFonts w:ascii="Times New Roman" w:hAnsi="Times New Roman" w:cs="Times New Roman"/>
                <w:sz w:val="20"/>
                <w:szCs w:val="20"/>
              </w:rPr>
            </w:pPr>
            <w:r w:rsidRPr="00262109">
              <w:rPr>
                <w:rFonts w:ascii="Times New Roman" w:eastAsia="Times New Roman" w:hAnsi="Times New Roman" w:cs="Times New Roman"/>
              </w:rPr>
              <w:t>3</w:t>
            </w:r>
          </w:p>
        </w:tc>
        <w:tc>
          <w:tcPr>
            <w:tcW w:w="5060"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14:paraId="3ABCDF71" w14:textId="77777777" w:rsidR="00262109" w:rsidRPr="00262109" w:rsidRDefault="00262109" w:rsidP="00262109">
            <w:pPr>
              <w:rPr>
                <w:rFonts w:ascii="Times New Roman" w:hAnsi="Times New Roman" w:cs="Times New Roman"/>
                <w:sz w:val="20"/>
                <w:szCs w:val="20"/>
              </w:rPr>
            </w:pPr>
            <w:r w:rsidRPr="00262109">
              <w:rPr>
                <w:rFonts w:ascii="Times New Roman" w:eastAsia="Times New Roman" w:hAnsi="Times New Roman" w:cs="Times New Roman"/>
              </w:rPr>
              <w:t>Objectives: State specific objectives, including any prespecified hypotheses</w:t>
            </w:r>
          </w:p>
        </w:tc>
        <w:tc>
          <w:tcPr>
            <w:tcW w:w="3000"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14:paraId="7AD4BAA7" w14:textId="77777777" w:rsidR="00262109" w:rsidRPr="00262109" w:rsidRDefault="00262109" w:rsidP="00262109">
            <w:pPr>
              <w:rPr>
                <w:rFonts w:ascii="Times New Roman" w:hAnsi="Times New Roman" w:cs="Times New Roman"/>
                <w:sz w:val="20"/>
                <w:szCs w:val="20"/>
              </w:rPr>
            </w:pPr>
            <w:r w:rsidRPr="00262109">
              <w:rPr>
                <w:rFonts w:ascii="Times New Roman" w:eastAsia="Times New Roman" w:hAnsi="Times New Roman" w:cs="Times New Roman"/>
              </w:rPr>
              <w:t>Introduction, final paragraph: "We hypothesized that…"</w:t>
            </w:r>
          </w:p>
        </w:tc>
      </w:tr>
      <w:tr w:rsidR="00262109" w:rsidRPr="00262109" w14:paraId="41FB486B" w14:textId="77777777" w:rsidTr="00262109">
        <w:trPr>
          <w:jc w:val="center"/>
        </w:trPr>
        <w:tc>
          <w:tcPr>
            <w:tcW w:w="0" w:type="auto"/>
            <w:gridSpan w:val="3"/>
            <w:tcBorders>
              <w:top w:val="single" w:sz="4" w:space="0" w:color="2C5282"/>
              <w:left w:val="single" w:sz="1" w:space="0" w:color="999999"/>
              <w:bottom w:val="single" w:sz="1" w:space="0" w:color="999999"/>
              <w:right w:val="single" w:sz="1" w:space="0" w:color="999999"/>
            </w:tcBorders>
            <w:shd w:val="clear" w:color="auto" w:fill="D6E4F0"/>
            <w:tcMar>
              <w:top w:w="80" w:type="dxa"/>
              <w:left w:w="120" w:type="dxa"/>
              <w:bottom w:w="80" w:type="dxa"/>
              <w:right w:w="120" w:type="dxa"/>
            </w:tcMar>
          </w:tcPr>
          <w:p w14:paraId="6148D409" w14:textId="77777777" w:rsidR="00262109" w:rsidRPr="00262109" w:rsidRDefault="00262109" w:rsidP="00262109">
            <w:pPr>
              <w:rPr>
                <w:rFonts w:ascii="Times New Roman" w:hAnsi="Times New Roman" w:cs="Times New Roman"/>
                <w:sz w:val="20"/>
                <w:szCs w:val="20"/>
              </w:rPr>
            </w:pPr>
            <w:r w:rsidRPr="00262109">
              <w:rPr>
                <w:rFonts w:ascii="Times New Roman" w:eastAsia="Times New Roman" w:hAnsi="Times New Roman" w:cs="Times New Roman"/>
                <w:b/>
                <w:bCs/>
                <w:color w:val="1A365D"/>
                <w:sz w:val="20"/>
                <w:szCs w:val="20"/>
              </w:rPr>
              <w:t>Methods</w:t>
            </w:r>
          </w:p>
        </w:tc>
      </w:tr>
      <w:tr w:rsidR="00262109" w:rsidRPr="00262109" w14:paraId="1E3AE6CC" w14:textId="77777777" w:rsidTr="00262109">
        <w:trPr>
          <w:jc w:val="center"/>
        </w:trPr>
        <w:tc>
          <w:tcPr>
            <w:tcW w:w="900"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14:paraId="601600F8" w14:textId="77777777" w:rsidR="00262109" w:rsidRPr="00262109" w:rsidRDefault="00262109" w:rsidP="00262109">
            <w:pPr>
              <w:jc w:val="center"/>
              <w:rPr>
                <w:rFonts w:ascii="Times New Roman" w:hAnsi="Times New Roman" w:cs="Times New Roman"/>
                <w:sz w:val="20"/>
                <w:szCs w:val="20"/>
              </w:rPr>
            </w:pPr>
            <w:r w:rsidRPr="00262109">
              <w:rPr>
                <w:rFonts w:ascii="Times New Roman" w:eastAsia="Times New Roman" w:hAnsi="Times New Roman" w:cs="Times New Roman"/>
              </w:rPr>
              <w:t>4</w:t>
            </w:r>
          </w:p>
        </w:tc>
        <w:tc>
          <w:tcPr>
            <w:tcW w:w="5060"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14:paraId="47300A9A" w14:textId="77777777" w:rsidR="00262109" w:rsidRPr="00262109" w:rsidRDefault="00262109" w:rsidP="00262109">
            <w:pPr>
              <w:rPr>
                <w:rFonts w:ascii="Times New Roman" w:hAnsi="Times New Roman" w:cs="Times New Roman"/>
                <w:sz w:val="20"/>
                <w:szCs w:val="20"/>
              </w:rPr>
            </w:pPr>
            <w:r w:rsidRPr="00262109">
              <w:rPr>
                <w:rFonts w:ascii="Times New Roman" w:eastAsia="Times New Roman" w:hAnsi="Times New Roman" w:cs="Times New Roman"/>
              </w:rPr>
              <w:t>Study design: Present key elements of study design early in the paper</w:t>
            </w:r>
          </w:p>
        </w:tc>
        <w:tc>
          <w:tcPr>
            <w:tcW w:w="3000"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14:paraId="19138DFD" w14:textId="1EA1327E" w:rsidR="00262109" w:rsidRPr="00262109" w:rsidRDefault="00262109" w:rsidP="00262109">
            <w:pPr>
              <w:rPr>
                <w:rFonts w:ascii="Times New Roman" w:hAnsi="Times New Roman" w:cs="Times New Roman"/>
                <w:sz w:val="20"/>
                <w:szCs w:val="20"/>
              </w:rPr>
            </w:pPr>
            <w:r w:rsidRPr="00262109">
              <w:rPr>
                <w:rFonts w:ascii="Times New Roman" w:eastAsia="Times New Roman" w:hAnsi="Times New Roman" w:cs="Times New Roman"/>
              </w:rPr>
              <w:t>Materials and Methods, Data Source: "</w:t>
            </w:r>
            <w:r w:rsidR="008054D2" w:rsidRPr="008054D2">
              <w:rPr>
                <w:rFonts w:ascii="Times New Roman" w:eastAsia="Times New Roman" w:hAnsi="Times New Roman" w:cs="Times New Roman"/>
              </w:rPr>
              <w:t>retrospective, active-comparator, new-user, propensity score–matched cohort study</w:t>
            </w:r>
            <w:r w:rsidRPr="00262109">
              <w:rPr>
                <w:rFonts w:ascii="Times New Roman" w:eastAsia="Times New Roman" w:hAnsi="Times New Roman" w:cs="Times New Roman"/>
              </w:rPr>
              <w:t>"</w:t>
            </w:r>
          </w:p>
        </w:tc>
      </w:tr>
      <w:tr w:rsidR="00262109" w:rsidRPr="00262109" w14:paraId="6C176854" w14:textId="77777777" w:rsidTr="00262109">
        <w:trPr>
          <w:jc w:val="center"/>
        </w:trPr>
        <w:tc>
          <w:tcPr>
            <w:tcW w:w="900"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14:paraId="54B4E950" w14:textId="77777777" w:rsidR="00262109" w:rsidRPr="00262109" w:rsidRDefault="00262109" w:rsidP="00262109">
            <w:pPr>
              <w:jc w:val="center"/>
              <w:rPr>
                <w:rFonts w:ascii="Times New Roman" w:hAnsi="Times New Roman" w:cs="Times New Roman"/>
                <w:sz w:val="20"/>
                <w:szCs w:val="20"/>
              </w:rPr>
            </w:pPr>
            <w:r w:rsidRPr="00262109">
              <w:rPr>
                <w:rFonts w:ascii="Times New Roman" w:eastAsia="Times New Roman" w:hAnsi="Times New Roman" w:cs="Times New Roman"/>
              </w:rPr>
              <w:t>5</w:t>
            </w:r>
          </w:p>
        </w:tc>
        <w:tc>
          <w:tcPr>
            <w:tcW w:w="5060"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14:paraId="3B678DA9" w14:textId="77777777" w:rsidR="00262109" w:rsidRPr="00262109" w:rsidRDefault="00262109" w:rsidP="00262109">
            <w:pPr>
              <w:rPr>
                <w:rFonts w:ascii="Times New Roman" w:hAnsi="Times New Roman" w:cs="Times New Roman"/>
                <w:sz w:val="20"/>
                <w:szCs w:val="20"/>
              </w:rPr>
            </w:pPr>
            <w:r w:rsidRPr="00262109">
              <w:rPr>
                <w:rFonts w:ascii="Times New Roman" w:eastAsia="Times New Roman" w:hAnsi="Times New Roman" w:cs="Times New Roman"/>
              </w:rPr>
              <w:t>Setting: Describe the setting, locations, and relevant dates, including periods of recruitment, exposure, follow-up, and data collection</w:t>
            </w:r>
          </w:p>
        </w:tc>
        <w:tc>
          <w:tcPr>
            <w:tcW w:w="3000"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14:paraId="0EB25FF1" w14:textId="77777777" w:rsidR="00262109" w:rsidRPr="00262109" w:rsidRDefault="00262109" w:rsidP="00262109">
            <w:pPr>
              <w:rPr>
                <w:rFonts w:ascii="Times New Roman" w:hAnsi="Times New Roman" w:cs="Times New Roman"/>
                <w:sz w:val="20"/>
                <w:szCs w:val="20"/>
              </w:rPr>
            </w:pPr>
            <w:r w:rsidRPr="00262109">
              <w:rPr>
                <w:rFonts w:ascii="Times New Roman" w:eastAsia="Times New Roman" w:hAnsi="Times New Roman" w:cs="Times New Roman"/>
              </w:rPr>
              <w:t>Materials and Methods, Data Source: "</w:t>
            </w:r>
            <w:proofErr w:type="spellStart"/>
            <w:r w:rsidRPr="00262109">
              <w:rPr>
                <w:rFonts w:ascii="Times New Roman" w:eastAsia="Times New Roman" w:hAnsi="Times New Roman" w:cs="Times New Roman"/>
              </w:rPr>
              <w:t>TriNetX</w:t>
            </w:r>
            <w:proofErr w:type="spellEnd"/>
            <w:r w:rsidRPr="00262109">
              <w:rPr>
                <w:rFonts w:ascii="Times New Roman" w:eastAsia="Times New Roman" w:hAnsi="Times New Roman" w:cs="Times New Roman"/>
              </w:rPr>
              <w:t xml:space="preserve"> platform… 152 US healthcare organizations"; Study Population: "January 1, 2016 to December 31, 2023"; administrative censoring: August 2, 2025</w:t>
            </w:r>
          </w:p>
        </w:tc>
      </w:tr>
      <w:tr w:rsidR="00262109" w:rsidRPr="00262109" w14:paraId="6C778831" w14:textId="77777777" w:rsidTr="00262109">
        <w:trPr>
          <w:jc w:val="center"/>
        </w:trPr>
        <w:tc>
          <w:tcPr>
            <w:tcW w:w="900"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14:paraId="590A5F2B" w14:textId="77777777" w:rsidR="00262109" w:rsidRPr="00262109" w:rsidRDefault="00262109" w:rsidP="00262109">
            <w:pPr>
              <w:jc w:val="center"/>
              <w:rPr>
                <w:rFonts w:ascii="Times New Roman" w:hAnsi="Times New Roman" w:cs="Times New Roman"/>
                <w:sz w:val="20"/>
                <w:szCs w:val="20"/>
              </w:rPr>
            </w:pPr>
            <w:r w:rsidRPr="00262109">
              <w:rPr>
                <w:rFonts w:ascii="Times New Roman" w:eastAsia="Times New Roman" w:hAnsi="Times New Roman" w:cs="Times New Roman"/>
              </w:rPr>
              <w:t>6</w:t>
            </w:r>
          </w:p>
        </w:tc>
        <w:tc>
          <w:tcPr>
            <w:tcW w:w="5060"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14:paraId="7DF1C9D0" w14:textId="77777777" w:rsidR="00262109" w:rsidRPr="00262109" w:rsidRDefault="00262109" w:rsidP="00262109">
            <w:pPr>
              <w:rPr>
                <w:rFonts w:ascii="Times New Roman" w:hAnsi="Times New Roman" w:cs="Times New Roman"/>
                <w:sz w:val="20"/>
                <w:szCs w:val="20"/>
              </w:rPr>
            </w:pPr>
            <w:r w:rsidRPr="00262109">
              <w:rPr>
                <w:rFonts w:ascii="Times New Roman" w:eastAsia="Times New Roman" w:hAnsi="Times New Roman" w:cs="Times New Roman"/>
              </w:rPr>
              <w:t>(a) Give the eligibility criteria, and the sources and methods of selection of participants. Describe methods of follow-up</w:t>
            </w:r>
          </w:p>
          <w:p w14:paraId="3FD81E8F" w14:textId="77777777" w:rsidR="00262109" w:rsidRPr="00262109" w:rsidRDefault="00262109" w:rsidP="00262109">
            <w:pPr>
              <w:rPr>
                <w:rFonts w:ascii="Times New Roman" w:hAnsi="Times New Roman" w:cs="Times New Roman"/>
                <w:sz w:val="20"/>
                <w:szCs w:val="20"/>
              </w:rPr>
            </w:pPr>
          </w:p>
          <w:p w14:paraId="6119204D" w14:textId="77777777" w:rsidR="00262109" w:rsidRPr="00262109" w:rsidRDefault="00262109" w:rsidP="00262109">
            <w:pPr>
              <w:rPr>
                <w:rFonts w:ascii="Times New Roman" w:hAnsi="Times New Roman" w:cs="Times New Roman"/>
                <w:sz w:val="20"/>
                <w:szCs w:val="20"/>
              </w:rPr>
            </w:pPr>
            <w:r w:rsidRPr="00262109">
              <w:rPr>
                <w:rFonts w:ascii="Times New Roman" w:eastAsia="Times New Roman" w:hAnsi="Times New Roman" w:cs="Times New Roman"/>
              </w:rPr>
              <w:t>(b) For matched studies, give matching criteria and number of exposed and unexposed</w:t>
            </w:r>
          </w:p>
        </w:tc>
        <w:tc>
          <w:tcPr>
            <w:tcW w:w="3000"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14:paraId="1BF90756" w14:textId="77777777" w:rsidR="00262109" w:rsidRPr="00262109" w:rsidRDefault="00262109" w:rsidP="00262109">
            <w:pPr>
              <w:rPr>
                <w:rFonts w:ascii="Times New Roman" w:hAnsi="Times New Roman" w:cs="Times New Roman"/>
                <w:sz w:val="20"/>
                <w:szCs w:val="20"/>
              </w:rPr>
            </w:pPr>
            <w:r w:rsidRPr="00262109">
              <w:rPr>
                <w:rFonts w:ascii="Times New Roman" w:eastAsia="Times New Roman" w:hAnsi="Times New Roman" w:cs="Times New Roman"/>
              </w:rPr>
              <w:t>Materials and Methods, Study Population; Figure 1 (flow diagram); follow-up until outcome, death, or administrative censoring (August 2, 2025)</w:t>
            </w:r>
          </w:p>
          <w:p w14:paraId="3B9B2E28" w14:textId="77777777" w:rsidR="00262109" w:rsidRPr="00262109" w:rsidRDefault="00262109" w:rsidP="00262109">
            <w:pPr>
              <w:rPr>
                <w:rFonts w:ascii="Times New Roman" w:hAnsi="Times New Roman" w:cs="Times New Roman"/>
                <w:sz w:val="20"/>
                <w:szCs w:val="20"/>
              </w:rPr>
            </w:pPr>
          </w:p>
          <w:p w14:paraId="4B468C0C" w14:textId="77777777" w:rsidR="00262109" w:rsidRPr="00262109" w:rsidRDefault="00262109" w:rsidP="00262109">
            <w:pPr>
              <w:rPr>
                <w:rFonts w:ascii="Times New Roman" w:hAnsi="Times New Roman" w:cs="Times New Roman"/>
                <w:sz w:val="20"/>
                <w:szCs w:val="20"/>
              </w:rPr>
            </w:pPr>
            <w:r w:rsidRPr="00262109">
              <w:rPr>
                <w:rFonts w:ascii="Times New Roman" w:eastAsia="Times New Roman" w:hAnsi="Times New Roman" w:cs="Times New Roman"/>
              </w:rPr>
              <w:t>Materials and Methods, Propensity-Score Matching: "1:1… nearest-neighbor matching… caliper width of 0.1"; 3,857 patients per group after matching</w:t>
            </w:r>
          </w:p>
        </w:tc>
      </w:tr>
      <w:tr w:rsidR="00262109" w:rsidRPr="00262109" w14:paraId="59F840A2" w14:textId="77777777" w:rsidTr="00262109">
        <w:trPr>
          <w:jc w:val="center"/>
        </w:trPr>
        <w:tc>
          <w:tcPr>
            <w:tcW w:w="900"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14:paraId="40B0A5DA" w14:textId="77777777" w:rsidR="00262109" w:rsidRPr="00262109" w:rsidRDefault="00262109" w:rsidP="00262109">
            <w:pPr>
              <w:jc w:val="center"/>
              <w:rPr>
                <w:rFonts w:ascii="Times New Roman" w:hAnsi="Times New Roman" w:cs="Times New Roman"/>
                <w:sz w:val="20"/>
                <w:szCs w:val="20"/>
              </w:rPr>
            </w:pPr>
            <w:r w:rsidRPr="00262109">
              <w:rPr>
                <w:rFonts w:ascii="Times New Roman" w:eastAsia="Times New Roman" w:hAnsi="Times New Roman" w:cs="Times New Roman"/>
              </w:rPr>
              <w:t>7</w:t>
            </w:r>
          </w:p>
        </w:tc>
        <w:tc>
          <w:tcPr>
            <w:tcW w:w="5060"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14:paraId="53D78552" w14:textId="77777777" w:rsidR="00262109" w:rsidRPr="00262109" w:rsidRDefault="00262109" w:rsidP="00262109">
            <w:pPr>
              <w:rPr>
                <w:rFonts w:ascii="Times New Roman" w:hAnsi="Times New Roman" w:cs="Times New Roman"/>
                <w:sz w:val="20"/>
                <w:szCs w:val="20"/>
              </w:rPr>
            </w:pPr>
            <w:r w:rsidRPr="00262109">
              <w:rPr>
                <w:rFonts w:ascii="Times New Roman" w:eastAsia="Times New Roman" w:hAnsi="Times New Roman" w:cs="Times New Roman"/>
              </w:rPr>
              <w:t>Variables: Clearly define all outcomes, exposures, predictors, potential confounders, and effect modifiers. Give diagnostic criteria if applicable</w:t>
            </w:r>
          </w:p>
        </w:tc>
        <w:tc>
          <w:tcPr>
            <w:tcW w:w="3000"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14:paraId="0E226E90" w14:textId="77777777" w:rsidR="00262109" w:rsidRPr="00262109" w:rsidRDefault="00262109" w:rsidP="00262109">
            <w:pPr>
              <w:rPr>
                <w:rFonts w:ascii="Times New Roman" w:hAnsi="Times New Roman" w:cs="Times New Roman"/>
                <w:sz w:val="20"/>
                <w:szCs w:val="20"/>
              </w:rPr>
            </w:pPr>
            <w:r w:rsidRPr="00262109">
              <w:rPr>
                <w:rFonts w:ascii="Times New Roman" w:eastAsia="Times New Roman" w:hAnsi="Times New Roman" w:cs="Times New Roman"/>
              </w:rPr>
              <w:t xml:space="preserve">Materials and Methods, Exposure Definition; Outcomes and Follow-up; Table S1 (ICD-10/CPT codes and </w:t>
            </w:r>
            <w:r w:rsidRPr="00262109">
              <w:rPr>
                <w:rFonts w:ascii="Times New Roman" w:eastAsia="Times New Roman" w:hAnsi="Times New Roman" w:cs="Times New Roman"/>
              </w:rPr>
              <w:lastRenderedPageBreak/>
              <w:t>UMLS concepts)</w:t>
            </w:r>
          </w:p>
        </w:tc>
      </w:tr>
      <w:tr w:rsidR="00262109" w:rsidRPr="00262109" w14:paraId="7EFAFEA1" w14:textId="77777777" w:rsidTr="00262109">
        <w:trPr>
          <w:jc w:val="center"/>
        </w:trPr>
        <w:tc>
          <w:tcPr>
            <w:tcW w:w="900"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14:paraId="23D47B24" w14:textId="77777777" w:rsidR="00262109" w:rsidRPr="00262109" w:rsidRDefault="00262109" w:rsidP="00262109">
            <w:pPr>
              <w:jc w:val="center"/>
              <w:rPr>
                <w:rFonts w:ascii="Times New Roman" w:hAnsi="Times New Roman" w:cs="Times New Roman"/>
                <w:sz w:val="20"/>
                <w:szCs w:val="20"/>
              </w:rPr>
            </w:pPr>
            <w:r w:rsidRPr="00262109">
              <w:rPr>
                <w:rFonts w:ascii="Times New Roman" w:eastAsia="Times New Roman" w:hAnsi="Times New Roman" w:cs="Times New Roman"/>
              </w:rPr>
              <w:lastRenderedPageBreak/>
              <w:t>8</w:t>
            </w:r>
          </w:p>
        </w:tc>
        <w:tc>
          <w:tcPr>
            <w:tcW w:w="5060"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14:paraId="2984EA53" w14:textId="77777777" w:rsidR="00262109" w:rsidRPr="00262109" w:rsidRDefault="00262109" w:rsidP="00262109">
            <w:pPr>
              <w:rPr>
                <w:rFonts w:ascii="Times New Roman" w:hAnsi="Times New Roman" w:cs="Times New Roman"/>
                <w:sz w:val="20"/>
                <w:szCs w:val="20"/>
              </w:rPr>
            </w:pPr>
            <w:r w:rsidRPr="00262109">
              <w:rPr>
                <w:rFonts w:ascii="Times New Roman" w:eastAsia="Times New Roman" w:hAnsi="Times New Roman" w:cs="Times New Roman"/>
              </w:rPr>
              <w:t>Data sources/measurement: For each variable of interest, give sources of data and details of methods of assessment</w:t>
            </w:r>
          </w:p>
        </w:tc>
        <w:tc>
          <w:tcPr>
            <w:tcW w:w="3000"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14:paraId="6B1E2840" w14:textId="77777777" w:rsidR="00262109" w:rsidRPr="00262109" w:rsidRDefault="00262109" w:rsidP="00262109">
            <w:pPr>
              <w:rPr>
                <w:rFonts w:ascii="Times New Roman" w:hAnsi="Times New Roman" w:cs="Times New Roman"/>
                <w:sz w:val="20"/>
                <w:szCs w:val="20"/>
              </w:rPr>
            </w:pPr>
            <w:r w:rsidRPr="00262109">
              <w:rPr>
                <w:rFonts w:ascii="Times New Roman" w:eastAsia="Times New Roman" w:hAnsi="Times New Roman" w:cs="Times New Roman"/>
              </w:rPr>
              <w:t>Materials and Methods, Data Source: "de-identified electronic health records"; Table S1 (UMLS concepts and code sets)</w:t>
            </w:r>
          </w:p>
        </w:tc>
      </w:tr>
      <w:tr w:rsidR="00262109" w:rsidRPr="00262109" w14:paraId="77E5C6D1" w14:textId="77777777" w:rsidTr="00262109">
        <w:trPr>
          <w:jc w:val="center"/>
        </w:trPr>
        <w:tc>
          <w:tcPr>
            <w:tcW w:w="900" w:type="dxa"/>
            <w:tcBorders>
              <w:top w:val="single" w:sz="1" w:space="0" w:color="999999"/>
              <w:left w:val="single" w:sz="1" w:space="0" w:color="999999"/>
              <w:bottom w:val="single" w:sz="1" w:space="0" w:color="999999"/>
              <w:right w:val="single" w:sz="1" w:space="0" w:color="999999"/>
            </w:tcBorders>
            <w:shd w:val="clear" w:color="auto" w:fill="F0FFF4"/>
            <w:tcMar>
              <w:top w:w="80" w:type="dxa"/>
              <w:left w:w="120" w:type="dxa"/>
              <w:bottom w:w="80" w:type="dxa"/>
              <w:right w:w="120" w:type="dxa"/>
            </w:tcMar>
          </w:tcPr>
          <w:p w14:paraId="7E076F87" w14:textId="77777777" w:rsidR="00262109" w:rsidRPr="00262109" w:rsidRDefault="00262109" w:rsidP="00262109">
            <w:pPr>
              <w:jc w:val="center"/>
              <w:rPr>
                <w:rFonts w:ascii="Times New Roman" w:hAnsi="Times New Roman" w:cs="Times New Roman"/>
                <w:sz w:val="20"/>
                <w:szCs w:val="20"/>
              </w:rPr>
            </w:pPr>
            <w:r w:rsidRPr="00262109">
              <w:rPr>
                <w:rFonts w:ascii="Times New Roman" w:eastAsia="Times New Roman" w:hAnsi="Times New Roman" w:cs="Times New Roman"/>
              </w:rPr>
              <w:t>9</w:t>
            </w:r>
          </w:p>
        </w:tc>
        <w:tc>
          <w:tcPr>
            <w:tcW w:w="5060" w:type="dxa"/>
            <w:tcBorders>
              <w:top w:val="single" w:sz="1" w:space="0" w:color="999999"/>
              <w:left w:val="single" w:sz="1" w:space="0" w:color="999999"/>
              <w:bottom w:val="single" w:sz="1" w:space="0" w:color="999999"/>
              <w:right w:val="single" w:sz="1" w:space="0" w:color="999999"/>
            </w:tcBorders>
            <w:shd w:val="clear" w:color="auto" w:fill="F0FFF4"/>
            <w:tcMar>
              <w:top w:w="80" w:type="dxa"/>
              <w:left w:w="120" w:type="dxa"/>
              <w:bottom w:w="80" w:type="dxa"/>
              <w:right w:w="120" w:type="dxa"/>
            </w:tcMar>
          </w:tcPr>
          <w:p w14:paraId="7E4E96C9" w14:textId="77777777" w:rsidR="00262109" w:rsidRPr="00262109" w:rsidRDefault="00262109" w:rsidP="00262109">
            <w:pPr>
              <w:rPr>
                <w:rFonts w:ascii="Times New Roman" w:hAnsi="Times New Roman" w:cs="Times New Roman"/>
                <w:sz w:val="20"/>
                <w:szCs w:val="20"/>
              </w:rPr>
            </w:pPr>
            <w:r w:rsidRPr="00262109">
              <w:rPr>
                <w:rFonts w:ascii="Times New Roman" w:eastAsia="Times New Roman" w:hAnsi="Times New Roman" w:cs="Times New Roman"/>
              </w:rPr>
              <w:t>Bias: Describe any efforts to address potential sources of bias</w:t>
            </w:r>
          </w:p>
        </w:tc>
        <w:tc>
          <w:tcPr>
            <w:tcW w:w="3000" w:type="dxa"/>
            <w:tcBorders>
              <w:top w:val="single" w:sz="1" w:space="0" w:color="999999"/>
              <w:left w:val="single" w:sz="1" w:space="0" w:color="999999"/>
              <w:bottom w:val="single" w:sz="1" w:space="0" w:color="999999"/>
              <w:right w:val="single" w:sz="1" w:space="0" w:color="999999"/>
            </w:tcBorders>
            <w:shd w:val="clear" w:color="auto" w:fill="F0FFF4"/>
            <w:tcMar>
              <w:top w:w="80" w:type="dxa"/>
              <w:left w:w="120" w:type="dxa"/>
              <w:bottom w:w="80" w:type="dxa"/>
              <w:right w:w="120" w:type="dxa"/>
            </w:tcMar>
          </w:tcPr>
          <w:p w14:paraId="27FB89E4" w14:textId="3C5B766A" w:rsidR="00262109" w:rsidRPr="00262109" w:rsidRDefault="00262109" w:rsidP="00262109">
            <w:pPr>
              <w:rPr>
                <w:rFonts w:ascii="Times New Roman" w:hAnsi="Times New Roman" w:cs="Times New Roman"/>
                <w:sz w:val="20"/>
                <w:szCs w:val="20"/>
              </w:rPr>
            </w:pPr>
            <w:r w:rsidRPr="00262109">
              <w:rPr>
                <w:rFonts w:ascii="Times New Roman" w:eastAsia="Times New Roman" w:hAnsi="Times New Roman" w:cs="Times New Roman"/>
                <w:color w:val="1A4731"/>
              </w:rPr>
              <w:t xml:space="preserve">Materials and Methods, Propensity-Score Matching (1:1 PSM; </w:t>
            </w:r>
            <w:r w:rsidR="00836B11" w:rsidRPr="00836B11">
              <w:rPr>
                <w:rFonts w:ascii="Times New Roman" w:eastAsia="Times New Roman" w:hAnsi="Times New Roman" w:cs="Times New Roman"/>
                <w:color w:val="1A4731"/>
              </w:rPr>
              <w:t>most covariates achieved standardized differences &lt;0.10 after propensity-score matching, with a small number of variables showing residual imbalance</w:t>
            </w:r>
            <w:r w:rsidRPr="00262109">
              <w:rPr>
                <w:rFonts w:ascii="Times New Roman" w:eastAsia="Times New Roman" w:hAnsi="Times New Roman" w:cs="Times New Roman"/>
                <w:color w:val="1A4731"/>
              </w:rPr>
              <w:t>); active-comparator design using DPP-4i (cardiovascular-neutral in SAVOR-TIMI 53 and EXAMINE) to isolate GLP-1RA–specific effects; Discussion, Strengths and Limitations</w:t>
            </w:r>
          </w:p>
        </w:tc>
      </w:tr>
      <w:tr w:rsidR="00262109" w:rsidRPr="00262109" w14:paraId="0E11C849" w14:textId="77777777" w:rsidTr="00262109">
        <w:trPr>
          <w:jc w:val="center"/>
        </w:trPr>
        <w:tc>
          <w:tcPr>
            <w:tcW w:w="900"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14:paraId="45093BB5" w14:textId="77777777" w:rsidR="00262109" w:rsidRPr="00262109" w:rsidRDefault="00262109" w:rsidP="00262109">
            <w:pPr>
              <w:jc w:val="center"/>
              <w:rPr>
                <w:rFonts w:ascii="Times New Roman" w:hAnsi="Times New Roman" w:cs="Times New Roman"/>
                <w:sz w:val="20"/>
                <w:szCs w:val="20"/>
              </w:rPr>
            </w:pPr>
            <w:r w:rsidRPr="00262109">
              <w:rPr>
                <w:rFonts w:ascii="Times New Roman" w:eastAsia="Times New Roman" w:hAnsi="Times New Roman" w:cs="Times New Roman"/>
              </w:rPr>
              <w:t>10</w:t>
            </w:r>
          </w:p>
        </w:tc>
        <w:tc>
          <w:tcPr>
            <w:tcW w:w="5060"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14:paraId="0E446B4B" w14:textId="77777777" w:rsidR="00262109" w:rsidRPr="00262109" w:rsidRDefault="00262109" w:rsidP="00262109">
            <w:pPr>
              <w:rPr>
                <w:rFonts w:ascii="Times New Roman" w:hAnsi="Times New Roman" w:cs="Times New Roman"/>
                <w:sz w:val="20"/>
                <w:szCs w:val="20"/>
              </w:rPr>
            </w:pPr>
            <w:r w:rsidRPr="00262109">
              <w:rPr>
                <w:rFonts w:ascii="Times New Roman" w:eastAsia="Times New Roman" w:hAnsi="Times New Roman" w:cs="Times New Roman"/>
              </w:rPr>
              <w:t>Study size: Explain how the study size was arrived at</w:t>
            </w:r>
          </w:p>
        </w:tc>
        <w:tc>
          <w:tcPr>
            <w:tcW w:w="3000"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14:paraId="71D4DC3B" w14:textId="77777777" w:rsidR="00262109" w:rsidRPr="00262109" w:rsidRDefault="00262109" w:rsidP="00262109">
            <w:pPr>
              <w:rPr>
                <w:rFonts w:ascii="Times New Roman" w:hAnsi="Times New Roman" w:cs="Times New Roman"/>
                <w:sz w:val="20"/>
                <w:szCs w:val="20"/>
              </w:rPr>
            </w:pPr>
            <w:r w:rsidRPr="00262109">
              <w:rPr>
                <w:rFonts w:ascii="Times New Roman" w:eastAsia="Times New Roman" w:hAnsi="Times New Roman" w:cs="Times New Roman"/>
              </w:rPr>
              <w:t xml:space="preserve">Available data from </w:t>
            </w:r>
            <w:proofErr w:type="spellStart"/>
            <w:r w:rsidRPr="00262109">
              <w:rPr>
                <w:rFonts w:ascii="Times New Roman" w:eastAsia="Times New Roman" w:hAnsi="Times New Roman" w:cs="Times New Roman"/>
              </w:rPr>
              <w:t>TriNetX</w:t>
            </w:r>
            <w:proofErr w:type="spellEnd"/>
            <w:r w:rsidRPr="00262109">
              <w:rPr>
                <w:rFonts w:ascii="Times New Roman" w:eastAsia="Times New Roman" w:hAnsi="Times New Roman" w:cs="Times New Roman"/>
              </w:rPr>
              <w:t xml:space="preserve"> network used (no a priori power calculation). Results: 11,581 patients identified; 3,857 per group after PSM; Figure 1</w:t>
            </w:r>
          </w:p>
        </w:tc>
      </w:tr>
      <w:tr w:rsidR="00262109" w:rsidRPr="00262109" w14:paraId="6EAC14DA" w14:textId="77777777" w:rsidTr="00262109">
        <w:trPr>
          <w:jc w:val="center"/>
        </w:trPr>
        <w:tc>
          <w:tcPr>
            <w:tcW w:w="900"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14:paraId="5B3D4DF1" w14:textId="77777777" w:rsidR="00262109" w:rsidRPr="00262109" w:rsidRDefault="00262109" w:rsidP="00262109">
            <w:pPr>
              <w:jc w:val="center"/>
              <w:rPr>
                <w:rFonts w:ascii="Times New Roman" w:hAnsi="Times New Roman" w:cs="Times New Roman"/>
                <w:sz w:val="20"/>
                <w:szCs w:val="20"/>
              </w:rPr>
            </w:pPr>
            <w:r w:rsidRPr="00262109">
              <w:rPr>
                <w:rFonts w:ascii="Times New Roman" w:eastAsia="Times New Roman" w:hAnsi="Times New Roman" w:cs="Times New Roman"/>
              </w:rPr>
              <w:t>11</w:t>
            </w:r>
          </w:p>
        </w:tc>
        <w:tc>
          <w:tcPr>
            <w:tcW w:w="5060"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14:paraId="59E403F2" w14:textId="77777777" w:rsidR="00262109" w:rsidRPr="00262109" w:rsidRDefault="00262109" w:rsidP="00262109">
            <w:pPr>
              <w:rPr>
                <w:rFonts w:ascii="Times New Roman" w:hAnsi="Times New Roman" w:cs="Times New Roman"/>
                <w:sz w:val="20"/>
                <w:szCs w:val="20"/>
              </w:rPr>
            </w:pPr>
            <w:r w:rsidRPr="00262109">
              <w:rPr>
                <w:rFonts w:ascii="Times New Roman" w:eastAsia="Times New Roman" w:hAnsi="Times New Roman" w:cs="Times New Roman"/>
              </w:rPr>
              <w:t>Quantitative variables: Explain how quantitative variables were handled in the analyses</w:t>
            </w:r>
          </w:p>
        </w:tc>
        <w:tc>
          <w:tcPr>
            <w:tcW w:w="3000"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14:paraId="1B783C40" w14:textId="77777777" w:rsidR="00262109" w:rsidRPr="00262109" w:rsidRDefault="00262109" w:rsidP="00262109">
            <w:pPr>
              <w:rPr>
                <w:rFonts w:ascii="Times New Roman" w:hAnsi="Times New Roman" w:cs="Times New Roman"/>
                <w:sz w:val="20"/>
                <w:szCs w:val="20"/>
              </w:rPr>
            </w:pPr>
            <w:r w:rsidRPr="00262109">
              <w:rPr>
                <w:rFonts w:ascii="Times New Roman" w:eastAsia="Times New Roman" w:hAnsi="Times New Roman" w:cs="Times New Roman"/>
              </w:rPr>
              <w:t>Materials and Methods, Statistical Analysis: age and continuous variables treated as continuous in PS model; Table 1 (mean ± SD for continuous variables); subgroup analyses categorized age, BMI, and HbA1c using prespecified thresholds</w:t>
            </w:r>
          </w:p>
        </w:tc>
      </w:tr>
      <w:tr w:rsidR="00262109" w:rsidRPr="00262109" w14:paraId="08ACFF85" w14:textId="77777777" w:rsidTr="00262109">
        <w:trPr>
          <w:jc w:val="center"/>
        </w:trPr>
        <w:tc>
          <w:tcPr>
            <w:tcW w:w="900" w:type="dxa"/>
            <w:tcBorders>
              <w:top w:val="single" w:sz="1" w:space="0" w:color="999999"/>
              <w:left w:val="single" w:sz="1" w:space="0" w:color="999999"/>
              <w:bottom w:val="single" w:sz="1" w:space="0" w:color="999999"/>
              <w:right w:val="single" w:sz="1" w:space="0" w:color="999999"/>
            </w:tcBorders>
            <w:shd w:val="clear" w:color="auto" w:fill="F0FFF4"/>
            <w:tcMar>
              <w:top w:w="80" w:type="dxa"/>
              <w:left w:w="120" w:type="dxa"/>
              <w:bottom w:w="80" w:type="dxa"/>
              <w:right w:w="120" w:type="dxa"/>
            </w:tcMar>
          </w:tcPr>
          <w:p w14:paraId="5AA8D279" w14:textId="77777777" w:rsidR="00262109" w:rsidRPr="00262109" w:rsidRDefault="00262109" w:rsidP="00262109">
            <w:pPr>
              <w:jc w:val="center"/>
              <w:rPr>
                <w:rFonts w:ascii="Times New Roman" w:hAnsi="Times New Roman" w:cs="Times New Roman"/>
                <w:sz w:val="20"/>
                <w:szCs w:val="20"/>
              </w:rPr>
            </w:pPr>
            <w:r w:rsidRPr="00262109">
              <w:rPr>
                <w:rFonts w:ascii="Times New Roman" w:eastAsia="Times New Roman" w:hAnsi="Times New Roman" w:cs="Times New Roman"/>
              </w:rPr>
              <w:t>12</w:t>
            </w:r>
          </w:p>
        </w:tc>
        <w:tc>
          <w:tcPr>
            <w:tcW w:w="5060" w:type="dxa"/>
            <w:tcBorders>
              <w:top w:val="single" w:sz="1" w:space="0" w:color="999999"/>
              <w:left w:val="single" w:sz="1" w:space="0" w:color="999999"/>
              <w:bottom w:val="single" w:sz="1" w:space="0" w:color="999999"/>
              <w:right w:val="single" w:sz="1" w:space="0" w:color="999999"/>
            </w:tcBorders>
            <w:shd w:val="clear" w:color="auto" w:fill="F0FFF4"/>
            <w:tcMar>
              <w:top w:w="80" w:type="dxa"/>
              <w:left w:w="120" w:type="dxa"/>
              <w:bottom w:w="80" w:type="dxa"/>
              <w:right w:w="120" w:type="dxa"/>
            </w:tcMar>
          </w:tcPr>
          <w:p w14:paraId="199F5FB9" w14:textId="77777777" w:rsidR="00262109" w:rsidRPr="00262109" w:rsidRDefault="00262109" w:rsidP="00262109">
            <w:pPr>
              <w:rPr>
                <w:rFonts w:ascii="Times New Roman" w:hAnsi="Times New Roman" w:cs="Times New Roman"/>
                <w:sz w:val="20"/>
                <w:szCs w:val="20"/>
              </w:rPr>
            </w:pPr>
            <w:r w:rsidRPr="00262109">
              <w:rPr>
                <w:rFonts w:ascii="Times New Roman" w:eastAsia="Times New Roman" w:hAnsi="Times New Roman" w:cs="Times New Roman"/>
              </w:rPr>
              <w:t>(a) Describe all statistical methods, including those used to control for confounding</w:t>
            </w:r>
          </w:p>
          <w:p w14:paraId="1228080A" w14:textId="77777777" w:rsidR="00262109" w:rsidRPr="00262109" w:rsidRDefault="00262109" w:rsidP="00262109">
            <w:pPr>
              <w:rPr>
                <w:rFonts w:ascii="Times New Roman" w:hAnsi="Times New Roman" w:cs="Times New Roman"/>
                <w:sz w:val="20"/>
                <w:szCs w:val="20"/>
              </w:rPr>
            </w:pPr>
          </w:p>
          <w:p w14:paraId="24C91438" w14:textId="77777777" w:rsidR="00262109" w:rsidRPr="00262109" w:rsidRDefault="00262109" w:rsidP="00262109">
            <w:pPr>
              <w:rPr>
                <w:rFonts w:ascii="Times New Roman" w:hAnsi="Times New Roman" w:cs="Times New Roman"/>
                <w:sz w:val="20"/>
                <w:szCs w:val="20"/>
              </w:rPr>
            </w:pPr>
            <w:r w:rsidRPr="00262109">
              <w:rPr>
                <w:rFonts w:ascii="Times New Roman" w:eastAsia="Times New Roman" w:hAnsi="Times New Roman" w:cs="Times New Roman"/>
              </w:rPr>
              <w:t>(b) Describe any methods used to examine subgroups and interactions</w:t>
            </w:r>
          </w:p>
          <w:p w14:paraId="51195EBE" w14:textId="77777777" w:rsidR="00262109" w:rsidRPr="00262109" w:rsidRDefault="00262109" w:rsidP="00262109">
            <w:pPr>
              <w:rPr>
                <w:rFonts w:ascii="Times New Roman" w:hAnsi="Times New Roman" w:cs="Times New Roman"/>
                <w:sz w:val="20"/>
                <w:szCs w:val="20"/>
              </w:rPr>
            </w:pPr>
          </w:p>
          <w:p w14:paraId="555473EB" w14:textId="77777777" w:rsidR="00262109" w:rsidRPr="00262109" w:rsidRDefault="00262109" w:rsidP="00262109">
            <w:pPr>
              <w:rPr>
                <w:rFonts w:ascii="Times New Roman" w:hAnsi="Times New Roman" w:cs="Times New Roman"/>
                <w:sz w:val="20"/>
                <w:szCs w:val="20"/>
              </w:rPr>
            </w:pPr>
            <w:r w:rsidRPr="00262109">
              <w:rPr>
                <w:rFonts w:ascii="Times New Roman" w:eastAsia="Times New Roman" w:hAnsi="Times New Roman" w:cs="Times New Roman"/>
              </w:rPr>
              <w:t>(c) Explain how missing data were addressed</w:t>
            </w:r>
          </w:p>
          <w:p w14:paraId="23EFD07F" w14:textId="77777777" w:rsidR="00262109" w:rsidRPr="00262109" w:rsidRDefault="00262109" w:rsidP="00262109">
            <w:pPr>
              <w:rPr>
                <w:rFonts w:ascii="Times New Roman" w:hAnsi="Times New Roman" w:cs="Times New Roman"/>
                <w:sz w:val="20"/>
                <w:szCs w:val="20"/>
              </w:rPr>
            </w:pPr>
          </w:p>
          <w:p w14:paraId="421E4E9C" w14:textId="77777777" w:rsidR="00262109" w:rsidRPr="00262109" w:rsidRDefault="00262109" w:rsidP="00262109">
            <w:pPr>
              <w:rPr>
                <w:rFonts w:ascii="Times New Roman" w:hAnsi="Times New Roman" w:cs="Times New Roman"/>
                <w:sz w:val="20"/>
                <w:szCs w:val="20"/>
              </w:rPr>
            </w:pPr>
            <w:r w:rsidRPr="00262109">
              <w:rPr>
                <w:rFonts w:ascii="Times New Roman" w:eastAsia="Times New Roman" w:hAnsi="Times New Roman" w:cs="Times New Roman"/>
              </w:rPr>
              <w:t>(d) If applicable, describe analytical methods taking account of sampling strategy</w:t>
            </w:r>
          </w:p>
          <w:p w14:paraId="1FBA9289" w14:textId="77777777" w:rsidR="00262109" w:rsidRPr="00262109" w:rsidRDefault="00262109" w:rsidP="00262109">
            <w:pPr>
              <w:rPr>
                <w:rFonts w:ascii="Times New Roman" w:hAnsi="Times New Roman" w:cs="Times New Roman"/>
                <w:sz w:val="20"/>
                <w:szCs w:val="20"/>
              </w:rPr>
            </w:pPr>
          </w:p>
          <w:p w14:paraId="53945FC5" w14:textId="77777777" w:rsidR="00262109" w:rsidRPr="00262109" w:rsidRDefault="00262109" w:rsidP="00262109">
            <w:pPr>
              <w:rPr>
                <w:rFonts w:ascii="Times New Roman" w:hAnsi="Times New Roman" w:cs="Times New Roman"/>
                <w:sz w:val="20"/>
                <w:szCs w:val="20"/>
              </w:rPr>
            </w:pPr>
            <w:r w:rsidRPr="00262109">
              <w:rPr>
                <w:rFonts w:ascii="Times New Roman" w:eastAsia="Times New Roman" w:hAnsi="Times New Roman" w:cs="Times New Roman"/>
              </w:rPr>
              <w:t>(e) Describe any sensitivity analyses</w:t>
            </w:r>
          </w:p>
        </w:tc>
        <w:tc>
          <w:tcPr>
            <w:tcW w:w="3000" w:type="dxa"/>
            <w:tcBorders>
              <w:top w:val="single" w:sz="1" w:space="0" w:color="999999"/>
              <w:left w:val="single" w:sz="1" w:space="0" w:color="999999"/>
              <w:bottom w:val="single" w:sz="1" w:space="0" w:color="999999"/>
              <w:right w:val="single" w:sz="1" w:space="0" w:color="999999"/>
            </w:tcBorders>
            <w:shd w:val="clear" w:color="auto" w:fill="F0FFF4"/>
            <w:tcMar>
              <w:top w:w="80" w:type="dxa"/>
              <w:left w:w="120" w:type="dxa"/>
              <w:bottom w:w="80" w:type="dxa"/>
              <w:right w:w="120" w:type="dxa"/>
            </w:tcMar>
          </w:tcPr>
          <w:p w14:paraId="7E2AE5C6" w14:textId="77777777" w:rsidR="00262109" w:rsidRPr="00262109" w:rsidRDefault="00262109" w:rsidP="00262109">
            <w:pPr>
              <w:rPr>
                <w:rFonts w:ascii="Times New Roman" w:hAnsi="Times New Roman" w:cs="Times New Roman"/>
                <w:sz w:val="20"/>
                <w:szCs w:val="20"/>
              </w:rPr>
            </w:pPr>
            <w:r w:rsidRPr="00262109">
              <w:rPr>
                <w:rFonts w:ascii="Times New Roman" w:eastAsia="Times New Roman" w:hAnsi="Times New Roman" w:cs="Times New Roman"/>
                <w:color w:val="1A4731"/>
              </w:rPr>
              <w:t>(a) Materials and Methods, Statistical Analysis: Cox proportional hazards models stratified by matched pairs; Kaplan–Meier survival analysis; log-rank tests; NNT derived from absolute risk reduction</w:t>
            </w:r>
          </w:p>
          <w:p w14:paraId="4EBDDBA2" w14:textId="77777777" w:rsidR="00262109" w:rsidRPr="00262109" w:rsidRDefault="00262109" w:rsidP="00262109">
            <w:pPr>
              <w:rPr>
                <w:rFonts w:ascii="Times New Roman" w:hAnsi="Times New Roman" w:cs="Times New Roman"/>
                <w:sz w:val="20"/>
                <w:szCs w:val="20"/>
              </w:rPr>
            </w:pPr>
          </w:p>
          <w:p w14:paraId="649FB5AF" w14:textId="77777777" w:rsidR="00262109" w:rsidRPr="00262109" w:rsidRDefault="00262109" w:rsidP="00262109">
            <w:pPr>
              <w:rPr>
                <w:rFonts w:ascii="Times New Roman" w:hAnsi="Times New Roman" w:cs="Times New Roman"/>
                <w:sz w:val="20"/>
                <w:szCs w:val="20"/>
              </w:rPr>
            </w:pPr>
            <w:r w:rsidRPr="00262109">
              <w:rPr>
                <w:rFonts w:ascii="Times New Roman" w:eastAsia="Times New Roman" w:hAnsi="Times New Roman" w:cs="Times New Roman"/>
              </w:rPr>
              <w:t>(b) Results: Pre-specified subgroup analyses by age (&lt;65 vs ≥65), sex, race, BMI, HbA1c (&lt;9% vs ≥9%), and major comorbidities (Figures 3, 5, 7); univariable Cox models per subgroup</w:t>
            </w:r>
          </w:p>
          <w:p w14:paraId="5E09E0A0" w14:textId="77777777" w:rsidR="00262109" w:rsidRPr="00262109" w:rsidRDefault="00262109" w:rsidP="00262109">
            <w:pPr>
              <w:rPr>
                <w:rFonts w:ascii="Times New Roman" w:hAnsi="Times New Roman" w:cs="Times New Roman"/>
                <w:sz w:val="20"/>
                <w:szCs w:val="20"/>
              </w:rPr>
            </w:pPr>
          </w:p>
          <w:p w14:paraId="3BFB431A" w14:textId="77777777" w:rsidR="00262109" w:rsidRPr="00262109" w:rsidRDefault="00262109" w:rsidP="00262109">
            <w:pPr>
              <w:rPr>
                <w:rFonts w:ascii="Times New Roman" w:hAnsi="Times New Roman" w:cs="Times New Roman"/>
                <w:sz w:val="20"/>
                <w:szCs w:val="20"/>
              </w:rPr>
            </w:pPr>
            <w:r w:rsidRPr="00262109">
              <w:rPr>
                <w:rFonts w:ascii="Times New Roman" w:eastAsia="Times New Roman" w:hAnsi="Times New Roman" w:cs="Times New Roman"/>
              </w:rPr>
              <w:t xml:space="preserve">(c) Methods: </w:t>
            </w:r>
            <w:proofErr w:type="spellStart"/>
            <w:r w:rsidRPr="00262109">
              <w:rPr>
                <w:rFonts w:ascii="Times New Roman" w:eastAsia="Times New Roman" w:hAnsi="Times New Roman" w:cs="Times New Roman"/>
              </w:rPr>
              <w:t>TriNetX</w:t>
            </w:r>
            <w:proofErr w:type="spellEnd"/>
            <w:r w:rsidRPr="00262109">
              <w:rPr>
                <w:rFonts w:ascii="Times New Roman" w:eastAsia="Times New Roman" w:hAnsi="Times New Roman" w:cs="Times New Roman"/>
              </w:rPr>
              <w:t xml:space="preserve"> PSM incorporated "availability of key laboratory values" as a covariate to account for differential measurement; aggregate EHR data preclude individual-level missingness quantification</w:t>
            </w:r>
          </w:p>
          <w:p w14:paraId="314A0248" w14:textId="77777777" w:rsidR="00262109" w:rsidRPr="00262109" w:rsidRDefault="00262109" w:rsidP="00262109">
            <w:pPr>
              <w:rPr>
                <w:rFonts w:ascii="Times New Roman" w:hAnsi="Times New Roman" w:cs="Times New Roman"/>
                <w:sz w:val="20"/>
                <w:szCs w:val="20"/>
              </w:rPr>
            </w:pPr>
          </w:p>
          <w:p w14:paraId="7F4642B8" w14:textId="77777777" w:rsidR="00262109" w:rsidRPr="00262109" w:rsidRDefault="00262109" w:rsidP="00262109">
            <w:pPr>
              <w:rPr>
                <w:rFonts w:ascii="Times New Roman" w:hAnsi="Times New Roman" w:cs="Times New Roman"/>
                <w:sz w:val="20"/>
                <w:szCs w:val="20"/>
              </w:rPr>
            </w:pPr>
            <w:r w:rsidRPr="00262109">
              <w:rPr>
                <w:rFonts w:ascii="Times New Roman" w:eastAsia="Times New Roman" w:hAnsi="Times New Roman" w:cs="Times New Roman"/>
              </w:rPr>
              <w:t xml:space="preserve">(d) N/A (not applicable — </w:t>
            </w:r>
            <w:proofErr w:type="spellStart"/>
            <w:r w:rsidRPr="00262109">
              <w:rPr>
                <w:rFonts w:ascii="Times New Roman" w:eastAsia="Times New Roman" w:hAnsi="Times New Roman" w:cs="Times New Roman"/>
              </w:rPr>
              <w:t>TriNetX</w:t>
            </w:r>
            <w:proofErr w:type="spellEnd"/>
            <w:r w:rsidRPr="00262109">
              <w:rPr>
                <w:rFonts w:ascii="Times New Roman" w:eastAsia="Times New Roman" w:hAnsi="Times New Roman" w:cs="Times New Roman"/>
              </w:rPr>
              <w:t xml:space="preserve"> provides patient-level rather than survey-weighted data)</w:t>
            </w:r>
          </w:p>
          <w:p w14:paraId="457A8062" w14:textId="77777777" w:rsidR="00262109" w:rsidRPr="00262109" w:rsidRDefault="00262109" w:rsidP="00262109">
            <w:pPr>
              <w:rPr>
                <w:rFonts w:ascii="Times New Roman" w:hAnsi="Times New Roman" w:cs="Times New Roman"/>
                <w:sz w:val="20"/>
                <w:szCs w:val="20"/>
              </w:rPr>
            </w:pPr>
          </w:p>
          <w:p w14:paraId="079C0D0A" w14:textId="77777777" w:rsidR="00262109" w:rsidRPr="00262109" w:rsidRDefault="00262109" w:rsidP="00262109">
            <w:pPr>
              <w:rPr>
                <w:rFonts w:ascii="Times New Roman" w:hAnsi="Times New Roman" w:cs="Times New Roman"/>
                <w:sz w:val="20"/>
                <w:szCs w:val="20"/>
              </w:rPr>
            </w:pPr>
            <w:r w:rsidRPr="00262109">
              <w:rPr>
                <w:rFonts w:ascii="Times New Roman" w:eastAsia="Times New Roman" w:hAnsi="Times New Roman" w:cs="Times New Roman"/>
              </w:rPr>
              <w:t xml:space="preserve">(e) No formal pre-specified sensitivity analyses (e.g., alternative PS caliper, E-value) were conducted; subgroup analyses serve as exploratory </w:t>
            </w:r>
            <w:r w:rsidRPr="00262109">
              <w:rPr>
                <w:rFonts w:ascii="Times New Roman" w:eastAsia="Times New Roman" w:hAnsi="Times New Roman" w:cs="Times New Roman"/>
              </w:rPr>
              <w:lastRenderedPageBreak/>
              <w:t>consistency checks. This is acknowledged as a study limitation.</w:t>
            </w:r>
          </w:p>
        </w:tc>
      </w:tr>
      <w:tr w:rsidR="00262109" w:rsidRPr="00262109" w14:paraId="160BBC8B" w14:textId="77777777" w:rsidTr="00262109">
        <w:trPr>
          <w:jc w:val="center"/>
        </w:trPr>
        <w:tc>
          <w:tcPr>
            <w:tcW w:w="0" w:type="auto"/>
            <w:gridSpan w:val="3"/>
            <w:tcBorders>
              <w:top w:val="single" w:sz="4" w:space="0" w:color="2C5282"/>
              <w:left w:val="single" w:sz="1" w:space="0" w:color="999999"/>
              <w:bottom w:val="single" w:sz="1" w:space="0" w:color="999999"/>
              <w:right w:val="single" w:sz="1" w:space="0" w:color="999999"/>
            </w:tcBorders>
            <w:shd w:val="clear" w:color="auto" w:fill="D6E4F0"/>
            <w:tcMar>
              <w:top w:w="80" w:type="dxa"/>
              <w:left w:w="120" w:type="dxa"/>
              <w:bottom w:w="80" w:type="dxa"/>
              <w:right w:w="120" w:type="dxa"/>
            </w:tcMar>
          </w:tcPr>
          <w:p w14:paraId="6FD33E59" w14:textId="77777777" w:rsidR="00262109" w:rsidRPr="00262109" w:rsidRDefault="00262109" w:rsidP="00262109">
            <w:pPr>
              <w:rPr>
                <w:rFonts w:ascii="Times New Roman" w:hAnsi="Times New Roman" w:cs="Times New Roman"/>
                <w:sz w:val="20"/>
                <w:szCs w:val="20"/>
              </w:rPr>
            </w:pPr>
            <w:r w:rsidRPr="00262109">
              <w:rPr>
                <w:rFonts w:ascii="Times New Roman" w:eastAsia="Times New Roman" w:hAnsi="Times New Roman" w:cs="Times New Roman"/>
                <w:b/>
                <w:bCs/>
                <w:color w:val="1A365D"/>
                <w:sz w:val="20"/>
                <w:szCs w:val="20"/>
              </w:rPr>
              <w:lastRenderedPageBreak/>
              <w:t>Results</w:t>
            </w:r>
          </w:p>
        </w:tc>
      </w:tr>
      <w:tr w:rsidR="00262109" w:rsidRPr="00262109" w14:paraId="33DFA409" w14:textId="77777777" w:rsidTr="00262109">
        <w:trPr>
          <w:jc w:val="center"/>
        </w:trPr>
        <w:tc>
          <w:tcPr>
            <w:tcW w:w="900"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14:paraId="5B4CDCAA" w14:textId="77777777" w:rsidR="00262109" w:rsidRPr="00262109" w:rsidRDefault="00262109" w:rsidP="00262109">
            <w:pPr>
              <w:jc w:val="center"/>
              <w:rPr>
                <w:rFonts w:ascii="Times New Roman" w:hAnsi="Times New Roman" w:cs="Times New Roman"/>
                <w:sz w:val="20"/>
                <w:szCs w:val="20"/>
              </w:rPr>
            </w:pPr>
            <w:r w:rsidRPr="00262109">
              <w:rPr>
                <w:rFonts w:ascii="Times New Roman" w:eastAsia="Times New Roman" w:hAnsi="Times New Roman" w:cs="Times New Roman"/>
              </w:rPr>
              <w:t>13</w:t>
            </w:r>
          </w:p>
        </w:tc>
        <w:tc>
          <w:tcPr>
            <w:tcW w:w="5060"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14:paraId="2EBA3A21" w14:textId="77777777" w:rsidR="00262109" w:rsidRPr="00262109" w:rsidRDefault="00262109" w:rsidP="00262109">
            <w:pPr>
              <w:rPr>
                <w:rFonts w:ascii="Times New Roman" w:hAnsi="Times New Roman" w:cs="Times New Roman"/>
                <w:sz w:val="20"/>
                <w:szCs w:val="20"/>
              </w:rPr>
            </w:pPr>
            <w:r w:rsidRPr="00262109">
              <w:rPr>
                <w:rFonts w:ascii="Times New Roman" w:eastAsia="Times New Roman" w:hAnsi="Times New Roman" w:cs="Times New Roman"/>
              </w:rPr>
              <w:t>(a) Report numbers of individuals at each stage of study</w:t>
            </w:r>
          </w:p>
          <w:p w14:paraId="3954CBB2" w14:textId="77777777" w:rsidR="00262109" w:rsidRPr="00262109" w:rsidRDefault="00262109" w:rsidP="00262109">
            <w:pPr>
              <w:rPr>
                <w:rFonts w:ascii="Times New Roman" w:hAnsi="Times New Roman" w:cs="Times New Roman"/>
                <w:sz w:val="20"/>
                <w:szCs w:val="20"/>
              </w:rPr>
            </w:pPr>
          </w:p>
          <w:p w14:paraId="05173EFD" w14:textId="77777777" w:rsidR="00262109" w:rsidRPr="00262109" w:rsidRDefault="00262109" w:rsidP="00262109">
            <w:pPr>
              <w:rPr>
                <w:rFonts w:ascii="Times New Roman" w:hAnsi="Times New Roman" w:cs="Times New Roman"/>
                <w:sz w:val="20"/>
                <w:szCs w:val="20"/>
              </w:rPr>
            </w:pPr>
            <w:r w:rsidRPr="00262109">
              <w:rPr>
                <w:rFonts w:ascii="Times New Roman" w:eastAsia="Times New Roman" w:hAnsi="Times New Roman" w:cs="Times New Roman"/>
              </w:rPr>
              <w:t>(b) Give reasons for non-participation at each stage</w:t>
            </w:r>
          </w:p>
          <w:p w14:paraId="67D822C9" w14:textId="77777777" w:rsidR="00262109" w:rsidRPr="00262109" w:rsidRDefault="00262109" w:rsidP="00262109">
            <w:pPr>
              <w:rPr>
                <w:rFonts w:ascii="Times New Roman" w:hAnsi="Times New Roman" w:cs="Times New Roman"/>
                <w:sz w:val="20"/>
                <w:szCs w:val="20"/>
              </w:rPr>
            </w:pPr>
          </w:p>
          <w:p w14:paraId="69BB5FAB" w14:textId="77777777" w:rsidR="00262109" w:rsidRPr="00262109" w:rsidRDefault="00262109" w:rsidP="00262109">
            <w:pPr>
              <w:rPr>
                <w:rFonts w:ascii="Times New Roman" w:hAnsi="Times New Roman" w:cs="Times New Roman"/>
                <w:sz w:val="20"/>
                <w:szCs w:val="20"/>
              </w:rPr>
            </w:pPr>
            <w:r w:rsidRPr="00262109">
              <w:rPr>
                <w:rFonts w:ascii="Times New Roman" w:eastAsia="Times New Roman" w:hAnsi="Times New Roman" w:cs="Times New Roman"/>
              </w:rPr>
              <w:t>(c) Consider use of a flow diagram</w:t>
            </w:r>
          </w:p>
        </w:tc>
        <w:tc>
          <w:tcPr>
            <w:tcW w:w="3000"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14:paraId="54521D7A" w14:textId="77777777" w:rsidR="00262109" w:rsidRPr="00262109" w:rsidRDefault="00262109" w:rsidP="00262109">
            <w:pPr>
              <w:rPr>
                <w:rFonts w:ascii="Times New Roman" w:hAnsi="Times New Roman" w:cs="Times New Roman"/>
                <w:sz w:val="20"/>
                <w:szCs w:val="20"/>
              </w:rPr>
            </w:pPr>
            <w:r w:rsidRPr="00262109">
              <w:rPr>
                <w:rFonts w:ascii="Times New Roman" w:eastAsia="Times New Roman" w:hAnsi="Times New Roman" w:cs="Times New Roman"/>
              </w:rPr>
              <w:t>(a) Figure 1; Results, Study Population: 11,581 identified (GLP-1RA n=5,676; DPP-4i n=5,905) → 7,714 matched (3,857 per group)</w:t>
            </w:r>
          </w:p>
          <w:p w14:paraId="6D41C2E9" w14:textId="77777777" w:rsidR="00262109" w:rsidRPr="00262109" w:rsidRDefault="00262109" w:rsidP="00262109">
            <w:pPr>
              <w:rPr>
                <w:rFonts w:ascii="Times New Roman" w:hAnsi="Times New Roman" w:cs="Times New Roman"/>
                <w:sz w:val="20"/>
                <w:szCs w:val="20"/>
              </w:rPr>
            </w:pPr>
          </w:p>
          <w:p w14:paraId="0EDF4C93" w14:textId="77777777" w:rsidR="00262109" w:rsidRPr="00262109" w:rsidRDefault="00262109" w:rsidP="00262109">
            <w:pPr>
              <w:rPr>
                <w:rFonts w:ascii="Times New Roman" w:hAnsi="Times New Roman" w:cs="Times New Roman"/>
                <w:sz w:val="20"/>
                <w:szCs w:val="20"/>
              </w:rPr>
            </w:pPr>
            <w:r w:rsidRPr="00262109">
              <w:rPr>
                <w:rFonts w:ascii="Times New Roman" w:eastAsia="Times New Roman" w:hAnsi="Times New Roman" w:cs="Times New Roman"/>
              </w:rPr>
              <w:t>(b) Figure 1: exclusion criteria listed (age &lt;18, ruptured aneurysm history, prior aortic repair)</w:t>
            </w:r>
          </w:p>
          <w:p w14:paraId="2789547B" w14:textId="77777777" w:rsidR="00262109" w:rsidRPr="00262109" w:rsidRDefault="00262109" w:rsidP="00262109">
            <w:pPr>
              <w:rPr>
                <w:rFonts w:ascii="Times New Roman" w:hAnsi="Times New Roman" w:cs="Times New Roman"/>
                <w:sz w:val="20"/>
                <w:szCs w:val="20"/>
              </w:rPr>
            </w:pPr>
          </w:p>
          <w:p w14:paraId="5A7ACB8C" w14:textId="77777777" w:rsidR="00262109" w:rsidRPr="00262109" w:rsidRDefault="00262109" w:rsidP="00262109">
            <w:pPr>
              <w:rPr>
                <w:rFonts w:ascii="Times New Roman" w:hAnsi="Times New Roman" w:cs="Times New Roman"/>
                <w:sz w:val="20"/>
                <w:szCs w:val="20"/>
              </w:rPr>
            </w:pPr>
            <w:r w:rsidRPr="00262109">
              <w:rPr>
                <w:rFonts w:ascii="Times New Roman" w:eastAsia="Times New Roman" w:hAnsi="Times New Roman" w:cs="Times New Roman"/>
              </w:rPr>
              <w:t>(c) Figure 1 (CONSORT-style flow diagram)</w:t>
            </w:r>
          </w:p>
        </w:tc>
      </w:tr>
      <w:tr w:rsidR="00262109" w:rsidRPr="00262109" w14:paraId="7365D6AD" w14:textId="77777777" w:rsidTr="00262109">
        <w:trPr>
          <w:jc w:val="center"/>
        </w:trPr>
        <w:tc>
          <w:tcPr>
            <w:tcW w:w="900" w:type="dxa"/>
            <w:tcBorders>
              <w:top w:val="single" w:sz="1" w:space="0" w:color="999999"/>
              <w:left w:val="single" w:sz="1" w:space="0" w:color="999999"/>
              <w:bottom w:val="single" w:sz="1" w:space="0" w:color="999999"/>
              <w:right w:val="single" w:sz="1" w:space="0" w:color="999999"/>
            </w:tcBorders>
            <w:shd w:val="clear" w:color="auto" w:fill="F0FFF4"/>
            <w:tcMar>
              <w:top w:w="80" w:type="dxa"/>
              <w:left w:w="120" w:type="dxa"/>
              <w:bottom w:w="80" w:type="dxa"/>
              <w:right w:w="120" w:type="dxa"/>
            </w:tcMar>
          </w:tcPr>
          <w:p w14:paraId="25A4AF82" w14:textId="77777777" w:rsidR="00262109" w:rsidRPr="00262109" w:rsidRDefault="00262109" w:rsidP="00262109">
            <w:pPr>
              <w:jc w:val="center"/>
              <w:rPr>
                <w:rFonts w:ascii="Times New Roman" w:hAnsi="Times New Roman" w:cs="Times New Roman"/>
                <w:sz w:val="20"/>
                <w:szCs w:val="20"/>
              </w:rPr>
            </w:pPr>
            <w:r w:rsidRPr="00262109">
              <w:rPr>
                <w:rFonts w:ascii="Times New Roman" w:eastAsia="Times New Roman" w:hAnsi="Times New Roman" w:cs="Times New Roman"/>
              </w:rPr>
              <w:t>14</w:t>
            </w:r>
          </w:p>
        </w:tc>
        <w:tc>
          <w:tcPr>
            <w:tcW w:w="5060" w:type="dxa"/>
            <w:tcBorders>
              <w:top w:val="single" w:sz="1" w:space="0" w:color="999999"/>
              <w:left w:val="single" w:sz="1" w:space="0" w:color="999999"/>
              <w:bottom w:val="single" w:sz="1" w:space="0" w:color="999999"/>
              <w:right w:val="single" w:sz="1" w:space="0" w:color="999999"/>
            </w:tcBorders>
            <w:shd w:val="clear" w:color="auto" w:fill="F0FFF4"/>
            <w:tcMar>
              <w:top w:w="80" w:type="dxa"/>
              <w:left w:w="120" w:type="dxa"/>
              <w:bottom w:w="80" w:type="dxa"/>
              <w:right w:w="120" w:type="dxa"/>
            </w:tcMar>
          </w:tcPr>
          <w:p w14:paraId="39EDD795" w14:textId="77777777" w:rsidR="00262109" w:rsidRPr="00262109" w:rsidRDefault="00262109" w:rsidP="00262109">
            <w:pPr>
              <w:rPr>
                <w:rFonts w:ascii="Times New Roman" w:hAnsi="Times New Roman" w:cs="Times New Roman"/>
                <w:sz w:val="20"/>
                <w:szCs w:val="20"/>
              </w:rPr>
            </w:pPr>
            <w:r w:rsidRPr="00262109">
              <w:rPr>
                <w:rFonts w:ascii="Times New Roman" w:eastAsia="Times New Roman" w:hAnsi="Times New Roman" w:cs="Times New Roman"/>
              </w:rPr>
              <w:t>(a) Give characteristics of study participants and information on exposures and potential confounders</w:t>
            </w:r>
          </w:p>
          <w:p w14:paraId="7474424C" w14:textId="77777777" w:rsidR="00262109" w:rsidRPr="00262109" w:rsidRDefault="00262109" w:rsidP="00262109">
            <w:pPr>
              <w:rPr>
                <w:rFonts w:ascii="Times New Roman" w:hAnsi="Times New Roman" w:cs="Times New Roman"/>
                <w:sz w:val="20"/>
                <w:szCs w:val="20"/>
              </w:rPr>
            </w:pPr>
          </w:p>
          <w:p w14:paraId="2B204F47" w14:textId="77777777" w:rsidR="00262109" w:rsidRPr="00262109" w:rsidRDefault="00262109" w:rsidP="00262109">
            <w:pPr>
              <w:rPr>
                <w:rFonts w:ascii="Times New Roman" w:hAnsi="Times New Roman" w:cs="Times New Roman"/>
                <w:sz w:val="20"/>
                <w:szCs w:val="20"/>
              </w:rPr>
            </w:pPr>
            <w:r w:rsidRPr="00262109">
              <w:rPr>
                <w:rFonts w:ascii="Times New Roman" w:eastAsia="Times New Roman" w:hAnsi="Times New Roman" w:cs="Times New Roman"/>
              </w:rPr>
              <w:t>(b) Indicate number of participants with missing data for each variable of interest</w:t>
            </w:r>
          </w:p>
          <w:p w14:paraId="118E1F67" w14:textId="77777777" w:rsidR="00262109" w:rsidRPr="00262109" w:rsidRDefault="00262109" w:rsidP="00262109">
            <w:pPr>
              <w:rPr>
                <w:rFonts w:ascii="Times New Roman" w:hAnsi="Times New Roman" w:cs="Times New Roman"/>
                <w:sz w:val="20"/>
                <w:szCs w:val="20"/>
              </w:rPr>
            </w:pPr>
          </w:p>
          <w:p w14:paraId="14576645" w14:textId="77777777" w:rsidR="00262109" w:rsidRPr="00262109" w:rsidRDefault="00262109" w:rsidP="00262109">
            <w:pPr>
              <w:rPr>
                <w:rFonts w:ascii="Times New Roman" w:hAnsi="Times New Roman" w:cs="Times New Roman"/>
                <w:sz w:val="20"/>
                <w:szCs w:val="20"/>
              </w:rPr>
            </w:pPr>
            <w:r w:rsidRPr="00262109">
              <w:rPr>
                <w:rFonts w:ascii="Times New Roman" w:eastAsia="Times New Roman" w:hAnsi="Times New Roman" w:cs="Times New Roman"/>
              </w:rPr>
              <w:t xml:space="preserve">(c) </w:t>
            </w:r>
            <w:proofErr w:type="spellStart"/>
            <w:r w:rsidRPr="00262109">
              <w:rPr>
                <w:rFonts w:ascii="Times New Roman" w:eastAsia="Times New Roman" w:hAnsi="Times New Roman" w:cs="Times New Roman"/>
              </w:rPr>
              <w:t>Summarise</w:t>
            </w:r>
            <w:proofErr w:type="spellEnd"/>
            <w:r w:rsidRPr="00262109">
              <w:rPr>
                <w:rFonts w:ascii="Times New Roman" w:eastAsia="Times New Roman" w:hAnsi="Times New Roman" w:cs="Times New Roman"/>
              </w:rPr>
              <w:t xml:space="preserve"> follow-up time</w:t>
            </w:r>
          </w:p>
        </w:tc>
        <w:tc>
          <w:tcPr>
            <w:tcW w:w="3000" w:type="dxa"/>
            <w:tcBorders>
              <w:top w:val="single" w:sz="1" w:space="0" w:color="999999"/>
              <w:left w:val="single" w:sz="1" w:space="0" w:color="999999"/>
              <w:bottom w:val="single" w:sz="1" w:space="0" w:color="999999"/>
              <w:right w:val="single" w:sz="1" w:space="0" w:color="999999"/>
            </w:tcBorders>
            <w:shd w:val="clear" w:color="auto" w:fill="F0FFF4"/>
            <w:tcMar>
              <w:top w:w="80" w:type="dxa"/>
              <w:left w:w="120" w:type="dxa"/>
              <w:bottom w:w="80" w:type="dxa"/>
              <w:right w:w="120" w:type="dxa"/>
            </w:tcMar>
          </w:tcPr>
          <w:p w14:paraId="77FB3337" w14:textId="6FAE5E35" w:rsidR="00262109" w:rsidRPr="00262109" w:rsidRDefault="00262109" w:rsidP="00262109">
            <w:pPr>
              <w:rPr>
                <w:rFonts w:ascii="Times New Roman" w:hAnsi="Times New Roman" w:cs="Times New Roman"/>
                <w:sz w:val="20"/>
                <w:szCs w:val="20"/>
              </w:rPr>
            </w:pPr>
            <w:r w:rsidRPr="00262109">
              <w:rPr>
                <w:rFonts w:ascii="Times New Roman" w:eastAsia="Times New Roman" w:hAnsi="Times New Roman" w:cs="Times New Roman"/>
                <w:color w:val="1A4731"/>
              </w:rPr>
              <w:t xml:space="preserve">(a) Table 1 (Baseline Characteristics); </w:t>
            </w:r>
            <w:r w:rsidR="00836B11" w:rsidRPr="00836B11">
              <w:rPr>
                <w:rFonts w:ascii="Times New Roman" w:eastAsia="Times New Roman" w:hAnsi="Times New Roman" w:cs="Times New Roman"/>
                <w:color w:val="1A4731"/>
              </w:rPr>
              <w:t>most covariates achieved standardized differences &lt;0.10 after propensity-score matching, with a small number of variables showing residual imbalance</w:t>
            </w:r>
          </w:p>
          <w:p w14:paraId="7AE8B020" w14:textId="77777777" w:rsidR="00262109" w:rsidRPr="00262109" w:rsidRDefault="00262109" w:rsidP="00262109">
            <w:pPr>
              <w:rPr>
                <w:rFonts w:ascii="Times New Roman" w:hAnsi="Times New Roman" w:cs="Times New Roman"/>
                <w:sz w:val="20"/>
                <w:szCs w:val="20"/>
              </w:rPr>
            </w:pPr>
          </w:p>
          <w:p w14:paraId="4BB9B23C" w14:textId="77777777" w:rsidR="00262109" w:rsidRPr="00262109" w:rsidRDefault="00262109" w:rsidP="00262109">
            <w:pPr>
              <w:rPr>
                <w:rFonts w:ascii="Times New Roman" w:hAnsi="Times New Roman" w:cs="Times New Roman"/>
                <w:sz w:val="20"/>
                <w:szCs w:val="20"/>
              </w:rPr>
            </w:pPr>
            <w:r w:rsidRPr="00262109">
              <w:rPr>
                <w:rFonts w:ascii="Times New Roman" w:eastAsia="Times New Roman" w:hAnsi="Times New Roman" w:cs="Times New Roman"/>
              </w:rPr>
              <w:t xml:space="preserve">(b) Individual-level missing data counts are unavailable from </w:t>
            </w:r>
            <w:proofErr w:type="spellStart"/>
            <w:r w:rsidRPr="00262109">
              <w:rPr>
                <w:rFonts w:ascii="Times New Roman" w:eastAsia="Times New Roman" w:hAnsi="Times New Roman" w:cs="Times New Roman"/>
              </w:rPr>
              <w:t>TriNetX</w:t>
            </w:r>
            <w:proofErr w:type="spellEnd"/>
            <w:r w:rsidRPr="00262109">
              <w:rPr>
                <w:rFonts w:ascii="Times New Roman" w:eastAsia="Times New Roman" w:hAnsi="Times New Roman" w:cs="Times New Roman"/>
              </w:rPr>
              <w:t xml:space="preserve"> aggregate platform; missingness addressed by including laboratory availability as a propensity-score covariate (Materials and Methods, PSM section)</w:t>
            </w:r>
          </w:p>
          <w:p w14:paraId="2DF79651" w14:textId="77777777" w:rsidR="00262109" w:rsidRPr="00262109" w:rsidRDefault="00262109" w:rsidP="00262109">
            <w:pPr>
              <w:rPr>
                <w:rFonts w:ascii="Times New Roman" w:hAnsi="Times New Roman" w:cs="Times New Roman"/>
                <w:sz w:val="20"/>
                <w:szCs w:val="20"/>
              </w:rPr>
            </w:pPr>
          </w:p>
          <w:p w14:paraId="0E4E7832" w14:textId="77777777" w:rsidR="00262109" w:rsidRPr="00262109" w:rsidRDefault="00262109" w:rsidP="00262109">
            <w:pPr>
              <w:rPr>
                <w:rFonts w:ascii="Times New Roman" w:hAnsi="Times New Roman" w:cs="Times New Roman"/>
                <w:sz w:val="20"/>
                <w:szCs w:val="20"/>
              </w:rPr>
            </w:pPr>
            <w:r w:rsidRPr="00262109">
              <w:rPr>
                <w:rFonts w:ascii="Times New Roman" w:eastAsia="Times New Roman" w:hAnsi="Times New Roman" w:cs="Times New Roman"/>
              </w:rPr>
              <w:t>(c) Results: median follow-up 31.1 months (IQR 17.8–44.4) in GLP-1RA cohort; 44.0 months (IQR 18.6–69.4) in DPP-4i cohort</w:t>
            </w:r>
          </w:p>
        </w:tc>
      </w:tr>
      <w:tr w:rsidR="00262109" w:rsidRPr="00262109" w14:paraId="32614BCB" w14:textId="77777777" w:rsidTr="00262109">
        <w:trPr>
          <w:jc w:val="center"/>
        </w:trPr>
        <w:tc>
          <w:tcPr>
            <w:tcW w:w="900"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14:paraId="24E993C0" w14:textId="77777777" w:rsidR="00262109" w:rsidRPr="00262109" w:rsidRDefault="00262109" w:rsidP="00262109">
            <w:pPr>
              <w:jc w:val="center"/>
              <w:rPr>
                <w:rFonts w:ascii="Times New Roman" w:hAnsi="Times New Roman" w:cs="Times New Roman"/>
                <w:sz w:val="20"/>
                <w:szCs w:val="20"/>
              </w:rPr>
            </w:pPr>
            <w:r w:rsidRPr="00262109">
              <w:rPr>
                <w:rFonts w:ascii="Times New Roman" w:eastAsia="Times New Roman" w:hAnsi="Times New Roman" w:cs="Times New Roman"/>
              </w:rPr>
              <w:t>15</w:t>
            </w:r>
          </w:p>
        </w:tc>
        <w:tc>
          <w:tcPr>
            <w:tcW w:w="5060"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14:paraId="2FD5EB9E" w14:textId="77777777" w:rsidR="00262109" w:rsidRPr="00262109" w:rsidRDefault="00262109" w:rsidP="00262109">
            <w:pPr>
              <w:rPr>
                <w:rFonts w:ascii="Times New Roman" w:hAnsi="Times New Roman" w:cs="Times New Roman"/>
                <w:sz w:val="20"/>
                <w:szCs w:val="20"/>
              </w:rPr>
            </w:pPr>
            <w:r w:rsidRPr="00262109">
              <w:rPr>
                <w:rFonts w:ascii="Times New Roman" w:eastAsia="Times New Roman" w:hAnsi="Times New Roman" w:cs="Times New Roman"/>
              </w:rPr>
              <w:t>Outcome data: Report numbers of outcome events or summary measures over time</w:t>
            </w:r>
          </w:p>
        </w:tc>
        <w:tc>
          <w:tcPr>
            <w:tcW w:w="3000"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14:paraId="3CBCCF16" w14:textId="77777777" w:rsidR="00262109" w:rsidRPr="00262109" w:rsidRDefault="00262109" w:rsidP="00262109">
            <w:pPr>
              <w:rPr>
                <w:rFonts w:ascii="Times New Roman" w:hAnsi="Times New Roman" w:cs="Times New Roman"/>
                <w:sz w:val="20"/>
                <w:szCs w:val="20"/>
              </w:rPr>
            </w:pPr>
            <w:r w:rsidRPr="00262109">
              <w:rPr>
                <w:rFonts w:ascii="Times New Roman" w:eastAsia="Times New Roman" w:hAnsi="Times New Roman" w:cs="Times New Roman"/>
              </w:rPr>
              <w:t>Results: Primary outcome — 169 vs 234 aortic events; Secondary outcomes — 192 vs 239 hypertensive crises; 748 vs 1,026 deaths; cumulative incidence at 1,800 days reported for each outcome</w:t>
            </w:r>
          </w:p>
        </w:tc>
      </w:tr>
      <w:tr w:rsidR="00262109" w:rsidRPr="00262109" w14:paraId="15BE898A" w14:textId="77777777" w:rsidTr="00262109">
        <w:trPr>
          <w:jc w:val="center"/>
        </w:trPr>
        <w:tc>
          <w:tcPr>
            <w:tcW w:w="900"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14:paraId="59A58B8D" w14:textId="77777777" w:rsidR="00262109" w:rsidRPr="00262109" w:rsidRDefault="00262109" w:rsidP="00262109">
            <w:pPr>
              <w:jc w:val="center"/>
              <w:rPr>
                <w:rFonts w:ascii="Times New Roman" w:hAnsi="Times New Roman" w:cs="Times New Roman"/>
                <w:sz w:val="20"/>
                <w:szCs w:val="20"/>
              </w:rPr>
            </w:pPr>
            <w:r w:rsidRPr="00262109">
              <w:rPr>
                <w:rFonts w:ascii="Times New Roman" w:eastAsia="Times New Roman" w:hAnsi="Times New Roman" w:cs="Times New Roman"/>
              </w:rPr>
              <w:t>16</w:t>
            </w:r>
          </w:p>
        </w:tc>
        <w:tc>
          <w:tcPr>
            <w:tcW w:w="5060"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14:paraId="3EE79423" w14:textId="77777777" w:rsidR="00262109" w:rsidRPr="00262109" w:rsidRDefault="00262109" w:rsidP="00262109">
            <w:pPr>
              <w:rPr>
                <w:rFonts w:ascii="Times New Roman" w:hAnsi="Times New Roman" w:cs="Times New Roman"/>
                <w:sz w:val="20"/>
                <w:szCs w:val="20"/>
              </w:rPr>
            </w:pPr>
            <w:r w:rsidRPr="00262109">
              <w:rPr>
                <w:rFonts w:ascii="Times New Roman" w:eastAsia="Times New Roman" w:hAnsi="Times New Roman" w:cs="Times New Roman"/>
              </w:rPr>
              <w:t>(a) Give unadjusted estimates and, if applicable, confounder-adjusted estimates and their precision</w:t>
            </w:r>
          </w:p>
          <w:p w14:paraId="552ADC7A" w14:textId="77777777" w:rsidR="00262109" w:rsidRPr="00262109" w:rsidRDefault="00262109" w:rsidP="00262109">
            <w:pPr>
              <w:rPr>
                <w:rFonts w:ascii="Times New Roman" w:hAnsi="Times New Roman" w:cs="Times New Roman"/>
                <w:sz w:val="20"/>
                <w:szCs w:val="20"/>
              </w:rPr>
            </w:pPr>
          </w:p>
          <w:p w14:paraId="68592563" w14:textId="77777777" w:rsidR="00262109" w:rsidRPr="00262109" w:rsidRDefault="00262109" w:rsidP="00262109">
            <w:pPr>
              <w:rPr>
                <w:rFonts w:ascii="Times New Roman" w:hAnsi="Times New Roman" w:cs="Times New Roman"/>
                <w:sz w:val="20"/>
                <w:szCs w:val="20"/>
              </w:rPr>
            </w:pPr>
            <w:r w:rsidRPr="00262109">
              <w:rPr>
                <w:rFonts w:ascii="Times New Roman" w:eastAsia="Times New Roman" w:hAnsi="Times New Roman" w:cs="Times New Roman"/>
              </w:rPr>
              <w:t>(b) Report category boundaries when continuous variables were categorized</w:t>
            </w:r>
          </w:p>
          <w:p w14:paraId="3EFC247A" w14:textId="77777777" w:rsidR="00262109" w:rsidRPr="00262109" w:rsidRDefault="00262109" w:rsidP="00262109">
            <w:pPr>
              <w:rPr>
                <w:rFonts w:ascii="Times New Roman" w:hAnsi="Times New Roman" w:cs="Times New Roman"/>
                <w:sz w:val="20"/>
                <w:szCs w:val="20"/>
              </w:rPr>
            </w:pPr>
          </w:p>
          <w:p w14:paraId="6A102A2B" w14:textId="77777777" w:rsidR="00262109" w:rsidRPr="00262109" w:rsidRDefault="00262109" w:rsidP="00262109">
            <w:pPr>
              <w:rPr>
                <w:rFonts w:ascii="Times New Roman" w:hAnsi="Times New Roman" w:cs="Times New Roman"/>
                <w:sz w:val="20"/>
                <w:szCs w:val="20"/>
              </w:rPr>
            </w:pPr>
            <w:r w:rsidRPr="00262109">
              <w:rPr>
                <w:rFonts w:ascii="Times New Roman" w:eastAsia="Times New Roman" w:hAnsi="Times New Roman" w:cs="Times New Roman"/>
              </w:rPr>
              <w:t>(c) If relevant, consider translating estimates of relative risk into absolute risk for a meaningful time period</w:t>
            </w:r>
          </w:p>
        </w:tc>
        <w:tc>
          <w:tcPr>
            <w:tcW w:w="3000"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14:paraId="092EA943" w14:textId="77EC95D3" w:rsidR="00262109" w:rsidRPr="00262109" w:rsidRDefault="00262109" w:rsidP="00262109">
            <w:pPr>
              <w:rPr>
                <w:rFonts w:ascii="Times New Roman" w:hAnsi="Times New Roman" w:cs="Times New Roman"/>
                <w:sz w:val="20"/>
                <w:szCs w:val="20"/>
              </w:rPr>
            </w:pPr>
            <w:r w:rsidRPr="00262109">
              <w:rPr>
                <w:rFonts w:ascii="Times New Roman" w:eastAsia="Times New Roman" w:hAnsi="Times New Roman" w:cs="Times New Roman"/>
              </w:rPr>
              <w:t xml:space="preserve">(a) Results: univariable Cox HRs with 95% CI for all outcomes following PSM (propensity-matched analysis provides confounder adjustment); </w:t>
            </w:r>
            <w:r w:rsidR="00836B11" w:rsidRPr="00836B11">
              <w:rPr>
                <w:rFonts w:ascii="Times New Roman" w:eastAsia="Times New Roman" w:hAnsi="Times New Roman" w:cs="Times New Roman"/>
              </w:rPr>
              <w:t>most covariates achieved standardized differences &lt;0.10 after propensity-score matching, with a small number of variables showing residual imbalance</w:t>
            </w:r>
          </w:p>
          <w:p w14:paraId="5E20298F" w14:textId="77777777" w:rsidR="00262109" w:rsidRPr="00262109" w:rsidRDefault="00262109" w:rsidP="00262109">
            <w:pPr>
              <w:rPr>
                <w:rFonts w:ascii="Times New Roman" w:hAnsi="Times New Roman" w:cs="Times New Roman"/>
                <w:sz w:val="20"/>
                <w:szCs w:val="20"/>
              </w:rPr>
            </w:pPr>
          </w:p>
          <w:p w14:paraId="12E731F6" w14:textId="77777777" w:rsidR="00262109" w:rsidRPr="00262109" w:rsidRDefault="00262109" w:rsidP="00262109">
            <w:pPr>
              <w:rPr>
                <w:rFonts w:ascii="Times New Roman" w:hAnsi="Times New Roman" w:cs="Times New Roman"/>
                <w:sz w:val="20"/>
                <w:szCs w:val="20"/>
              </w:rPr>
            </w:pPr>
            <w:r w:rsidRPr="00262109">
              <w:rPr>
                <w:rFonts w:ascii="Times New Roman" w:eastAsia="Times New Roman" w:hAnsi="Times New Roman" w:cs="Times New Roman"/>
              </w:rPr>
              <w:t>(b) Results/Figures 3, 5, 7: Age (&lt;65 vs ≥65 years); BMI (&lt;25, 25–30, ≥30 kg/m²); HbA1c (&lt;9% vs ≥9%)</w:t>
            </w:r>
          </w:p>
          <w:p w14:paraId="4A746A21" w14:textId="77777777" w:rsidR="00262109" w:rsidRPr="00262109" w:rsidRDefault="00262109" w:rsidP="00262109">
            <w:pPr>
              <w:rPr>
                <w:rFonts w:ascii="Times New Roman" w:hAnsi="Times New Roman" w:cs="Times New Roman"/>
                <w:sz w:val="20"/>
                <w:szCs w:val="20"/>
              </w:rPr>
            </w:pPr>
          </w:p>
          <w:p w14:paraId="6F1863EE" w14:textId="77777777" w:rsidR="00262109" w:rsidRPr="00262109" w:rsidRDefault="00262109" w:rsidP="00262109">
            <w:pPr>
              <w:rPr>
                <w:rFonts w:ascii="Times New Roman" w:hAnsi="Times New Roman" w:cs="Times New Roman"/>
                <w:sz w:val="20"/>
                <w:szCs w:val="20"/>
              </w:rPr>
            </w:pPr>
            <w:r w:rsidRPr="00262109">
              <w:rPr>
                <w:rFonts w:ascii="Times New Roman" w:eastAsia="Times New Roman" w:hAnsi="Times New Roman" w:cs="Times New Roman"/>
              </w:rPr>
              <w:t xml:space="preserve">(c) Results: NNT derived from absolute risk reduction over 5 years — NNT=60 (aortic events), NNT=81 (hypertensive crisis), NNT=14 </w:t>
            </w:r>
            <w:r w:rsidRPr="00262109">
              <w:rPr>
                <w:rFonts w:ascii="Times New Roman" w:eastAsia="Times New Roman" w:hAnsi="Times New Roman" w:cs="Times New Roman"/>
              </w:rPr>
              <w:lastRenderedPageBreak/>
              <w:t>(mortality)</w:t>
            </w:r>
          </w:p>
        </w:tc>
      </w:tr>
      <w:tr w:rsidR="00262109" w:rsidRPr="00262109" w14:paraId="3B3F1BE0" w14:textId="77777777" w:rsidTr="00262109">
        <w:trPr>
          <w:jc w:val="center"/>
        </w:trPr>
        <w:tc>
          <w:tcPr>
            <w:tcW w:w="900"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14:paraId="49AF3226" w14:textId="77777777" w:rsidR="00262109" w:rsidRPr="00262109" w:rsidRDefault="00262109" w:rsidP="00262109">
            <w:pPr>
              <w:jc w:val="center"/>
              <w:rPr>
                <w:rFonts w:ascii="Times New Roman" w:hAnsi="Times New Roman" w:cs="Times New Roman"/>
                <w:sz w:val="20"/>
                <w:szCs w:val="20"/>
              </w:rPr>
            </w:pPr>
            <w:r w:rsidRPr="00262109">
              <w:rPr>
                <w:rFonts w:ascii="Times New Roman" w:eastAsia="Times New Roman" w:hAnsi="Times New Roman" w:cs="Times New Roman"/>
              </w:rPr>
              <w:lastRenderedPageBreak/>
              <w:t>17</w:t>
            </w:r>
          </w:p>
        </w:tc>
        <w:tc>
          <w:tcPr>
            <w:tcW w:w="5060"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14:paraId="6123AC6D" w14:textId="77777777" w:rsidR="00262109" w:rsidRPr="00262109" w:rsidRDefault="00262109" w:rsidP="00262109">
            <w:pPr>
              <w:rPr>
                <w:rFonts w:ascii="Times New Roman" w:hAnsi="Times New Roman" w:cs="Times New Roman"/>
                <w:sz w:val="20"/>
                <w:szCs w:val="20"/>
              </w:rPr>
            </w:pPr>
            <w:r w:rsidRPr="00262109">
              <w:rPr>
                <w:rFonts w:ascii="Times New Roman" w:eastAsia="Times New Roman" w:hAnsi="Times New Roman" w:cs="Times New Roman"/>
              </w:rPr>
              <w:t>Other analyses: Report other analyses done — e.g., analyses of subgroups and interactions, and sensitivity analyses</w:t>
            </w:r>
          </w:p>
        </w:tc>
        <w:tc>
          <w:tcPr>
            <w:tcW w:w="3000"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14:paraId="309ABC86" w14:textId="77777777" w:rsidR="00262109" w:rsidRPr="00262109" w:rsidRDefault="00262109" w:rsidP="00262109">
            <w:pPr>
              <w:rPr>
                <w:rFonts w:ascii="Times New Roman" w:hAnsi="Times New Roman" w:cs="Times New Roman"/>
                <w:sz w:val="20"/>
                <w:szCs w:val="20"/>
              </w:rPr>
            </w:pPr>
            <w:r w:rsidRPr="00262109">
              <w:rPr>
                <w:rFonts w:ascii="Times New Roman" w:eastAsia="Times New Roman" w:hAnsi="Times New Roman" w:cs="Times New Roman"/>
              </w:rPr>
              <w:t>Figures 3, 5, 7: pre-specified subgroup analyses by demographics (age, sex, race), metabolic parameters (BMI, HbA1c), and major comorbidities (COPD, ESRD, malignancy, organ transplantation)</w:t>
            </w:r>
          </w:p>
        </w:tc>
      </w:tr>
      <w:tr w:rsidR="00262109" w:rsidRPr="00262109" w14:paraId="1C698305" w14:textId="77777777" w:rsidTr="00262109">
        <w:trPr>
          <w:jc w:val="center"/>
        </w:trPr>
        <w:tc>
          <w:tcPr>
            <w:tcW w:w="0" w:type="auto"/>
            <w:gridSpan w:val="3"/>
            <w:tcBorders>
              <w:top w:val="single" w:sz="4" w:space="0" w:color="2C5282"/>
              <w:left w:val="single" w:sz="1" w:space="0" w:color="999999"/>
              <w:bottom w:val="single" w:sz="1" w:space="0" w:color="999999"/>
              <w:right w:val="single" w:sz="1" w:space="0" w:color="999999"/>
            </w:tcBorders>
            <w:shd w:val="clear" w:color="auto" w:fill="D6E4F0"/>
            <w:tcMar>
              <w:top w:w="80" w:type="dxa"/>
              <w:left w:w="120" w:type="dxa"/>
              <w:bottom w:w="80" w:type="dxa"/>
              <w:right w:w="120" w:type="dxa"/>
            </w:tcMar>
          </w:tcPr>
          <w:p w14:paraId="7F1D26E1" w14:textId="77777777" w:rsidR="00262109" w:rsidRPr="00262109" w:rsidRDefault="00262109" w:rsidP="00262109">
            <w:pPr>
              <w:rPr>
                <w:rFonts w:ascii="Times New Roman" w:hAnsi="Times New Roman" w:cs="Times New Roman"/>
                <w:sz w:val="20"/>
                <w:szCs w:val="20"/>
              </w:rPr>
            </w:pPr>
            <w:r w:rsidRPr="00262109">
              <w:rPr>
                <w:rFonts w:ascii="Times New Roman" w:eastAsia="Times New Roman" w:hAnsi="Times New Roman" w:cs="Times New Roman"/>
                <w:b/>
                <w:bCs/>
                <w:color w:val="1A365D"/>
                <w:sz w:val="20"/>
                <w:szCs w:val="20"/>
              </w:rPr>
              <w:t>Discussion</w:t>
            </w:r>
          </w:p>
        </w:tc>
      </w:tr>
      <w:tr w:rsidR="00262109" w:rsidRPr="00262109" w14:paraId="137DD010" w14:textId="77777777" w:rsidTr="00262109">
        <w:trPr>
          <w:jc w:val="center"/>
        </w:trPr>
        <w:tc>
          <w:tcPr>
            <w:tcW w:w="900"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14:paraId="16D42545" w14:textId="77777777" w:rsidR="00262109" w:rsidRPr="00262109" w:rsidRDefault="00262109" w:rsidP="00262109">
            <w:pPr>
              <w:jc w:val="center"/>
              <w:rPr>
                <w:rFonts w:ascii="Times New Roman" w:hAnsi="Times New Roman" w:cs="Times New Roman"/>
                <w:sz w:val="20"/>
                <w:szCs w:val="20"/>
              </w:rPr>
            </w:pPr>
            <w:r w:rsidRPr="00262109">
              <w:rPr>
                <w:rFonts w:ascii="Times New Roman" w:eastAsia="Times New Roman" w:hAnsi="Times New Roman" w:cs="Times New Roman"/>
              </w:rPr>
              <w:t>18</w:t>
            </w:r>
          </w:p>
        </w:tc>
        <w:tc>
          <w:tcPr>
            <w:tcW w:w="5060"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14:paraId="63A6825C" w14:textId="77777777" w:rsidR="00262109" w:rsidRPr="00262109" w:rsidRDefault="00262109" w:rsidP="00262109">
            <w:pPr>
              <w:rPr>
                <w:rFonts w:ascii="Times New Roman" w:hAnsi="Times New Roman" w:cs="Times New Roman"/>
                <w:sz w:val="20"/>
                <w:szCs w:val="20"/>
              </w:rPr>
            </w:pPr>
            <w:r w:rsidRPr="00262109">
              <w:rPr>
                <w:rFonts w:ascii="Times New Roman" w:eastAsia="Times New Roman" w:hAnsi="Times New Roman" w:cs="Times New Roman"/>
              </w:rPr>
              <w:t xml:space="preserve">Key results: </w:t>
            </w:r>
            <w:proofErr w:type="spellStart"/>
            <w:r w:rsidRPr="00262109">
              <w:rPr>
                <w:rFonts w:ascii="Times New Roman" w:eastAsia="Times New Roman" w:hAnsi="Times New Roman" w:cs="Times New Roman"/>
              </w:rPr>
              <w:t>Summarise</w:t>
            </w:r>
            <w:proofErr w:type="spellEnd"/>
            <w:r w:rsidRPr="00262109">
              <w:rPr>
                <w:rFonts w:ascii="Times New Roman" w:eastAsia="Times New Roman" w:hAnsi="Times New Roman" w:cs="Times New Roman"/>
              </w:rPr>
              <w:t xml:space="preserve"> key results with reference to study objectives</w:t>
            </w:r>
          </w:p>
        </w:tc>
        <w:tc>
          <w:tcPr>
            <w:tcW w:w="3000"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14:paraId="05E3E967" w14:textId="77777777" w:rsidR="00262109" w:rsidRPr="00262109" w:rsidRDefault="00262109" w:rsidP="00262109">
            <w:pPr>
              <w:rPr>
                <w:rFonts w:ascii="Times New Roman" w:hAnsi="Times New Roman" w:cs="Times New Roman"/>
                <w:sz w:val="20"/>
                <w:szCs w:val="20"/>
              </w:rPr>
            </w:pPr>
            <w:r w:rsidRPr="00262109">
              <w:rPr>
                <w:rFonts w:ascii="Times New Roman" w:eastAsia="Times New Roman" w:hAnsi="Times New Roman" w:cs="Times New Roman"/>
              </w:rPr>
              <w:t>Discussion, paragraph 1: HR 0.75 (aortic events), HR 0.77 (hypertensive crisis), HR 0.64 (mortality) reported with NNTs; linked to prespecified hypotheses</w:t>
            </w:r>
          </w:p>
        </w:tc>
      </w:tr>
      <w:tr w:rsidR="00262109" w:rsidRPr="00262109" w14:paraId="5F0D56E0" w14:textId="77777777" w:rsidTr="00262109">
        <w:trPr>
          <w:jc w:val="center"/>
        </w:trPr>
        <w:tc>
          <w:tcPr>
            <w:tcW w:w="900"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14:paraId="5CA3BFC4" w14:textId="77777777" w:rsidR="00262109" w:rsidRPr="00262109" w:rsidRDefault="00262109" w:rsidP="00262109">
            <w:pPr>
              <w:jc w:val="center"/>
              <w:rPr>
                <w:rFonts w:ascii="Times New Roman" w:hAnsi="Times New Roman" w:cs="Times New Roman"/>
                <w:sz w:val="20"/>
                <w:szCs w:val="20"/>
              </w:rPr>
            </w:pPr>
            <w:r w:rsidRPr="00262109">
              <w:rPr>
                <w:rFonts w:ascii="Times New Roman" w:eastAsia="Times New Roman" w:hAnsi="Times New Roman" w:cs="Times New Roman"/>
              </w:rPr>
              <w:t>19</w:t>
            </w:r>
          </w:p>
        </w:tc>
        <w:tc>
          <w:tcPr>
            <w:tcW w:w="5060"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14:paraId="1100A6C3" w14:textId="77777777" w:rsidR="00262109" w:rsidRPr="00262109" w:rsidRDefault="00262109" w:rsidP="00262109">
            <w:pPr>
              <w:rPr>
                <w:rFonts w:ascii="Times New Roman" w:hAnsi="Times New Roman" w:cs="Times New Roman"/>
                <w:sz w:val="20"/>
                <w:szCs w:val="20"/>
              </w:rPr>
            </w:pPr>
            <w:r w:rsidRPr="00262109">
              <w:rPr>
                <w:rFonts w:ascii="Times New Roman" w:eastAsia="Times New Roman" w:hAnsi="Times New Roman" w:cs="Times New Roman"/>
              </w:rPr>
              <w:t>Limitations: Discuss limitations of the study, taking into account sources of potential bias or imprecision. Discuss both direction and magnitude of any potential bias</w:t>
            </w:r>
          </w:p>
        </w:tc>
        <w:tc>
          <w:tcPr>
            <w:tcW w:w="3000"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14:paraId="610A312C" w14:textId="77777777" w:rsidR="00262109" w:rsidRPr="00262109" w:rsidRDefault="00262109" w:rsidP="00262109">
            <w:pPr>
              <w:rPr>
                <w:rFonts w:ascii="Times New Roman" w:hAnsi="Times New Roman" w:cs="Times New Roman"/>
                <w:sz w:val="20"/>
                <w:szCs w:val="20"/>
              </w:rPr>
            </w:pPr>
            <w:r w:rsidRPr="00262109">
              <w:rPr>
                <w:rFonts w:ascii="Times New Roman" w:eastAsia="Times New Roman" w:hAnsi="Times New Roman" w:cs="Times New Roman"/>
              </w:rPr>
              <w:t>Discussion, Strengths and Limitations: residual confounding, EHR misclassification, medication adherence unverifiable, absent aneurysm imaging data, US-based generalizability, multiple comparisons without formal adjustment, competing risks not modelled</w:t>
            </w:r>
          </w:p>
        </w:tc>
      </w:tr>
      <w:tr w:rsidR="00262109" w:rsidRPr="00262109" w14:paraId="69F98B68" w14:textId="77777777" w:rsidTr="00262109">
        <w:trPr>
          <w:jc w:val="center"/>
        </w:trPr>
        <w:tc>
          <w:tcPr>
            <w:tcW w:w="900"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14:paraId="1DCAACD0" w14:textId="77777777" w:rsidR="00262109" w:rsidRPr="00262109" w:rsidRDefault="00262109" w:rsidP="00262109">
            <w:pPr>
              <w:jc w:val="center"/>
              <w:rPr>
                <w:rFonts w:ascii="Times New Roman" w:hAnsi="Times New Roman" w:cs="Times New Roman"/>
                <w:sz w:val="20"/>
                <w:szCs w:val="20"/>
              </w:rPr>
            </w:pPr>
            <w:r w:rsidRPr="00262109">
              <w:rPr>
                <w:rFonts w:ascii="Times New Roman" w:eastAsia="Times New Roman" w:hAnsi="Times New Roman" w:cs="Times New Roman"/>
              </w:rPr>
              <w:t>20</w:t>
            </w:r>
          </w:p>
        </w:tc>
        <w:tc>
          <w:tcPr>
            <w:tcW w:w="5060"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14:paraId="03546E73" w14:textId="77777777" w:rsidR="00262109" w:rsidRPr="00262109" w:rsidRDefault="00262109" w:rsidP="00262109">
            <w:pPr>
              <w:rPr>
                <w:rFonts w:ascii="Times New Roman" w:hAnsi="Times New Roman" w:cs="Times New Roman"/>
                <w:sz w:val="20"/>
                <w:szCs w:val="20"/>
              </w:rPr>
            </w:pPr>
            <w:r w:rsidRPr="00262109">
              <w:rPr>
                <w:rFonts w:ascii="Times New Roman" w:eastAsia="Times New Roman" w:hAnsi="Times New Roman" w:cs="Times New Roman"/>
              </w:rPr>
              <w:t>Interpretation: Give a cautious overall interpretation of results considering objectives, limitations, multiplicity of analyses, results from similar studies, and other relevant evidence</w:t>
            </w:r>
          </w:p>
        </w:tc>
        <w:tc>
          <w:tcPr>
            <w:tcW w:w="3000"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14:paraId="591DDECF" w14:textId="77777777" w:rsidR="00262109" w:rsidRPr="00262109" w:rsidRDefault="00262109" w:rsidP="00262109">
            <w:pPr>
              <w:rPr>
                <w:rFonts w:ascii="Times New Roman" w:hAnsi="Times New Roman" w:cs="Times New Roman"/>
                <w:sz w:val="20"/>
                <w:szCs w:val="20"/>
              </w:rPr>
            </w:pPr>
            <w:r w:rsidRPr="00262109">
              <w:rPr>
                <w:rFonts w:ascii="Times New Roman" w:eastAsia="Times New Roman" w:hAnsi="Times New Roman" w:cs="Times New Roman"/>
              </w:rPr>
              <w:t xml:space="preserve">Discussion: contextualized against LEADER, SUSTAIN-6, REWIND CVOTs; mechanistic support from </w:t>
            </w:r>
            <w:proofErr w:type="spellStart"/>
            <w:r w:rsidRPr="00262109">
              <w:rPr>
                <w:rFonts w:ascii="Times New Roman" w:eastAsia="Times New Roman" w:hAnsi="Times New Roman" w:cs="Times New Roman"/>
              </w:rPr>
              <w:t>Sardu</w:t>
            </w:r>
            <w:proofErr w:type="spellEnd"/>
            <w:r w:rsidRPr="00262109">
              <w:rPr>
                <w:rFonts w:ascii="Times New Roman" w:eastAsia="Times New Roman" w:hAnsi="Times New Roman" w:cs="Times New Roman"/>
              </w:rPr>
              <w:t xml:space="preserve"> et al. (2025) and Zhang et al. (2024); NNT comparison with established cardiovascular interventions; cautious language throughout</w:t>
            </w:r>
          </w:p>
        </w:tc>
      </w:tr>
      <w:tr w:rsidR="00262109" w:rsidRPr="00262109" w14:paraId="47BCA27A" w14:textId="77777777" w:rsidTr="00262109">
        <w:trPr>
          <w:jc w:val="center"/>
        </w:trPr>
        <w:tc>
          <w:tcPr>
            <w:tcW w:w="900"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14:paraId="25660E51" w14:textId="77777777" w:rsidR="00262109" w:rsidRPr="00262109" w:rsidRDefault="00262109" w:rsidP="00262109">
            <w:pPr>
              <w:jc w:val="center"/>
              <w:rPr>
                <w:rFonts w:ascii="Times New Roman" w:hAnsi="Times New Roman" w:cs="Times New Roman"/>
                <w:sz w:val="20"/>
                <w:szCs w:val="20"/>
              </w:rPr>
            </w:pPr>
            <w:r w:rsidRPr="00262109">
              <w:rPr>
                <w:rFonts w:ascii="Times New Roman" w:eastAsia="Times New Roman" w:hAnsi="Times New Roman" w:cs="Times New Roman"/>
              </w:rPr>
              <w:t>21</w:t>
            </w:r>
          </w:p>
        </w:tc>
        <w:tc>
          <w:tcPr>
            <w:tcW w:w="5060"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14:paraId="574004BA" w14:textId="77777777" w:rsidR="00262109" w:rsidRPr="00262109" w:rsidRDefault="00262109" w:rsidP="00262109">
            <w:pPr>
              <w:rPr>
                <w:rFonts w:ascii="Times New Roman" w:hAnsi="Times New Roman" w:cs="Times New Roman"/>
                <w:sz w:val="20"/>
                <w:szCs w:val="20"/>
              </w:rPr>
            </w:pPr>
            <w:proofErr w:type="spellStart"/>
            <w:r w:rsidRPr="00262109">
              <w:rPr>
                <w:rFonts w:ascii="Times New Roman" w:eastAsia="Times New Roman" w:hAnsi="Times New Roman" w:cs="Times New Roman"/>
              </w:rPr>
              <w:t>Generalisability</w:t>
            </w:r>
            <w:proofErr w:type="spellEnd"/>
            <w:r w:rsidRPr="00262109">
              <w:rPr>
                <w:rFonts w:ascii="Times New Roman" w:eastAsia="Times New Roman" w:hAnsi="Times New Roman" w:cs="Times New Roman"/>
              </w:rPr>
              <w:t xml:space="preserve">: Discuss the </w:t>
            </w:r>
            <w:proofErr w:type="spellStart"/>
            <w:r w:rsidRPr="00262109">
              <w:rPr>
                <w:rFonts w:ascii="Times New Roman" w:eastAsia="Times New Roman" w:hAnsi="Times New Roman" w:cs="Times New Roman"/>
              </w:rPr>
              <w:t>generalisability</w:t>
            </w:r>
            <w:proofErr w:type="spellEnd"/>
            <w:r w:rsidRPr="00262109">
              <w:rPr>
                <w:rFonts w:ascii="Times New Roman" w:eastAsia="Times New Roman" w:hAnsi="Times New Roman" w:cs="Times New Roman"/>
              </w:rPr>
              <w:t xml:space="preserve"> (external validity) of the study results</w:t>
            </w:r>
          </w:p>
        </w:tc>
        <w:tc>
          <w:tcPr>
            <w:tcW w:w="3000"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14:paraId="4E024277" w14:textId="77777777" w:rsidR="00262109" w:rsidRPr="00262109" w:rsidRDefault="00262109" w:rsidP="00262109">
            <w:pPr>
              <w:rPr>
                <w:rFonts w:ascii="Times New Roman" w:hAnsi="Times New Roman" w:cs="Times New Roman"/>
                <w:sz w:val="20"/>
                <w:szCs w:val="20"/>
              </w:rPr>
            </w:pPr>
            <w:r w:rsidRPr="00262109">
              <w:rPr>
                <w:rFonts w:ascii="Times New Roman" w:eastAsia="Times New Roman" w:hAnsi="Times New Roman" w:cs="Times New Roman"/>
              </w:rPr>
              <w:t>Discussion, Strengths and Limitations: "generalizability may be limited by predominantly US-based study population"</w:t>
            </w:r>
          </w:p>
        </w:tc>
      </w:tr>
      <w:tr w:rsidR="00262109" w:rsidRPr="00262109" w14:paraId="08012FA2" w14:textId="77777777" w:rsidTr="00262109">
        <w:trPr>
          <w:jc w:val="center"/>
        </w:trPr>
        <w:tc>
          <w:tcPr>
            <w:tcW w:w="0" w:type="auto"/>
            <w:gridSpan w:val="3"/>
            <w:tcBorders>
              <w:top w:val="single" w:sz="4" w:space="0" w:color="2C5282"/>
              <w:left w:val="single" w:sz="1" w:space="0" w:color="999999"/>
              <w:bottom w:val="single" w:sz="1" w:space="0" w:color="999999"/>
              <w:right w:val="single" w:sz="1" w:space="0" w:color="999999"/>
            </w:tcBorders>
            <w:shd w:val="clear" w:color="auto" w:fill="D6E4F0"/>
            <w:tcMar>
              <w:top w:w="80" w:type="dxa"/>
              <w:left w:w="120" w:type="dxa"/>
              <w:bottom w:w="80" w:type="dxa"/>
              <w:right w:w="120" w:type="dxa"/>
            </w:tcMar>
          </w:tcPr>
          <w:p w14:paraId="2AB1F498" w14:textId="77777777" w:rsidR="00262109" w:rsidRPr="00262109" w:rsidRDefault="00262109" w:rsidP="00262109">
            <w:pPr>
              <w:rPr>
                <w:rFonts w:ascii="Times New Roman" w:hAnsi="Times New Roman" w:cs="Times New Roman"/>
                <w:sz w:val="20"/>
                <w:szCs w:val="20"/>
              </w:rPr>
            </w:pPr>
            <w:r w:rsidRPr="00262109">
              <w:rPr>
                <w:rFonts w:ascii="Times New Roman" w:eastAsia="Times New Roman" w:hAnsi="Times New Roman" w:cs="Times New Roman"/>
                <w:b/>
                <w:bCs/>
                <w:color w:val="1A365D"/>
                <w:sz w:val="20"/>
                <w:szCs w:val="20"/>
              </w:rPr>
              <w:t>Other Information</w:t>
            </w:r>
          </w:p>
        </w:tc>
      </w:tr>
      <w:tr w:rsidR="00262109" w:rsidRPr="00262109" w14:paraId="55D61D69" w14:textId="77777777" w:rsidTr="00262109">
        <w:trPr>
          <w:jc w:val="center"/>
        </w:trPr>
        <w:tc>
          <w:tcPr>
            <w:tcW w:w="900"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14:paraId="308D071C" w14:textId="77777777" w:rsidR="00262109" w:rsidRPr="00262109" w:rsidRDefault="00262109" w:rsidP="00262109">
            <w:pPr>
              <w:jc w:val="center"/>
              <w:rPr>
                <w:rFonts w:ascii="Times New Roman" w:hAnsi="Times New Roman" w:cs="Times New Roman"/>
                <w:sz w:val="20"/>
                <w:szCs w:val="20"/>
              </w:rPr>
            </w:pPr>
            <w:r w:rsidRPr="00262109">
              <w:rPr>
                <w:rFonts w:ascii="Times New Roman" w:eastAsia="Times New Roman" w:hAnsi="Times New Roman" w:cs="Times New Roman"/>
              </w:rPr>
              <w:t>22</w:t>
            </w:r>
          </w:p>
        </w:tc>
        <w:tc>
          <w:tcPr>
            <w:tcW w:w="5060"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14:paraId="2D568BEC" w14:textId="77777777" w:rsidR="00262109" w:rsidRPr="00262109" w:rsidRDefault="00262109" w:rsidP="00262109">
            <w:pPr>
              <w:rPr>
                <w:rFonts w:ascii="Times New Roman" w:hAnsi="Times New Roman" w:cs="Times New Roman"/>
                <w:sz w:val="20"/>
                <w:szCs w:val="20"/>
              </w:rPr>
            </w:pPr>
            <w:r w:rsidRPr="00262109">
              <w:rPr>
                <w:rFonts w:ascii="Times New Roman" w:eastAsia="Times New Roman" w:hAnsi="Times New Roman" w:cs="Times New Roman"/>
              </w:rPr>
              <w:t>Funding: Give the source of funding and the role of the funders for the present study and, if applicable, for the original study on which the present article is based</w:t>
            </w:r>
          </w:p>
        </w:tc>
        <w:tc>
          <w:tcPr>
            <w:tcW w:w="3000"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14:paraId="6C42B2E6" w14:textId="77777777" w:rsidR="00262109" w:rsidRPr="00262109" w:rsidRDefault="00262109" w:rsidP="00262109">
            <w:pPr>
              <w:rPr>
                <w:rFonts w:ascii="Times New Roman" w:hAnsi="Times New Roman" w:cs="Times New Roman"/>
                <w:sz w:val="20"/>
                <w:szCs w:val="20"/>
              </w:rPr>
            </w:pPr>
            <w:r w:rsidRPr="00262109">
              <w:rPr>
                <w:rFonts w:ascii="Times New Roman" w:eastAsia="Times New Roman" w:hAnsi="Times New Roman" w:cs="Times New Roman"/>
              </w:rPr>
              <w:t>Funding section: "This research received no external funding"</w:t>
            </w:r>
          </w:p>
        </w:tc>
      </w:tr>
    </w:tbl>
    <w:p w14:paraId="123328BA" w14:textId="77777777" w:rsidR="00262109" w:rsidRPr="00262109" w:rsidRDefault="00262109" w:rsidP="00262109">
      <w:pPr>
        <w:spacing w:before="200"/>
        <w:rPr>
          <w:rFonts w:ascii="Times New Roman" w:hAnsi="Times New Roman" w:cs="Times New Roman"/>
          <w:sz w:val="20"/>
          <w:szCs w:val="20"/>
        </w:rPr>
      </w:pPr>
    </w:p>
    <w:p w14:paraId="4FAE2A68" w14:textId="77777777" w:rsidR="00262109" w:rsidRPr="00262109" w:rsidRDefault="00262109" w:rsidP="00262109">
      <w:pPr>
        <w:jc w:val="both"/>
        <w:rPr>
          <w:rFonts w:ascii="Times New Roman" w:hAnsi="Times New Roman" w:cs="Times New Roman"/>
          <w:sz w:val="20"/>
          <w:szCs w:val="20"/>
        </w:rPr>
      </w:pPr>
      <w:r w:rsidRPr="00262109">
        <w:rPr>
          <w:rFonts w:ascii="Times New Roman" w:eastAsia="Times New Roman" w:hAnsi="Times New Roman" w:cs="Times New Roman"/>
          <w:b/>
          <w:bCs/>
          <w:i/>
          <w:iCs/>
        </w:rPr>
        <w:t xml:space="preserve">Note: </w:t>
      </w:r>
    </w:p>
    <w:p w14:paraId="679DB284" w14:textId="77777777" w:rsidR="00262109" w:rsidRPr="00262109" w:rsidRDefault="00262109" w:rsidP="00262109">
      <w:pPr>
        <w:jc w:val="both"/>
        <w:rPr>
          <w:rFonts w:ascii="Times New Roman" w:hAnsi="Times New Roman" w:cs="Times New Roman"/>
          <w:sz w:val="20"/>
          <w:szCs w:val="20"/>
        </w:rPr>
      </w:pPr>
      <w:r w:rsidRPr="00262109">
        <w:rPr>
          <w:rFonts w:ascii="Times New Roman" w:eastAsia="Times New Roman" w:hAnsi="Times New Roman" w:cs="Times New Roman"/>
          <w:i/>
          <w:iCs/>
        </w:rPr>
        <w:t>This checklist is based on the STROBE Statement (www.strobe-statement.org). An Explanation and Elaboration article discusses each checklist item and gives methodological background and published examples of transparent reporting.</w:t>
      </w:r>
    </w:p>
    <w:p w14:paraId="27D670E2" w14:textId="77777777" w:rsidR="00262109" w:rsidRPr="00262109" w:rsidRDefault="00262109" w:rsidP="00262109">
      <w:pPr>
        <w:spacing w:after="60"/>
        <w:jc w:val="both"/>
        <w:rPr>
          <w:rFonts w:ascii="Times New Roman" w:hAnsi="Times New Roman" w:cs="Times New Roman"/>
          <w:sz w:val="20"/>
          <w:szCs w:val="20"/>
        </w:rPr>
      </w:pPr>
    </w:p>
    <w:p w14:paraId="68B55C66" w14:textId="77777777" w:rsidR="00262109" w:rsidRPr="00262109" w:rsidRDefault="00262109" w:rsidP="00262109">
      <w:pPr>
        <w:jc w:val="both"/>
        <w:rPr>
          <w:rFonts w:ascii="Times New Roman" w:hAnsi="Times New Roman" w:cs="Times New Roman"/>
          <w:sz w:val="20"/>
          <w:szCs w:val="20"/>
        </w:rPr>
      </w:pPr>
      <w:r w:rsidRPr="00262109">
        <w:rPr>
          <w:rFonts w:ascii="Times New Roman" w:eastAsia="Times New Roman" w:hAnsi="Times New Roman" w:cs="Times New Roman"/>
          <w:b/>
          <w:bCs/>
        </w:rPr>
        <w:t xml:space="preserve">Reference: </w:t>
      </w:r>
      <w:r w:rsidRPr="00262109">
        <w:rPr>
          <w:rFonts w:ascii="Times New Roman" w:eastAsia="Times New Roman" w:hAnsi="Times New Roman" w:cs="Times New Roman"/>
        </w:rPr>
        <w:t xml:space="preserve">von Elm E, Altman DG, Egger M, Pocock SJ, Gøtzsche PC, Vandenbroucke JP; STROBE Initiative. The Strengthening the Reporting of Observational Studies in Epidemiology (STROBE) statement: guidelines for reporting observational studies. Lancet. </w:t>
      </w:r>
      <w:proofErr w:type="gramStart"/>
      <w:r w:rsidRPr="00262109">
        <w:rPr>
          <w:rFonts w:ascii="Times New Roman" w:eastAsia="Times New Roman" w:hAnsi="Times New Roman" w:cs="Times New Roman"/>
        </w:rPr>
        <w:t>2007;370:1453</w:t>
      </w:r>
      <w:proofErr w:type="gramEnd"/>
      <w:r w:rsidRPr="00262109">
        <w:rPr>
          <w:rFonts w:ascii="Times New Roman" w:eastAsia="Times New Roman" w:hAnsi="Times New Roman" w:cs="Times New Roman"/>
        </w:rPr>
        <w:t>–1457.</w:t>
      </w:r>
    </w:p>
    <w:p w14:paraId="50EBC2F0" w14:textId="77777777" w:rsidR="00832E1E" w:rsidRDefault="00832E1E">
      <w:pPr>
        <w:spacing w:before="120"/>
      </w:pPr>
    </w:p>
    <w:sectPr w:rsidR="00832E1E">
      <w:pgSz w:w="12240" w:h="15840"/>
      <w:pgMar w:top="1080" w:right="720" w:bottom="1080" w:left="72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93CE3" w14:textId="77777777" w:rsidR="00002A54" w:rsidRDefault="00002A54" w:rsidP="00E623E3">
      <w:r>
        <w:separator/>
      </w:r>
    </w:p>
  </w:endnote>
  <w:endnote w:type="continuationSeparator" w:id="0">
    <w:p w14:paraId="1F802610" w14:textId="77777777" w:rsidR="00002A54" w:rsidRDefault="00002A54" w:rsidP="00E623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F147C" w14:textId="77777777" w:rsidR="00002A54" w:rsidRDefault="00002A54" w:rsidP="00E623E3">
      <w:r>
        <w:separator/>
      </w:r>
    </w:p>
  </w:footnote>
  <w:footnote w:type="continuationSeparator" w:id="0">
    <w:p w14:paraId="36844C3D" w14:textId="77777777" w:rsidR="00002A54" w:rsidRDefault="00002A54" w:rsidP="00E623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831B88"/>
    <w:multiLevelType w:val="hybridMultilevel"/>
    <w:tmpl w:val="B1D8395A"/>
    <w:lvl w:ilvl="0" w:tplc="BEA8B5E2">
      <w:start w:val="1"/>
      <w:numFmt w:val="bullet"/>
      <w:lvlText w:val="●"/>
      <w:lvlJc w:val="left"/>
      <w:pPr>
        <w:ind w:left="720" w:hanging="360"/>
      </w:pPr>
    </w:lvl>
    <w:lvl w:ilvl="1" w:tplc="237A85E6">
      <w:start w:val="1"/>
      <w:numFmt w:val="bullet"/>
      <w:lvlText w:val="○"/>
      <w:lvlJc w:val="left"/>
      <w:pPr>
        <w:ind w:left="1440" w:hanging="360"/>
      </w:pPr>
    </w:lvl>
    <w:lvl w:ilvl="2" w:tplc="294462F0">
      <w:start w:val="1"/>
      <w:numFmt w:val="bullet"/>
      <w:lvlText w:val="■"/>
      <w:lvlJc w:val="left"/>
      <w:pPr>
        <w:ind w:left="2160" w:hanging="360"/>
      </w:pPr>
    </w:lvl>
    <w:lvl w:ilvl="3" w:tplc="01E630CE">
      <w:start w:val="1"/>
      <w:numFmt w:val="bullet"/>
      <w:lvlText w:val="●"/>
      <w:lvlJc w:val="left"/>
      <w:pPr>
        <w:ind w:left="2880" w:hanging="360"/>
      </w:pPr>
    </w:lvl>
    <w:lvl w:ilvl="4" w:tplc="9ED876D6">
      <w:start w:val="1"/>
      <w:numFmt w:val="bullet"/>
      <w:lvlText w:val="○"/>
      <w:lvlJc w:val="left"/>
      <w:pPr>
        <w:ind w:left="3600" w:hanging="360"/>
      </w:pPr>
    </w:lvl>
    <w:lvl w:ilvl="5" w:tplc="82D0C41C">
      <w:start w:val="1"/>
      <w:numFmt w:val="bullet"/>
      <w:lvlText w:val="■"/>
      <w:lvlJc w:val="left"/>
      <w:pPr>
        <w:ind w:left="4320" w:hanging="360"/>
      </w:pPr>
    </w:lvl>
    <w:lvl w:ilvl="6" w:tplc="0E182414">
      <w:start w:val="1"/>
      <w:numFmt w:val="bullet"/>
      <w:lvlText w:val="●"/>
      <w:lvlJc w:val="left"/>
      <w:pPr>
        <w:ind w:left="5040" w:hanging="360"/>
      </w:pPr>
    </w:lvl>
    <w:lvl w:ilvl="7" w:tplc="9912EBC8">
      <w:start w:val="1"/>
      <w:numFmt w:val="bullet"/>
      <w:lvlText w:val="●"/>
      <w:lvlJc w:val="left"/>
      <w:pPr>
        <w:ind w:left="5760" w:hanging="360"/>
      </w:pPr>
    </w:lvl>
    <w:lvl w:ilvl="8" w:tplc="E66EA2BA">
      <w:start w:val="1"/>
      <w:numFmt w:val="bullet"/>
      <w:lvlText w:val="●"/>
      <w:lvlJc w:val="left"/>
      <w:pPr>
        <w:ind w:left="6480" w:hanging="360"/>
      </w:pPr>
    </w:lvl>
  </w:abstractNum>
  <w:num w:numId="1" w16cid:durableId="41251405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bordersDoNotSurroundHeader/>
  <w:bordersDoNotSurroundFooter/>
  <w:proofState w:spelling="clean" w:grammar="clean"/>
  <w:defaultTabStop w:val="48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E1E"/>
    <w:rsid w:val="00002A54"/>
    <w:rsid w:val="0004074B"/>
    <w:rsid w:val="0013213C"/>
    <w:rsid w:val="001522A0"/>
    <w:rsid w:val="00194020"/>
    <w:rsid w:val="00221633"/>
    <w:rsid w:val="00262109"/>
    <w:rsid w:val="008054D2"/>
    <w:rsid w:val="008172D6"/>
    <w:rsid w:val="00832E1E"/>
    <w:rsid w:val="00836B11"/>
    <w:rsid w:val="00A20A2B"/>
    <w:rsid w:val="00B12FEB"/>
    <w:rsid w:val="00C044F6"/>
    <w:rsid w:val="00C61A08"/>
    <w:rsid w:val="00C64504"/>
    <w:rsid w:val="00E623E3"/>
    <w:rsid w:val="00E830D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99ABB1"/>
  <w15:docId w15:val="{18D28837-49E1-4657-B56C-E6657CEA3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sz w:val="18"/>
        <w:szCs w:val="18"/>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uiPriority w:val="9"/>
    <w:qFormat/>
    <w:pPr>
      <w:outlineLvl w:val="0"/>
    </w:pPr>
    <w:rPr>
      <w:color w:val="2E74B5"/>
      <w:sz w:val="32"/>
      <w:szCs w:val="32"/>
    </w:rPr>
  </w:style>
  <w:style w:type="paragraph" w:styleId="2">
    <w:name w:val="heading 2"/>
    <w:uiPriority w:val="9"/>
    <w:semiHidden/>
    <w:unhideWhenUsed/>
    <w:qFormat/>
    <w:pPr>
      <w:outlineLvl w:val="1"/>
    </w:pPr>
    <w:rPr>
      <w:color w:val="2E74B5"/>
      <w:sz w:val="26"/>
      <w:szCs w:val="26"/>
    </w:rPr>
  </w:style>
  <w:style w:type="paragraph" w:styleId="3">
    <w:name w:val="heading 3"/>
    <w:uiPriority w:val="9"/>
    <w:semiHidden/>
    <w:unhideWhenUsed/>
    <w:qFormat/>
    <w:pPr>
      <w:outlineLvl w:val="2"/>
    </w:pPr>
    <w:rPr>
      <w:color w:val="1F4D78"/>
      <w:sz w:val="24"/>
      <w:szCs w:val="24"/>
    </w:rPr>
  </w:style>
  <w:style w:type="paragraph" w:styleId="4">
    <w:name w:val="heading 4"/>
    <w:uiPriority w:val="9"/>
    <w:semiHidden/>
    <w:unhideWhenUsed/>
    <w:qFormat/>
    <w:pPr>
      <w:outlineLvl w:val="3"/>
    </w:pPr>
    <w:rPr>
      <w:i/>
      <w:iCs/>
      <w:color w:val="2E74B5"/>
    </w:rPr>
  </w:style>
  <w:style w:type="paragraph" w:styleId="5">
    <w:name w:val="heading 5"/>
    <w:uiPriority w:val="9"/>
    <w:semiHidden/>
    <w:unhideWhenUsed/>
    <w:qFormat/>
    <w:pPr>
      <w:outlineLvl w:val="4"/>
    </w:pPr>
    <w:rPr>
      <w:color w:val="2E74B5"/>
    </w:rPr>
  </w:style>
  <w:style w:type="paragraph" w:styleId="6">
    <w:name w:val="heading 6"/>
    <w:uiPriority w:val="9"/>
    <w:semiHidden/>
    <w:unhideWhenUsed/>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uiPriority w:val="10"/>
    <w:qFormat/>
    <w:rPr>
      <w:sz w:val="56"/>
      <w:szCs w:val="56"/>
    </w:rPr>
  </w:style>
  <w:style w:type="paragraph" w:customStyle="1" w:styleId="10">
    <w:name w:val="強調粗體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rPr>
      <w:sz w:val="20"/>
      <w:szCs w:val="20"/>
    </w:rPr>
  </w:style>
  <w:style w:type="character" w:customStyle="1" w:styleId="a8">
    <w:name w:val="註腳文字 字元"/>
    <w:link w:val="a7"/>
    <w:uiPriority w:val="99"/>
    <w:semiHidden/>
    <w:unhideWhenUsed/>
    <w:rPr>
      <w:sz w:val="20"/>
      <w:szCs w:val="20"/>
    </w:rPr>
  </w:style>
  <w:style w:type="paragraph" w:styleId="a9">
    <w:name w:val="header"/>
    <w:basedOn w:val="a"/>
    <w:link w:val="aa"/>
    <w:uiPriority w:val="99"/>
    <w:unhideWhenUsed/>
    <w:rsid w:val="00E623E3"/>
    <w:pPr>
      <w:tabs>
        <w:tab w:val="center" w:pos="4153"/>
        <w:tab w:val="right" w:pos="8306"/>
      </w:tabs>
      <w:snapToGrid w:val="0"/>
    </w:pPr>
    <w:rPr>
      <w:sz w:val="20"/>
      <w:szCs w:val="20"/>
    </w:rPr>
  </w:style>
  <w:style w:type="character" w:customStyle="1" w:styleId="aa">
    <w:name w:val="頁首 字元"/>
    <w:basedOn w:val="a0"/>
    <w:link w:val="a9"/>
    <w:uiPriority w:val="99"/>
    <w:rsid w:val="00E623E3"/>
    <w:rPr>
      <w:sz w:val="20"/>
      <w:szCs w:val="20"/>
    </w:rPr>
  </w:style>
  <w:style w:type="paragraph" w:styleId="ab">
    <w:name w:val="footer"/>
    <w:basedOn w:val="a"/>
    <w:link w:val="ac"/>
    <w:uiPriority w:val="99"/>
    <w:unhideWhenUsed/>
    <w:rsid w:val="00E623E3"/>
    <w:pPr>
      <w:tabs>
        <w:tab w:val="center" w:pos="4153"/>
        <w:tab w:val="right" w:pos="8306"/>
      </w:tabs>
      <w:snapToGrid w:val="0"/>
    </w:pPr>
    <w:rPr>
      <w:sz w:val="20"/>
      <w:szCs w:val="20"/>
    </w:rPr>
  </w:style>
  <w:style w:type="character" w:customStyle="1" w:styleId="ac">
    <w:name w:val="頁尾 字元"/>
    <w:basedOn w:val="a0"/>
    <w:link w:val="ab"/>
    <w:uiPriority w:val="99"/>
    <w:rsid w:val="00E623E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6</Pages>
  <Words>2333</Words>
  <Characters>13301</Characters>
  <Application>Microsoft Office Word</Application>
  <DocSecurity>0</DocSecurity>
  <Lines>110</Lines>
  <Paragraphs>31</Paragraphs>
  <ScaleCrop>false</ScaleCrop>
  <Company/>
  <LinksUpToDate>false</LinksUpToDate>
  <CharactersWithSpaces>15603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林長 蔡永豐</cp:lastModifiedBy>
  <cp:revision>9</cp:revision>
  <dcterms:created xsi:type="dcterms:W3CDTF">2026-04-27T04:25:00Z</dcterms:created>
  <dcterms:modified xsi:type="dcterms:W3CDTF">2026-05-01T04:55:00Z</dcterms:modified>
</cp:coreProperties>
</file>