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58E" w14:textId="28A60DB7" w:rsidR="006D7BCE" w:rsidRPr="00D77005" w:rsidRDefault="006D7BCE" w:rsidP="006D7BCE">
      <w:pPr>
        <w:widowControl w:val="0"/>
        <w:adjustRightInd w:val="0"/>
        <w:snapToGrid w:val="0"/>
        <w:ind w:firstLineChars="150" w:firstLine="300"/>
        <w:rPr>
          <w:rFonts w:cs="Arial"/>
        </w:rPr>
      </w:pPr>
      <w:r w:rsidRPr="00D77005">
        <w:rPr>
          <w:rFonts w:cs="Arial"/>
          <w:b/>
          <w:bCs/>
        </w:rPr>
        <w:t>Supplementary Table S</w:t>
      </w:r>
      <w:r w:rsidRPr="00D77005">
        <w:rPr>
          <w:rFonts w:cs="Arial"/>
          <w:b/>
          <w:bCs/>
          <w:lang w:eastAsia="zh-CN"/>
        </w:rPr>
        <w:t>1</w:t>
      </w:r>
      <w:r w:rsidRPr="00D77005">
        <w:rPr>
          <w:rFonts w:cs="Arial"/>
        </w:rPr>
        <w:t xml:space="preserve"> </w:t>
      </w:r>
    </w:p>
    <w:p w14:paraId="75870174" w14:textId="68B859BC" w:rsidR="006D7BCE" w:rsidRPr="00D77005" w:rsidRDefault="006D7BCE" w:rsidP="006D7BCE">
      <w:pPr>
        <w:widowControl w:val="0"/>
        <w:adjustRightInd w:val="0"/>
        <w:snapToGrid w:val="0"/>
        <w:ind w:left="360"/>
        <w:rPr>
          <w:rFonts w:cs="Arial"/>
        </w:rPr>
      </w:pPr>
      <w:r w:rsidRPr="00D77005">
        <w:rPr>
          <w:rFonts w:cs="Arial"/>
        </w:rPr>
        <w:t>Results of Shapiro-Wilk normality test for clinical and laboratory variables in patients with liver cirrhosis</w:t>
      </w:r>
    </w:p>
    <w:p w14:paraId="1AD56F46" w14:textId="34A783FD" w:rsidR="00905CFE" w:rsidRPr="00D77005" w:rsidRDefault="00905CFE">
      <w:pPr>
        <w:spacing w:line="240" w:lineRule="auto"/>
        <w:rPr>
          <w:rFonts w:cs="Arial"/>
          <w:b/>
          <w:bCs/>
        </w:rPr>
      </w:pP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560"/>
        <w:gridCol w:w="1339"/>
        <w:gridCol w:w="3623"/>
      </w:tblGrid>
      <w:tr w:rsidR="00905CFE" w:rsidRPr="00D77005" w14:paraId="1A06FB1C" w14:textId="77777777" w:rsidTr="00905CFE">
        <w:trPr>
          <w:tblHeader/>
        </w:trPr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1A9FEF" w14:textId="04D1FC9D" w:rsidR="00905CFE" w:rsidRPr="00D77005" w:rsidRDefault="00905CFE" w:rsidP="00905CFE">
            <w:pPr>
              <w:spacing w:line="240" w:lineRule="auto"/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</w:pPr>
            <w:bookmarkStart w:id="0" w:name="_Hlk230541866"/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63C9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  <w:t>Statistic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F1924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</w:pPr>
            <w:r w:rsidRPr="00055AB1">
              <w:rPr>
                <w:rFonts w:eastAsia="宋体" w:cs="Arial"/>
                <w:b/>
                <w:bCs/>
                <w:i/>
                <w:iCs/>
                <w:sz w:val="21"/>
                <w:szCs w:val="21"/>
                <w:lang w:eastAsia="zh-CN"/>
              </w:rPr>
              <w:t>P</w:t>
            </w:r>
            <w:r w:rsidRPr="00D77005"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  <w:t xml:space="preserve"> value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43AF8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b/>
                <w:bCs/>
                <w:sz w:val="21"/>
                <w:szCs w:val="21"/>
                <w:lang w:eastAsia="zh-CN"/>
              </w:rPr>
              <w:t>Method</w:t>
            </w:r>
          </w:p>
        </w:tc>
      </w:tr>
      <w:tr w:rsidR="00905CFE" w:rsidRPr="00D77005" w14:paraId="027736C4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C31CC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Age, years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F23A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0.990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838A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0.046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331B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0EE7AB1A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CA54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WBC, 10^9/L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DE88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0.915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EF31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1787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6F2CE0EA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BC28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NEUT, 10^9/L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3D80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0.866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3EDA4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0B00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16CFD4A4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D66F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LYM, 10^9/L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3282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0.960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862F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A89A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5CC20A82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D4C8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Hb, g/L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EA72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0.980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016A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2E6E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56424405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9F31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PLT, 10^9/L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FBFB4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0.851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A2A0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ABC2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1B77BAC8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851B4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PT, S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330B8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0.829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0E3E0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2EAD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6F4D2160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5567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PT%,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3A5F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0.979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3DE0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9D42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2A680BC1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6631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INR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3ABD6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0.814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42C27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E8DF0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0127F461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7B43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ALT, U/L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A9326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0.455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C16E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7B71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1AB241EA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6ECD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AST, U/L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94933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0.446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A256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9042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142DE15D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7626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ALB, g/L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6222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0.985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999E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0.006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2C57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288C23EE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B67A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TBil, μmol/L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54F34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0.643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C8BA8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678FC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65953074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B26C6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DBil, μmol/L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B2E1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0.603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39F4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2B48C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5EDE2702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0CAE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IBil, μmol/L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5B87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0.703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1B8C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B133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72E41672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B70B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ALP, U/L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0C38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0.882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AB73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46FDC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44215659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E1737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GGT, U/L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D5FE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0.607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6548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6817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205C247E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A5D16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BUN, mmol/L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1FD2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0.760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93A59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0543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3295DB02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0AD26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Cr, μmol/L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F473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0.919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B3270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5AD478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269941CE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FA648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UA, μmol/L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AE7B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0.954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8C707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8261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039C237F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E3754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lastRenderedPageBreak/>
              <w:t>K</w:t>
            </w:r>
            <w:r w:rsidRPr="00D77005">
              <w:rPr>
                <w:rFonts w:ascii="Cambria Math" w:eastAsia="宋体" w:hAnsi="Cambria Math" w:cs="Cambria Math"/>
                <w:sz w:val="21"/>
                <w:szCs w:val="21"/>
                <w:lang w:eastAsia="zh-CN"/>
              </w:rPr>
              <w:t>⁺</w:t>
            </w: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, mmol/L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D73E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0.982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404FD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02DDB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16631459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A793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Na</w:t>
            </w:r>
            <w:r w:rsidRPr="00D77005">
              <w:rPr>
                <w:rFonts w:ascii="Cambria Math" w:eastAsia="宋体" w:hAnsi="Cambria Math" w:cs="Cambria Math"/>
                <w:sz w:val="21"/>
                <w:szCs w:val="21"/>
                <w:lang w:eastAsia="zh-CN"/>
              </w:rPr>
              <w:t>⁺</w:t>
            </w: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, mmol/L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8B753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0.903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DD98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EB28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2D835832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05C31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Child-Pugh Score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DB70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0.908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3E28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75F65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4E79B007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B39FA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Hepatoprotective Drugs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BEE0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0.914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87EC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57802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  <w:tr w:rsidR="00905CFE" w:rsidRPr="00D77005" w14:paraId="66132964" w14:textId="77777777" w:rsidTr="00905CFE">
        <w:tc>
          <w:tcPr>
            <w:tcW w:w="12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2EB70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TBil-Day7, μmol/L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EFAEF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0.559</w:t>
            </w:r>
          </w:p>
        </w:tc>
        <w:tc>
          <w:tcPr>
            <w:tcW w:w="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D7518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20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2047E" w14:textId="77777777" w:rsidR="00905CFE" w:rsidRPr="00D77005" w:rsidRDefault="00905CFE" w:rsidP="00905CFE">
            <w:pPr>
              <w:spacing w:line="240" w:lineRule="auto"/>
              <w:rPr>
                <w:rFonts w:eastAsia="宋体" w:cs="Arial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sz w:val="21"/>
                <w:szCs w:val="21"/>
                <w:lang w:eastAsia="zh-CN"/>
              </w:rPr>
              <w:t>Shapiro-Wilk normality test</w:t>
            </w:r>
          </w:p>
        </w:tc>
      </w:tr>
    </w:tbl>
    <w:bookmarkEnd w:id="0"/>
    <w:p w14:paraId="3D4989FA" w14:textId="3F307C78" w:rsidR="006D7BCE" w:rsidRPr="00D77005" w:rsidRDefault="006D7BCE" w:rsidP="006D7BCE">
      <w:pPr>
        <w:widowControl w:val="0"/>
        <w:adjustRightInd w:val="0"/>
        <w:snapToGrid w:val="0"/>
        <w:rPr>
          <w:rFonts w:cs="Arial"/>
          <w:szCs w:val="20"/>
        </w:rPr>
      </w:pPr>
      <w:r w:rsidRPr="00D77005">
        <w:rPr>
          <w:rFonts w:cs="Arial"/>
          <w:b/>
          <w:szCs w:val="20"/>
        </w:rPr>
        <w:t>Notes:</w:t>
      </w:r>
      <w:r w:rsidRPr="00D77005">
        <w:rPr>
          <w:rFonts w:cs="Arial"/>
          <w:szCs w:val="20"/>
        </w:rPr>
        <w:t xml:space="preserve"> Data are presented as Shapiro-Wilk test statistic (W) and corresponding P value. A </w:t>
      </w:r>
      <w:r w:rsidRPr="00563836">
        <w:rPr>
          <w:rFonts w:cs="Arial"/>
          <w:i/>
          <w:iCs/>
          <w:szCs w:val="20"/>
        </w:rPr>
        <w:t>P</w:t>
      </w:r>
      <w:r w:rsidRPr="00D77005">
        <w:rPr>
          <w:rFonts w:cs="Arial"/>
          <w:szCs w:val="20"/>
        </w:rPr>
        <w:t xml:space="preserve"> value &lt; 0.05 indicates a significant deviation from normality.</w:t>
      </w:r>
      <w:r w:rsidRPr="00D77005">
        <w:rPr>
          <w:rFonts w:cs="Arial"/>
          <w:szCs w:val="20"/>
          <w:lang w:eastAsia="zh-CN"/>
        </w:rPr>
        <w:t xml:space="preserve"> </w:t>
      </w:r>
      <w:r w:rsidRPr="00D77005">
        <w:rPr>
          <w:rFonts w:cs="Arial"/>
          <w:szCs w:val="20"/>
        </w:rPr>
        <w:t>Abbreviations are provided in the Abbreviations section at the end of the main text.</w:t>
      </w:r>
    </w:p>
    <w:p w14:paraId="70E3B588" w14:textId="4223E794" w:rsidR="006D7BCE" w:rsidRPr="00D77005" w:rsidRDefault="006D7BCE">
      <w:pPr>
        <w:spacing w:line="240" w:lineRule="auto"/>
        <w:rPr>
          <w:rFonts w:cs="Arial"/>
          <w:b/>
          <w:bCs/>
        </w:rPr>
      </w:pPr>
      <w:r w:rsidRPr="00D77005">
        <w:rPr>
          <w:rFonts w:cs="Arial"/>
          <w:b/>
          <w:bCs/>
        </w:rPr>
        <w:br w:type="page"/>
      </w:r>
    </w:p>
    <w:p w14:paraId="7677E663" w14:textId="77777777" w:rsidR="007B1C93" w:rsidRPr="00D77005" w:rsidRDefault="007B1C93">
      <w:pPr>
        <w:spacing w:line="240" w:lineRule="auto"/>
        <w:rPr>
          <w:rFonts w:cs="Arial"/>
          <w:b/>
          <w:bCs/>
        </w:rPr>
      </w:pPr>
    </w:p>
    <w:p w14:paraId="20E109FC" w14:textId="5DC45987" w:rsidR="00CE7FA8" w:rsidRPr="00D77005" w:rsidRDefault="002A2832" w:rsidP="007B1C93">
      <w:pPr>
        <w:widowControl w:val="0"/>
        <w:adjustRightInd w:val="0"/>
        <w:snapToGrid w:val="0"/>
        <w:ind w:firstLineChars="150" w:firstLine="300"/>
        <w:rPr>
          <w:rFonts w:cs="Arial"/>
        </w:rPr>
      </w:pPr>
      <w:r w:rsidRPr="00D77005">
        <w:rPr>
          <w:rFonts w:cs="Arial"/>
          <w:b/>
          <w:bCs/>
        </w:rPr>
        <w:t>Supplementary Table S</w:t>
      </w:r>
      <w:r w:rsidR="006D7BCE" w:rsidRPr="00D77005">
        <w:rPr>
          <w:rFonts w:cs="Arial"/>
          <w:b/>
          <w:bCs/>
          <w:lang w:eastAsia="zh-CN"/>
        </w:rPr>
        <w:t>2</w:t>
      </w:r>
      <w:r w:rsidRPr="00D77005">
        <w:rPr>
          <w:rFonts w:cs="Arial"/>
        </w:rPr>
        <w:t xml:space="preserve"> </w:t>
      </w:r>
    </w:p>
    <w:p w14:paraId="49863DC3" w14:textId="03577B22" w:rsidR="002A2832" w:rsidRPr="00D77005" w:rsidRDefault="002A2832" w:rsidP="00CE7FA8">
      <w:pPr>
        <w:widowControl w:val="0"/>
        <w:adjustRightInd w:val="0"/>
        <w:snapToGrid w:val="0"/>
        <w:ind w:left="360"/>
        <w:rPr>
          <w:rFonts w:cs="Arial"/>
        </w:rPr>
      </w:pPr>
      <w:r w:rsidRPr="00D77005">
        <w:rPr>
          <w:rFonts w:cs="Arial"/>
        </w:rPr>
        <w:t xml:space="preserve">Baseline Characteristics of Compensated and Decompensated Cirrhosis in the Training </w:t>
      </w:r>
      <w:r w:rsidR="006D7BCE" w:rsidRPr="00D77005">
        <w:rPr>
          <w:rFonts w:cs="Arial"/>
          <w:lang w:eastAsia="zh-CN"/>
        </w:rPr>
        <w:t>Cohort</w:t>
      </w:r>
    </w:p>
    <w:p w14:paraId="3DFC3469" w14:textId="77777777" w:rsidR="002A2832" w:rsidRPr="00D77005" w:rsidRDefault="002A2832" w:rsidP="00CE7FA8">
      <w:pPr>
        <w:pStyle w:val="FirstParagraph"/>
        <w:adjustRightInd w:val="0"/>
        <w:snapToGrid w:val="0"/>
        <w:spacing w:line="480" w:lineRule="auto"/>
        <w:rPr>
          <w:rFonts w:ascii="Arial" w:hAnsi="Arial" w:cs="Arial"/>
          <w:lang w:eastAsia="zh-CN"/>
        </w:rPr>
      </w:pPr>
    </w:p>
    <w:tbl>
      <w:tblPr>
        <w:tblW w:w="5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263"/>
        <w:gridCol w:w="2155"/>
        <w:gridCol w:w="2155"/>
        <w:gridCol w:w="2154"/>
        <w:gridCol w:w="908"/>
      </w:tblGrid>
      <w:tr w:rsidR="002A2832" w:rsidRPr="00D77005" w14:paraId="307B6D42" w14:textId="77777777" w:rsidTr="001E22DB">
        <w:trPr>
          <w:trHeight w:val="624"/>
          <w:tblHeader/>
          <w:jc w:val="center"/>
        </w:trPr>
        <w:tc>
          <w:tcPr>
            <w:tcW w:w="1174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806E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bookmarkStart w:id="1" w:name="_Hlk230542294"/>
            <w:r w:rsidRPr="00D77005">
              <w:rPr>
                <w:rFonts w:eastAsia="Times New Roman" w:cs="Arial"/>
                <w:sz w:val="21"/>
                <w:szCs w:val="21"/>
              </w:rPr>
              <w:t>Variables</w:t>
            </w:r>
          </w:p>
        </w:tc>
        <w:tc>
          <w:tcPr>
            <w:tcW w:w="111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BF18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Total (n = 198)</w:t>
            </w:r>
          </w:p>
        </w:tc>
        <w:tc>
          <w:tcPr>
            <w:tcW w:w="111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F255" w14:textId="7E551990" w:rsidR="002A2832" w:rsidRPr="00D77005" w:rsidRDefault="00431361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cs="Arial"/>
                <w:sz w:val="21"/>
                <w:szCs w:val="21"/>
                <w:lang w:eastAsia="zh-CN"/>
              </w:rPr>
              <w:t>C</w:t>
            </w:r>
            <w:r w:rsidRPr="00D77005">
              <w:rPr>
                <w:rFonts w:eastAsia="Times New Roman" w:cs="Arial"/>
                <w:sz w:val="21"/>
                <w:szCs w:val="21"/>
              </w:rPr>
              <w:t>ompensated Cirrhosis</w:t>
            </w:r>
            <w:r w:rsidR="002A2832" w:rsidRPr="00D77005">
              <w:rPr>
                <w:rFonts w:eastAsia="Times New Roman" w:cs="Arial"/>
                <w:sz w:val="21"/>
                <w:szCs w:val="21"/>
              </w:rPr>
              <w:t xml:space="preserve"> (n = 77)</w:t>
            </w:r>
          </w:p>
        </w:tc>
        <w:tc>
          <w:tcPr>
            <w:tcW w:w="111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6EF6" w14:textId="0FF9EF20" w:rsidR="002A2832" w:rsidRPr="00D77005" w:rsidRDefault="00431361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cs="Arial"/>
                <w:sz w:val="21"/>
                <w:szCs w:val="21"/>
                <w:lang w:eastAsia="zh-CN"/>
              </w:rPr>
              <w:t>D</w:t>
            </w:r>
            <w:r w:rsidRPr="00D77005">
              <w:rPr>
                <w:rFonts w:eastAsia="Times New Roman" w:cs="Arial"/>
                <w:sz w:val="21"/>
                <w:szCs w:val="21"/>
              </w:rPr>
              <w:t xml:space="preserve">ecompensated 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C</w:t>
            </w:r>
            <w:r w:rsidRPr="00D77005">
              <w:rPr>
                <w:rFonts w:eastAsia="Times New Roman" w:cs="Arial"/>
                <w:sz w:val="21"/>
                <w:szCs w:val="21"/>
              </w:rPr>
              <w:t>irrhosis</w:t>
            </w:r>
            <w:r w:rsidR="002A2832" w:rsidRPr="00D77005">
              <w:rPr>
                <w:rFonts w:eastAsia="Times New Roman" w:cs="Arial"/>
                <w:sz w:val="21"/>
                <w:szCs w:val="21"/>
              </w:rPr>
              <w:t xml:space="preserve"> (n = 121)</w:t>
            </w:r>
          </w:p>
        </w:tc>
        <w:tc>
          <w:tcPr>
            <w:tcW w:w="471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A32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i/>
                <w:sz w:val="21"/>
                <w:szCs w:val="21"/>
              </w:rPr>
            </w:pPr>
            <w:r w:rsidRPr="00D77005">
              <w:rPr>
                <w:rFonts w:eastAsia="Times New Roman" w:cs="Arial"/>
                <w:i/>
                <w:sz w:val="21"/>
                <w:szCs w:val="21"/>
              </w:rPr>
              <w:t>P</w:t>
            </w:r>
          </w:p>
        </w:tc>
      </w:tr>
      <w:tr w:rsidR="002A2832" w:rsidRPr="00D77005" w14:paraId="01403A10" w14:textId="77777777" w:rsidTr="001E22DB">
        <w:trPr>
          <w:trHeight w:val="624"/>
          <w:tblHeader/>
          <w:jc w:val="center"/>
        </w:trPr>
        <w:tc>
          <w:tcPr>
            <w:tcW w:w="1174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3F2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11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0A77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11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4E86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11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359C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471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6DB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i/>
                <w:sz w:val="21"/>
                <w:szCs w:val="21"/>
              </w:rPr>
            </w:pPr>
          </w:p>
        </w:tc>
      </w:tr>
      <w:tr w:rsidR="002A2832" w:rsidRPr="00D77005" w14:paraId="3AAABE72" w14:textId="77777777" w:rsidTr="001E22DB">
        <w:trPr>
          <w:jc w:val="center"/>
        </w:trPr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21D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International Normalized Ratio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57D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1.30 (1.11, 1.55)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1941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1.10 (1.02, 1.19)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A6AE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1.50 (1.30, 1.68)</w:t>
            </w:r>
          </w:p>
        </w:tc>
        <w:tc>
          <w:tcPr>
            <w:tcW w:w="4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59C6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  <w:tr w:rsidR="002A2832" w:rsidRPr="00D77005" w14:paraId="1FF7BB1A" w14:textId="77777777" w:rsidTr="001E22DB">
        <w:trPr>
          <w:jc w:val="center"/>
        </w:trPr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FA20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Alanine Aminotransferase, U/L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67E1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40.50 (26.00, 89.75)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FCCE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47.00 (27.00, 121.00)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2B0D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38.00 (26.00, 72.00)</w:t>
            </w:r>
          </w:p>
        </w:tc>
        <w:tc>
          <w:tcPr>
            <w:tcW w:w="4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5EBF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0.444</w:t>
            </w:r>
          </w:p>
        </w:tc>
      </w:tr>
      <w:tr w:rsidR="002A2832" w:rsidRPr="00D77005" w14:paraId="04EF3BB9" w14:textId="77777777" w:rsidTr="001E22DB">
        <w:trPr>
          <w:jc w:val="center"/>
        </w:trPr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95B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Aspartate Aminotransferase, U/L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229C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53.00 (33.25, 123.75)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9D3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48.00 (27.00, 90.00)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A85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60.00 (36.00, 128.00)</w:t>
            </w:r>
          </w:p>
        </w:tc>
        <w:tc>
          <w:tcPr>
            <w:tcW w:w="4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B9E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0.022</w:t>
            </w:r>
          </w:p>
        </w:tc>
      </w:tr>
      <w:tr w:rsidR="002A2832" w:rsidRPr="00D77005" w14:paraId="42F48DC4" w14:textId="77777777" w:rsidTr="001E22DB">
        <w:trPr>
          <w:jc w:val="center"/>
        </w:trPr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E96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Total Bilirubin, μmol/L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A29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34.95 (21.07, 88.60)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EE4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20.70 (16.50, 28.30)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9320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65.50 (35.30, 123.50)</w:t>
            </w:r>
          </w:p>
        </w:tc>
        <w:tc>
          <w:tcPr>
            <w:tcW w:w="4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062B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  <w:tr w:rsidR="002A2832" w:rsidRPr="00D77005" w14:paraId="5674B470" w14:textId="77777777" w:rsidTr="001E22DB">
        <w:trPr>
          <w:jc w:val="center"/>
        </w:trPr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72A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Direct Bilirubin​, μmol/L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E0A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15.50 (8.50, 37.73)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85A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8.10 (6.10, 12.00)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8F70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29.00 (15.50, 81.40)</w:t>
            </w:r>
          </w:p>
        </w:tc>
        <w:tc>
          <w:tcPr>
            <w:tcW w:w="4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91A2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  <w:tr w:rsidR="002A2832" w:rsidRPr="00D77005" w14:paraId="66FEFA7A" w14:textId="77777777" w:rsidTr="001E22DB">
        <w:trPr>
          <w:jc w:val="center"/>
        </w:trPr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1C8E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TBil-D</w:t>
            </w:r>
            <w:r w:rsidRPr="00D77005">
              <w:rPr>
                <w:rFonts w:cs="Arial"/>
                <w:color w:val="000000"/>
                <w:sz w:val="21"/>
                <w:szCs w:val="21"/>
                <w:lang w:eastAsia="zh-CN"/>
              </w:rPr>
              <w:t>ay</w:t>
            </w: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7, μmol/L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54B2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30.50 (17.65, 69.30)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F3B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16.70 (13.20, 26.70)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EFD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50.40 (28.80, 108.40)</w:t>
            </w:r>
          </w:p>
        </w:tc>
        <w:tc>
          <w:tcPr>
            <w:tcW w:w="4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4A66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</w:tbl>
    <w:p w14:paraId="5EDC08D7" w14:textId="5CB1E102" w:rsidR="002A2832" w:rsidRPr="00D77005" w:rsidRDefault="002A2832" w:rsidP="00CE7FA8">
      <w:pPr>
        <w:widowControl w:val="0"/>
        <w:adjustRightInd w:val="0"/>
        <w:snapToGrid w:val="0"/>
        <w:rPr>
          <w:rFonts w:cs="Arial"/>
          <w:szCs w:val="20"/>
        </w:rPr>
      </w:pPr>
      <w:r w:rsidRPr="00D77005">
        <w:rPr>
          <w:rFonts w:cs="Arial"/>
          <w:b/>
          <w:szCs w:val="20"/>
        </w:rPr>
        <w:t>Notes:</w:t>
      </w:r>
      <w:r w:rsidRPr="00D77005">
        <w:rPr>
          <w:rFonts w:cs="Arial"/>
          <w:szCs w:val="20"/>
        </w:rPr>
        <w:t xml:space="preserve"> </w:t>
      </w:r>
      <w:r w:rsidR="006D7BCE" w:rsidRPr="00D77005">
        <w:rPr>
          <w:rFonts w:cs="Arial"/>
          <w:szCs w:val="20"/>
        </w:rPr>
        <w:t>Due to skewed distributions, all variables are shown as median (Q</w:t>
      </w:r>
      <w:r w:rsidR="006D7BCE" w:rsidRPr="00D77005">
        <w:rPr>
          <w:rFonts w:ascii="Cambria Math" w:hAnsi="Cambria Math" w:cs="Cambria Math"/>
          <w:szCs w:val="20"/>
        </w:rPr>
        <w:t>₁</w:t>
      </w:r>
      <w:r w:rsidR="006D7BCE" w:rsidRPr="00D77005">
        <w:rPr>
          <w:rFonts w:cs="Arial"/>
          <w:szCs w:val="20"/>
        </w:rPr>
        <w:t>, Q</w:t>
      </w:r>
      <w:r w:rsidR="006D7BCE" w:rsidRPr="00D77005">
        <w:rPr>
          <w:rFonts w:ascii="Cambria Math" w:hAnsi="Cambria Math" w:cs="Cambria Math"/>
          <w:szCs w:val="20"/>
        </w:rPr>
        <w:t>₃</w:t>
      </w:r>
      <w:r w:rsidR="006D7BCE" w:rsidRPr="00D77005">
        <w:rPr>
          <w:rFonts w:cs="Arial"/>
          <w:szCs w:val="20"/>
        </w:rPr>
        <w:t>) and between</w:t>
      </w:r>
      <w:r w:rsidR="006D7BCE" w:rsidRPr="00D77005">
        <w:rPr>
          <w:rFonts w:ascii="Cambria Math" w:hAnsi="Cambria Math" w:cs="Cambria Math"/>
          <w:szCs w:val="20"/>
        </w:rPr>
        <w:t>‑</w:t>
      </w:r>
      <w:r w:rsidR="006D7BCE" w:rsidRPr="00D77005">
        <w:rPr>
          <w:rFonts w:cs="Arial"/>
          <w:szCs w:val="20"/>
        </w:rPr>
        <w:t>group comparisons were performed using the Mann</w:t>
      </w:r>
      <w:r w:rsidR="006D7BCE" w:rsidRPr="00D77005">
        <w:rPr>
          <w:rFonts w:ascii="Cambria Math" w:hAnsi="Cambria Math" w:cs="Cambria Math"/>
          <w:szCs w:val="20"/>
        </w:rPr>
        <w:t>‑</w:t>
      </w:r>
      <w:r w:rsidR="006D7BCE" w:rsidRPr="00D77005">
        <w:rPr>
          <w:rFonts w:cs="Arial"/>
          <w:szCs w:val="20"/>
        </w:rPr>
        <w:t>Whitney U test.</w:t>
      </w:r>
    </w:p>
    <w:bookmarkEnd w:id="1"/>
    <w:p w14:paraId="3A4BF6E0" w14:textId="77777777" w:rsidR="002A2832" w:rsidRPr="00D77005" w:rsidRDefault="002A2832" w:rsidP="00CE7FA8">
      <w:pPr>
        <w:adjustRightInd w:val="0"/>
        <w:snapToGrid w:val="0"/>
        <w:rPr>
          <w:rFonts w:cs="Arial"/>
          <w:lang w:eastAsia="zh-CN"/>
        </w:rPr>
      </w:pPr>
    </w:p>
    <w:p w14:paraId="21BA4409" w14:textId="7ABFF453" w:rsidR="00CE7FA8" w:rsidRPr="00D77005" w:rsidRDefault="002A2832" w:rsidP="00CE7FA8">
      <w:pPr>
        <w:widowControl w:val="0"/>
        <w:adjustRightInd w:val="0"/>
        <w:snapToGrid w:val="0"/>
        <w:ind w:left="360"/>
        <w:rPr>
          <w:rFonts w:cs="Arial"/>
        </w:rPr>
      </w:pPr>
      <w:r w:rsidRPr="00D77005">
        <w:rPr>
          <w:rFonts w:cs="Arial"/>
          <w:szCs w:val="20"/>
          <w:lang w:eastAsia="zh-CN"/>
        </w:rPr>
        <w:br w:type="page"/>
      </w:r>
      <w:r w:rsidRPr="00D77005">
        <w:rPr>
          <w:rFonts w:cs="Arial"/>
          <w:b/>
          <w:bCs/>
        </w:rPr>
        <w:lastRenderedPageBreak/>
        <w:t>Supplementary Table S</w:t>
      </w:r>
      <w:r w:rsidR="006D7BCE" w:rsidRPr="00D77005">
        <w:rPr>
          <w:rFonts w:cs="Arial"/>
          <w:b/>
          <w:bCs/>
          <w:lang w:eastAsia="zh-CN"/>
        </w:rPr>
        <w:t>3</w:t>
      </w:r>
      <w:r w:rsidRPr="00D77005">
        <w:rPr>
          <w:rFonts w:cs="Arial"/>
        </w:rPr>
        <w:t xml:space="preserve"> </w:t>
      </w:r>
    </w:p>
    <w:p w14:paraId="0F4AAFE4" w14:textId="114391AC" w:rsidR="002A2832" w:rsidRPr="00D77005" w:rsidRDefault="002A2832" w:rsidP="00CE7FA8">
      <w:pPr>
        <w:widowControl w:val="0"/>
        <w:adjustRightInd w:val="0"/>
        <w:snapToGrid w:val="0"/>
        <w:ind w:left="360"/>
        <w:rPr>
          <w:rFonts w:cs="Arial"/>
        </w:rPr>
      </w:pPr>
      <w:r w:rsidRPr="00D77005">
        <w:rPr>
          <w:rFonts w:cs="Arial"/>
        </w:rPr>
        <w:t xml:space="preserve">Baseline Characteristics of Compensated and Decompensated Cirrhosis in the </w:t>
      </w:r>
      <w:r w:rsidR="006D7BCE" w:rsidRPr="00D77005">
        <w:rPr>
          <w:rFonts w:cs="Arial"/>
          <w:lang w:eastAsia="zh-CN"/>
        </w:rPr>
        <w:t xml:space="preserve">Internal </w:t>
      </w:r>
      <w:r w:rsidRPr="00D77005">
        <w:rPr>
          <w:rFonts w:cs="Arial"/>
        </w:rPr>
        <w:t xml:space="preserve">Validation </w:t>
      </w:r>
      <w:r w:rsidR="006D7BCE" w:rsidRPr="00D77005">
        <w:rPr>
          <w:rFonts w:cs="Arial"/>
          <w:lang w:eastAsia="zh-CN"/>
        </w:rPr>
        <w:t>Cohort</w:t>
      </w:r>
    </w:p>
    <w:p w14:paraId="3F4A805D" w14:textId="77777777" w:rsidR="002A2832" w:rsidRPr="00D77005" w:rsidRDefault="002A2832" w:rsidP="00CE7FA8">
      <w:pPr>
        <w:pStyle w:val="FirstParagraph"/>
        <w:adjustRightInd w:val="0"/>
        <w:snapToGrid w:val="0"/>
        <w:spacing w:line="480" w:lineRule="auto"/>
        <w:rPr>
          <w:rFonts w:ascii="Arial" w:hAnsi="Arial" w:cs="Arial"/>
          <w:lang w:eastAsia="zh-CN"/>
        </w:rPr>
      </w:pPr>
    </w:p>
    <w:tbl>
      <w:tblPr>
        <w:tblW w:w="5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2"/>
        <w:gridCol w:w="2264"/>
        <w:gridCol w:w="2263"/>
        <w:gridCol w:w="2263"/>
        <w:gridCol w:w="819"/>
      </w:tblGrid>
      <w:tr w:rsidR="002A2832" w:rsidRPr="00D77005" w14:paraId="7EF857E8" w14:textId="77777777" w:rsidTr="001E22DB">
        <w:trPr>
          <w:trHeight w:val="624"/>
          <w:tblHeader/>
          <w:jc w:val="center"/>
        </w:trPr>
        <w:tc>
          <w:tcPr>
            <w:tcW w:w="109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550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Variables</w:t>
            </w:r>
          </w:p>
        </w:tc>
        <w:tc>
          <w:tcPr>
            <w:tcW w:w="116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3D2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Total (n = 86)</w:t>
            </w:r>
          </w:p>
        </w:tc>
        <w:tc>
          <w:tcPr>
            <w:tcW w:w="116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5AE1" w14:textId="78F4313F" w:rsidR="002A2832" w:rsidRPr="00D77005" w:rsidRDefault="00431361" w:rsidP="004313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cs="Arial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  <w:sz w:val="21"/>
                <w:szCs w:val="21"/>
                <w:lang w:eastAsia="zh-CN"/>
              </w:rPr>
              <w:t>C</w:t>
            </w:r>
            <w:r w:rsidRPr="00D77005">
              <w:rPr>
                <w:rFonts w:eastAsia="Times New Roman" w:cs="Arial"/>
                <w:sz w:val="21"/>
                <w:szCs w:val="21"/>
              </w:rPr>
              <w:t xml:space="preserve">ompensated 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C</w:t>
            </w:r>
            <w:r w:rsidRPr="00D77005">
              <w:rPr>
                <w:rFonts w:eastAsia="Times New Roman" w:cs="Arial"/>
                <w:sz w:val="21"/>
                <w:szCs w:val="21"/>
              </w:rPr>
              <w:t xml:space="preserve">irrhosis </w:t>
            </w:r>
            <w:r w:rsidR="002A2832" w:rsidRPr="00D77005">
              <w:rPr>
                <w:rFonts w:eastAsia="Times New Roman" w:cs="Arial"/>
                <w:sz w:val="21"/>
                <w:szCs w:val="21"/>
              </w:rPr>
              <w:t xml:space="preserve"> (n = 26)</w:t>
            </w:r>
          </w:p>
        </w:tc>
        <w:tc>
          <w:tcPr>
            <w:tcW w:w="116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4A8C" w14:textId="4F644708" w:rsidR="002A2832" w:rsidRPr="00D77005" w:rsidRDefault="00431361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cs="Arial"/>
                <w:sz w:val="21"/>
                <w:szCs w:val="21"/>
                <w:lang w:eastAsia="zh-CN"/>
              </w:rPr>
              <w:t>D</w:t>
            </w:r>
            <w:r w:rsidRPr="00D77005">
              <w:rPr>
                <w:rFonts w:eastAsia="Times New Roman" w:cs="Arial"/>
                <w:sz w:val="21"/>
                <w:szCs w:val="21"/>
              </w:rPr>
              <w:t xml:space="preserve">ecompensated 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C</w:t>
            </w:r>
            <w:r w:rsidRPr="00D77005">
              <w:rPr>
                <w:rFonts w:eastAsia="Times New Roman" w:cs="Arial"/>
                <w:sz w:val="21"/>
                <w:szCs w:val="21"/>
              </w:rPr>
              <w:t>irrhosis</w:t>
            </w:r>
            <w:r w:rsidR="002A2832" w:rsidRPr="00D77005">
              <w:rPr>
                <w:rFonts w:eastAsia="Times New Roman" w:cs="Arial"/>
                <w:sz w:val="21"/>
                <w:szCs w:val="21"/>
              </w:rPr>
              <w:t xml:space="preserve"> (n = 60)</w:t>
            </w:r>
          </w:p>
        </w:tc>
        <w:tc>
          <w:tcPr>
            <w:tcW w:w="422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AA69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i/>
                <w:sz w:val="21"/>
                <w:szCs w:val="21"/>
              </w:rPr>
            </w:pPr>
            <w:r w:rsidRPr="00D77005">
              <w:rPr>
                <w:rFonts w:eastAsia="Times New Roman" w:cs="Arial"/>
                <w:i/>
                <w:sz w:val="21"/>
                <w:szCs w:val="21"/>
              </w:rPr>
              <w:t>P</w:t>
            </w:r>
          </w:p>
        </w:tc>
      </w:tr>
      <w:tr w:rsidR="002A2832" w:rsidRPr="00D77005" w14:paraId="6E7AEF5D" w14:textId="77777777" w:rsidTr="001E22DB">
        <w:trPr>
          <w:trHeight w:val="624"/>
          <w:tblHeader/>
          <w:jc w:val="center"/>
        </w:trPr>
        <w:tc>
          <w:tcPr>
            <w:tcW w:w="109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505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16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43EC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16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6331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16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19F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422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9D9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i/>
                <w:sz w:val="21"/>
                <w:szCs w:val="21"/>
              </w:rPr>
            </w:pPr>
          </w:p>
        </w:tc>
      </w:tr>
      <w:tr w:rsidR="002A2832" w:rsidRPr="00D77005" w14:paraId="31AC4A28" w14:textId="77777777" w:rsidTr="001E22DB">
        <w:trPr>
          <w:jc w:val="center"/>
        </w:trPr>
        <w:tc>
          <w:tcPr>
            <w:tcW w:w="10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BB7E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International Normalized Ratio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C297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1.29 (1.14, 1.55)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F166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1.10 (1.04, 1.15)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A807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1.40 (1.27, 1.67)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E372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  <w:tr w:rsidR="002A2832" w:rsidRPr="00D77005" w14:paraId="391D5AAC" w14:textId="77777777" w:rsidTr="001E22DB">
        <w:trPr>
          <w:jc w:val="center"/>
        </w:trPr>
        <w:tc>
          <w:tcPr>
            <w:tcW w:w="10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ADC8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Alanine Aminotransferase, U/L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B5E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40.50 (23.00, 89.50)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86D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42.50 (27.00, 101.25)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756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38.50 (22.50, 86.50)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594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0.800</w:t>
            </w:r>
          </w:p>
        </w:tc>
      </w:tr>
      <w:tr w:rsidR="002A2832" w:rsidRPr="00D77005" w14:paraId="444482C8" w14:textId="77777777" w:rsidTr="001E22DB">
        <w:trPr>
          <w:jc w:val="center"/>
        </w:trPr>
        <w:tc>
          <w:tcPr>
            <w:tcW w:w="10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519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Aspartate Aminotransferase, U/L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4D1E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48.50 (32.25, 97.75)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5422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37.00 (27.00, 61.75)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8D32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54.00 (36.00, 123.00)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7FC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0.028</w:t>
            </w:r>
          </w:p>
        </w:tc>
      </w:tr>
      <w:tr w:rsidR="002A2832" w:rsidRPr="00D77005" w14:paraId="762E6F10" w14:textId="77777777" w:rsidTr="001E22DB">
        <w:trPr>
          <w:jc w:val="center"/>
        </w:trPr>
        <w:tc>
          <w:tcPr>
            <w:tcW w:w="10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00CF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Total Bilirubin, μmol/L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C9FB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41.65 (21.42, 83.60)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98A6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17.65 (13.53, 23.95)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D286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62.55 (39.35, 106.57)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3DB0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  <w:tr w:rsidR="002A2832" w:rsidRPr="00D77005" w14:paraId="35D875F4" w14:textId="77777777" w:rsidTr="001E22DB">
        <w:trPr>
          <w:jc w:val="center"/>
        </w:trPr>
        <w:tc>
          <w:tcPr>
            <w:tcW w:w="10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A8C1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Direct Bilirubin​, μmol/L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DC57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19.35 (7.95, 37.58)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C28F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6.60 (5.53, 9.88)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B05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30.40 (16.05, 54.88)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7230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  <w:tr w:rsidR="002A2832" w:rsidRPr="00D77005" w14:paraId="22DDED92" w14:textId="77777777" w:rsidTr="001E22DB">
        <w:trPr>
          <w:jc w:val="center"/>
        </w:trPr>
        <w:tc>
          <w:tcPr>
            <w:tcW w:w="10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D54D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TB</w:t>
            </w:r>
            <w:r w:rsidRPr="00D77005">
              <w:rPr>
                <w:rFonts w:cs="Arial"/>
                <w:color w:val="000000"/>
                <w:sz w:val="21"/>
                <w:szCs w:val="21"/>
                <w:lang w:eastAsia="zh-CN"/>
              </w:rPr>
              <w:t>il</w:t>
            </w: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-D</w:t>
            </w:r>
            <w:r w:rsidRPr="00D77005">
              <w:rPr>
                <w:rFonts w:cs="Arial"/>
                <w:color w:val="000000"/>
                <w:sz w:val="21"/>
                <w:szCs w:val="21"/>
                <w:lang w:eastAsia="zh-CN"/>
              </w:rPr>
              <w:t>ay</w:t>
            </w: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7, μmol/L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C5A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31.80 (19.27, 58.63)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CFD0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16.05 (12.88, 20.85)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30FB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48.85 (30.90, 73.12)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05E4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&lt;</w:t>
            </w:r>
            <w:r w:rsidRPr="00D77005">
              <w:rPr>
                <w:rFonts w:cs="Arial"/>
                <w:sz w:val="21"/>
                <w:szCs w:val="21"/>
                <w:lang w:eastAsia="zh-CN"/>
              </w:rPr>
              <w:t>0</w:t>
            </w:r>
            <w:r w:rsidRPr="00D77005">
              <w:rPr>
                <w:rFonts w:eastAsia="Times New Roman" w:cs="Arial"/>
                <w:sz w:val="21"/>
                <w:szCs w:val="21"/>
              </w:rPr>
              <w:t>.001</w:t>
            </w:r>
          </w:p>
        </w:tc>
      </w:tr>
    </w:tbl>
    <w:p w14:paraId="36EFC9B0" w14:textId="38EB62A9" w:rsidR="002A2832" w:rsidRPr="00D77005" w:rsidRDefault="002A2832" w:rsidP="00CE7FA8">
      <w:pPr>
        <w:widowControl w:val="0"/>
        <w:adjustRightInd w:val="0"/>
        <w:snapToGrid w:val="0"/>
        <w:rPr>
          <w:rFonts w:cs="Arial"/>
          <w:szCs w:val="20"/>
        </w:rPr>
      </w:pPr>
      <w:r w:rsidRPr="00D77005">
        <w:rPr>
          <w:rFonts w:cs="Arial"/>
          <w:b/>
          <w:szCs w:val="20"/>
        </w:rPr>
        <w:t>Notes:</w:t>
      </w:r>
      <w:r w:rsidRPr="00D77005">
        <w:rPr>
          <w:rFonts w:cs="Arial"/>
          <w:szCs w:val="20"/>
        </w:rPr>
        <w:t xml:space="preserve"> </w:t>
      </w:r>
      <w:r w:rsidR="006D7BCE" w:rsidRPr="00D77005">
        <w:rPr>
          <w:rFonts w:cs="Arial"/>
          <w:szCs w:val="20"/>
        </w:rPr>
        <w:t>Due to skewed distributions, all variables are shown as median (Q</w:t>
      </w:r>
      <w:r w:rsidR="006D7BCE" w:rsidRPr="00D77005">
        <w:rPr>
          <w:rFonts w:ascii="Cambria Math" w:hAnsi="Cambria Math" w:cs="Cambria Math"/>
          <w:szCs w:val="20"/>
        </w:rPr>
        <w:t>₁</w:t>
      </w:r>
      <w:r w:rsidR="006D7BCE" w:rsidRPr="00D77005">
        <w:rPr>
          <w:rFonts w:cs="Arial"/>
          <w:szCs w:val="20"/>
        </w:rPr>
        <w:t>, Q</w:t>
      </w:r>
      <w:r w:rsidR="006D7BCE" w:rsidRPr="00D77005">
        <w:rPr>
          <w:rFonts w:ascii="Cambria Math" w:hAnsi="Cambria Math" w:cs="Cambria Math"/>
          <w:szCs w:val="20"/>
        </w:rPr>
        <w:t>₃</w:t>
      </w:r>
      <w:r w:rsidR="006D7BCE" w:rsidRPr="00D77005">
        <w:rPr>
          <w:rFonts w:cs="Arial"/>
          <w:szCs w:val="20"/>
        </w:rPr>
        <w:t>) and between</w:t>
      </w:r>
      <w:r w:rsidR="006D7BCE" w:rsidRPr="00D77005">
        <w:rPr>
          <w:rFonts w:ascii="Cambria Math" w:hAnsi="Cambria Math" w:cs="Cambria Math"/>
          <w:szCs w:val="20"/>
        </w:rPr>
        <w:t>‑</w:t>
      </w:r>
      <w:r w:rsidR="006D7BCE" w:rsidRPr="00D77005">
        <w:rPr>
          <w:rFonts w:cs="Arial"/>
          <w:szCs w:val="20"/>
        </w:rPr>
        <w:t>group comparisons were performed using the Mann</w:t>
      </w:r>
      <w:r w:rsidR="006D7BCE" w:rsidRPr="00D77005">
        <w:rPr>
          <w:rFonts w:ascii="Cambria Math" w:hAnsi="Cambria Math" w:cs="Cambria Math"/>
          <w:szCs w:val="20"/>
        </w:rPr>
        <w:t>‑</w:t>
      </w:r>
      <w:r w:rsidR="006D7BCE" w:rsidRPr="00D77005">
        <w:rPr>
          <w:rFonts w:cs="Arial"/>
          <w:szCs w:val="20"/>
        </w:rPr>
        <w:t>Whitney U test.</w:t>
      </w:r>
    </w:p>
    <w:p w14:paraId="28194200" w14:textId="77777777" w:rsidR="002A2832" w:rsidRPr="00D77005" w:rsidRDefault="002A2832" w:rsidP="00CE7FA8">
      <w:pPr>
        <w:adjustRightInd w:val="0"/>
        <w:snapToGrid w:val="0"/>
        <w:rPr>
          <w:rFonts w:cs="Arial"/>
          <w:szCs w:val="20"/>
        </w:rPr>
      </w:pPr>
      <w:r w:rsidRPr="00D77005">
        <w:rPr>
          <w:rFonts w:cs="Arial"/>
          <w:szCs w:val="20"/>
        </w:rPr>
        <w:br w:type="page"/>
      </w:r>
    </w:p>
    <w:p w14:paraId="6C05C467" w14:textId="6C2114F0" w:rsidR="002A2832" w:rsidRPr="00D77005" w:rsidRDefault="002A2832" w:rsidP="00CE7FA8">
      <w:pPr>
        <w:widowControl w:val="0"/>
        <w:adjustRightInd w:val="0"/>
        <w:snapToGrid w:val="0"/>
        <w:ind w:firstLineChars="200" w:firstLine="400"/>
        <w:rPr>
          <w:rFonts w:cs="Arial"/>
        </w:rPr>
      </w:pPr>
      <w:r w:rsidRPr="00D77005">
        <w:rPr>
          <w:rFonts w:cs="Arial"/>
          <w:b/>
          <w:bCs/>
        </w:rPr>
        <w:lastRenderedPageBreak/>
        <w:t>Supplementary Table S</w:t>
      </w:r>
      <w:r w:rsidR="006D7BCE" w:rsidRPr="00D77005">
        <w:rPr>
          <w:rFonts w:cs="Arial"/>
          <w:b/>
          <w:bCs/>
          <w:lang w:eastAsia="zh-CN"/>
        </w:rPr>
        <w:t>4</w:t>
      </w:r>
      <w:r w:rsidRPr="00D77005">
        <w:rPr>
          <w:rFonts w:cs="Arial"/>
        </w:rPr>
        <w:t xml:space="preserve"> </w:t>
      </w:r>
    </w:p>
    <w:p w14:paraId="344C8B6B" w14:textId="3F1E4332" w:rsidR="002A2832" w:rsidRPr="00D77005" w:rsidRDefault="002A2832" w:rsidP="00CE7FA8">
      <w:pPr>
        <w:widowControl w:val="0"/>
        <w:adjustRightInd w:val="0"/>
        <w:snapToGrid w:val="0"/>
        <w:ind w:left="360"/>
        <w:rPr>
          <w:rFonts w:cs="Arial"/>
        </w:rPr>
      </w:pPr>
      <w:r w:rsidRPr="00D77005">
        <w:rPr>
          <w:rFonts w:cs="Arial"/>
        </w:rPr>
        <w:t>Predictors and Coefficients Selected by LASSO Regression</w:t>
      </w:r>
    </w:p>
    <w:p w14:paraId="778D6634" w14:textId="77777777" w:rsidR="002A2832" w:rsidRPr="00D77005" w:rsidRDefault="002A2832" w:rsidP="00CE7FA8">
      <w:pPr>
        <w:pStyle w:val="FirstParagraph"/>
        <w:adjustRightInd w:val="0"/>
        <w:snapToGrid w:val="0"/>
        <w:spacing w:line="480" w:lineRule="auto"/>
        <w:rPr>
          <w:rFonts w:ascii="Arial" w:hAnsi="Arial" w:cs="Arial"/>
          <w:lang w:eastAsia="zh-CN"/>
        </w:rPr>
      </w:pPr>
    </w:p>
    <w:tbl>
      <w:tblPr>
        <w:tblW w:w="3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269"/>
        <w:gridCol w:w="1752"/>
      </w:tblGrid>
      <w:tr w:rsidR="002A2832" w:rsidRPr="00D77005" w14:paraId="7730E00F" w14:textId="77777777" w:rsidTr="0016619F">
        <w:trPr>
          <w:trHeight w:val="624"/>
          <w:tblHeader/>
          <w:jc w:val="center"/>
        </w:trPr>
        <w:tc>
          <w:tcPr>
            <w:tcW w:w="325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CD09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Variables</w:t>
            </w:r>
          </w:p>
        </w:tc>
        <w:tc>
          <w:tcPr>
            <w:tcW w:w="174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745C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Coefficient</w:t>
            </w:r>
          </w:p>
        </w:tc>
      </w:tr>
      <w:tr w:rsidR="002A2832" w:rsidRPr="00D77005" w14:paraId="69B50AE5" w14:textId="77777777" w:rsidTr="0016619F">
        <w:trPr>
          <w:trHeight w:val="624"/>
          <w:tblHeader/>
          <w:jc w:val="center"/>
        </w:trPr>
        <w:tc>
          <w:tcPr>
            <w:tcW w:w="325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9C3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74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615C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2A2832" w:rsidRPr="00D77005" w14:paraId="05C13849" w14:textId="77777777" w:rsidTr="0016619F">
        <w:trPr>
          <w:jc w:val="center"/>
        </w:trPr>
        <w:tc>
          <w:tcPr>
            <w:tcW w:w="32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D26C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International Normalized Ratio</w:t>
            </w:r>
          </w:p>
        </w:tc>
        <w:tc>
          <w:tcPr>
            <w:tcW w:w="1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744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3.058309</w:t>
            </w:r>
          </w:p>
        </w:tc>
      </w:tr>
      <w:tr w:rsidR="002A2832" w:rsidRPr="00D77005" w14:paraId="6CA176AC" w14:textId="77777777" w:rsidTr="0016619F">
        <w:trPr>
          <w:jc w:val="center"/>
        </w:trPr>
        <w:tc>
          <w:tcPr>
            <w:tcW w:w="32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0B5B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Aspartate Aminotransferase, U/L</w:t>
            </w:r>
          </w:p>
        </w:tc>
        <w:tc>
          <w:tcPr>
            <w:tcW w:w="1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7CCB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12.743976</w:t>
            </w:r>
          </w:p>
        </w:tc>
      </w:tr>
      <w:tr w:rsidR="002A2832" w:rsidRPr="00D77005" w14:paraId="2444F7C6" w14:textId="77777777" w:rsidTr="0016619F">
        <w:trPr>
          <w:jc w:val="center"/>
        </w:trPr>
        <w:tc>
          <w:tcPr>
            <w:tcW w:w="32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9927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Total Bilirubin, μmol/L</w:t>
            </w:r>
          </w:p>
        </w:tc>
        <w:tc>
          <w:tcPr>
            <w:tcW w:w="1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199A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58.733134</w:t>
            </w:r>
          </w:p>
        </w:tc>
      </w:tr>
      <w:tr w:rsidR="002A2832" w:rsidRPr="00D77005" w14:paraId="488C43B8" w14:textId="77777777" w:rsidTr="0016619F">
        <w:trPr>
          <w:jc w:val="center"/>
        </w:trPr>
        <w:tc>
          <w:tcPr>
            <w:tcW w:w="32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1DB5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cs="Arial"/>
                <w:sz w:val="21"/>
                <w:szCs w:val="21"/>
                <w:lang w:eastAsia="zh-CN"/>
              </w:rPr>
            </w:pPr>
            <w:r w:rsidRPr="00D77005">
              <w:rPr>
                <w:rFonts w:eastAsia="Times New Roman" w:cs="Arial"/>
                <w:color w:val="000000"/>
                <w:sz w:val="21"/>
                <w:szCs w:val="21"/>
              </w:rPr>
              <w:t>Direct Bilirubin​, μmol/L</w:t>
            </w:r>
          </w:p>
        </w:tc>
        <w:tc>
          <w:tcPr>
            <w:tcW w:w="1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53C3" w14:textId="77777777" w:rsidR="002A2832" w:rsidRPr="00D77005" w:rsidRDefault="002A2832" w:rsidP="00CE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before="40" w:after="40"/>
              <w:ind w:left="40" w:right="40"/>
              <w:jc w:val="center"/>
              <w:rPr>
                <w:rFonts w:eastAsia="Times New Roman" w:cs="Arial"/>
                <w:sz w:val="21"/>
                <w:szCs w:val="21"/>
              </w:rPr>
            </w:pPr>
            <w:r w:rsidRPr="00D77005">
              <w:rPr>
                <w:rFonts w:eastAsia="Times New Roman" w:cs="Arial"/>
                <w:sz w:val="21"/>
                <w:szCs w:val="21"/>
              </w:rPr>
              <w:t>33.499165</w:t>
            </w:r>
          </w:p>
        </w:tc>
      </w:tr>
    </w:tbl>
    <w:p w14:paraId="480EC8A1" w14:textId="77777777" w:rsidR="002A2832" w:rsidRPr="00D77005" w:rsidRDefault="002A2832" w:rsidP="00CE7FA8">
      <w:pPr>
        <w:adjustRightInd w:val="0"/>
        <w:snapToGrid w:val="0"/>
        <w:rPr>
          <w:rFonts w:cs="Arial"/>
          <w:lang w:eastAsia="zh-CN"/>
        </w:rPr>
      </w:pPr>
    </w:p>
    <w:p w14:paraId="314102F7" w14:textId="53E26B84" w:rsidR="0016619F" w:rsidRPr="00D77005" w:rsidRDefault="0016619F">
      <w:pPr>
        <w:spacing w:line="240" w:lineRule="auto"/>
        <w:rPr>
          <w:rFonts w:cs="Arial"/>
        </w:rPr>
      </w:pPr>
      <w:r w:rsidRPr="00D77005">
        <w:rPr>
          <w:rFonts w:cs="Arial"/>
        </w:rPr>
        <w:br w:type="page"/>
      </w:r>
    </w:p>
    <w:p w14:paraId="1A0D9535" w14:textId="112ABB07" w:rsidR="0016619F" w:rsidRPr="00D77005" w:rsidRDefault="0016619F" w:rsidP="0016619F">
      <w:pPr>
        <w:widowControl w:val="0"/>
        <w:adjustRightInd w:val="0"/>
        <w:snapToGrid w:val="0"/>
        <w:ind w:firstLineChars="200" w:firstLine="400"/>
        <w:rPr>
          <w:rFonts w:cs="Arial"/>
        </w:rPr>
      </w:pPr>
      <w:r w:rsidRPr="00D77005">
        <w:rPr>
          <w:rFonts w:cs="Arial"/>
          <w:b/>
          <w:bCs/>
        </w:rPr>
        <w:lastRenderedPageBreak/>
        <w:t>Supplementary Table S</w:t>
      </w:r>
      <w:r w:rsidRPr="00D77005">
        <w:rPr>
          <w:rFonts w:cs="Arial"/>
          <w:b/>
          <w:bCs/>
          <w:lang w:eastAsia="zh-CN"/>
        </w:rPr>
        <w:t>5</w:t>
      </w:r>
      <w:r w:rsidRPr="00D77005">
        <w:rPr>
          <w:rFonts w:cs="Arial"/>
        </w:rPr>
        <w:t xml:space="preserve"> </w:t>
      </w:r>
    </w:p>
    <w:p w14:paraId="1621E19B" w14:textId="0704A45E" w:rsidR="0016619F" w:rsidRDefault="00925B58" w:rsidP="0016619F">
      <w:pPr>
        <w:widowControl w:val="0"/>
        <w:adjustRightInd w:val="0"/>
        <w:snapToGrid w:val="0"/>
        <w:ind w:left="360"/>
        <w:rPr>
          <w:rFonts w:cs="Arial"/>
        </w:rPr>
      </w:pPr>
      <w:r w:rsidRPr="00D77005">
        <w:rPr>
          <w:rFonts w:cs="Arial"/>
        </w:rPr>
        <w:t>Comparison of predicted vs. actual TBil-Day7 in 10 randomly selected patients from the internal validation cohort</w:t>
      </w:r>
    </w:p>
    <w:p w14:paraId="1911B950" w14:textId="77777777" w:rsidR="001E22DB" w:rsidRPr="00D77005" w:rsidRDefault="001E22DB" w:rsidP="0016619F">
      <w:pPr>
        <w:widowControl w:val="0"/>
        <w:adjustRightInd w:val="0"/>
        <w:snapToGrid w:val="0"/>
        <w:ind w:left="36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01"/>
        <w:gridCol w:w="1368"/>
        <w:gridCol w:w="2271"/>
        <w:gridCol w:w="2270"/>
      </w:tblGrid>
      <w:tr w:rsidR="00584395" w:rsidRPr="00D77005" w14:paraId="2B3C291F" w14:textId="77777777" w:rsidTr="00584395">
        <w:trPr>
          <w:tblHeader/>
        </w:trPr>
        <w:tc>
          <w:tcPr>
            <w:tcW w:w="1095" w:type="dxa"/>
            <w:shd w:val="clear" w:color="auto" w:fill="FFFFFF"/>
          </w:tcPr>
          <w:p w14:paraId="3CD98BC7" w14:textId="4FC8B2C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Patient ID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1CEF8" w14:textId="12A0C606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Actual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DDB5C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Predicted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5150B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Absolute Error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84F872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Relative Error (%)</w:t>
            </w:r>
          </w:p>
        </w:tc>
      </w:tr>
      <w:tr w:rsidR="00584395" w:rsidRPr="00D77005" w14:paraId="43A24122" w14:textId="77777777" w:rsidTr="00584395">
        <w:tc>
          <w:tcPr>
            <w:tcW w:w="1095" w:type="dxa"/>
            <w:shd w:val="clear" w:color="auto" w:fill="FFFFFF"/>
          </w:tcPr>
          <w:p w14:paraId="653FD7C4" w14:textId="06285622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6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25FE8" w14:textId="00D42298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47.4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6125B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48.69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9B2D69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1.29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29F4D3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2.7</w:t>
            </w:r>
          </w:p>
        </w:tc>
      </w:tr>
      <w:tr w:rsidR="00584395" w:rsidRPr="00D77005" w14:paraId="2E598AD9" w14:textId="77777777" w:rsidTr="00584395">
        <w:tc>
          <w:tcPr>
            <w:tcW w:w="1095" w:type="dxa"/>
            <w:shd w:val="clear" w:color="auto" w:fill="FFFFFF"/>
          </w:tcPr>
          <w:p w14:paraId="490EF79D" w14:textId="547D0123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50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A98035" w14:textId="5D455D09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81.4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A83656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83.47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96D36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2.07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1FA714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2.5</w:t>
            </w:r>
          </w:p>
        </w:tc>
      </w:tr>
      <w:tr w:rsidR="00584395" w:rsidRPr="00D77005" w14:paraId="1C8C9BA8" w14:textId="77777777" w:rsidTr="00584395">
        <w:tc>
          <w:tcPr>
            <w:tcW w:w="1095" w:type="dxa"/>
            <w:shd w:val="clear" w:color="auto" w:fill="FFFFFF"/>
          </w:tcPr>
          <w:p w14:paraId="0F1C596C" w14:textId="617F5D53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76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3085D7" w14:textId="5E3E179A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19.5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B6F3C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14.94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71A60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4.56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FBBCF3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23.4</w:t>
            </w:r>
          </w:p>
        </w:tc>
      </w:tr>
      <w:tr w:rsidR="00584395" w:rsidRPr="00D77005" w14:paraId="2541681D" w14:textId="77777777" w:rsidTr="00584395">
        <w:tc>
          <w:tcPr>
            <w:tcW w:w="1095" w:type="dxa"/>
            <w:shd w:val="clear" w:color="auto" w:fill="FFFFFF"/>
          </w:tcPr>
          <w:p w14:paraId="70CCEB6A" w14:textId="6E2C1B9B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41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3C4CA7" w14:textId="4D9F3BFB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12.4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58D96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6.24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5BB69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6.16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93982A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49.7</w:t>
            </w:r>
          </w:p>
        </w:tc>
      </w:tr>
      <w:tr w:rsidR="00584395" w:rsidRPr="00D77005" w14:paraId="0DF3EC8D" w14:textId="77777777" w:rsidTr="00584395">
        <w:tc>
          <w:tcPr>
            <w:tcW w:w="1095" w:type="dxa"/>
            <w:shd w:val="clear" w:color="auto" w:fill="FFFFFF"/>
          </w:tcPr>
          <w:p w14:paraId="6CCF5DDC" w14:textId="2D2BFD13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85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43E6BE" w14:textId="00703C8B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46.3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7E86F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47.89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CA2E5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1.59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20A5A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3.4</w:t>
            </w:r>
          </w:p>
        </w:tc>
      </w:tr>
      <w:tr w:rsidR="00584395" w:rsidRPr="00D77005" w14:paraId="68F1D6E1" w14:textId="77777777" w:rsidTr="00584395">
        <w:tc>
          <w:tcPr>
            <w:tcW w:w="1095" w:type="dxa"/>
            <w:shd w:val="clear" w:color="auto" w:fill="FFFFFF"/>
          </w:tcPr>
          <w:p w14:paraId="35B1F57C" w14:textId="0B988DCF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17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C68622" w14:textId="6A50B80F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54.8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4A6F0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48.70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4FDD5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6.10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9ABA82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11.1</w:t>
            </w:r>
          </w:p>
        </w:tc>
      </w:tr>
      <w:tr w:rsidR="00584395" w:rsidRPr="00D77005" w14:paraId="7344FEF4" w14:textId="77777777" w:rsidTr="00584395">
        <w:tc>
          <w:tcPr>
            <w:tcW w:w="1095" w:type="dxa"/>
            <w:shd w:val="clear" w:color="auto" w:fill="FFFFFF"/>
          </w:tcPr>
          <w:p w14:paraId="754BCBD9" w14:textId="7684F1BF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32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CD64C9" w14:textId="07236E51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31.6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02DD8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43.07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B5B22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11.47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412E1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36.3</w:t>
            </w:r>
          </w:p>
        </w:tc>
      </w:tr>
      <w:tr w:rsidR="00584395" w:rsidRPr="00D77005" w14:paraId="1E9756C3" w14:textId="77777777" w:rsidTr="00584395">
        <w:tc>
          <w:tcPr>
            <w:tcW w:w="1095" w:type="dxa"/>
            <w:shd w:val="clear" w:color="auto" w:fill="FFFFFF"/>
          </w:tcPr>
          <w:p w14:paraId="401E2EC7" w14:textId="653B2B63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70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5BFD7" w14:textId="77D84D66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394.0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CD75D8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503.73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EB808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109.73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56FF92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27.9</w:t>
            </w:r>
          </w:p>
        </w:tc>
      </w:tr>
      <w:tr w:rsidR="00584395" w:rsidRPr="00D77005" w14:paraId="6A6A4631" w14:textId="77777777" w:rsidTr="00584395">
        <w:tc>
          <w:tcPr>
            <w:tcW w:w="1095" w:type="dxa"/>
            <w:shd w:val="clear" w:color="auto" w:fill="FFFFFF"/>
          </w:tcPr>
          <w:p w14:paraId="3E3EA0FE" w14:textId="29FC70AC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79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E83EB3" w14:textId="60F55159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12.8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A13EC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7.94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B15BB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4.86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9D8E56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38.0</w:t>
            </w:r>
          </w:p>
        </w:tc>
      </w:tr>
      <w:tr w:rsidR="00584395" w:rsidRPr="00D77005" w14:paraId="1F5F578A" w14:textId="77777777" w:rsidTr="00584395">
        <w:trPr>
          <w:trHeight w:val="25"/>
        </w:trPr>
        <w:tc>
          <w:tcPr>
            <w:tcW w:w="1095" w:type="dxa"/>
            <w:shd w:val="clear" w:color="auto" w:fill="FFFFFF"/>
          </w:tcPr>
          <w:p w14:paraId="06E288D9" w14:textId="547B4C0D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cs="Arial"/>
              </w:rPr>
              <w:t>8</w:t>
            </w:r>
          </w:p>
        </w:tc>
        <w:tc>
          <w:tcPr>
            <w:tcW w:w="131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3B48C" w14:textId="03B30C11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99.0</w:t>
            </w:r>
          </w:p>
        </w:tc>
        <w:tc>
          <w:tcPr>
            <w:tcW w:w="13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2242B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113.49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26023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14.49</w:t>
            </w:r>
          </w:p>
        </w:tc>
        <w:tc>
          <w:tcPr>
            <w:tcW w:w="22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9EE260" w14:textId="77777777" w:rsidR="00584395" w:rsidRPr="00D77005" w:rsidRDefault="00584395" w:rsidP="00584395">
            <w:pPr>
              <w:spacing w:line="375" w:lineRule="atLeast"/>
              <w:jc w:val="center"/>
              <w:rPr>
                <w:rFonts w:eastAsia="宋体" w:cs="Arial"/>
                <w:color w:val="0F1115"/>
                <w:sz w:val="21"/>
                <w:szCs w:val="21"/>
                <w:lang w:eastAsia="zh-CN"/>
              </w:rPr>
            </w:pPr>
            <w:r w:rsidRPr="00D77005">
              <w:rPr>
                <w:rFonts w:eastAsia="宋体" w:cs="Arial"/>
                <w:color w:val="0F1115"/>
                <w:sz w:val="21"/>
                <w:szCs w:val="21"/>
                <w:lang w:eastAsia="zh-CN"/>
              </w:rPr>
              <w:t>14.6</w:t>
            </w:r>
          </w:p>
        </w:tc>
      </w:tr>
    </w:tbl>
    <w:p w14:paraId="30439792" w14:textId="77777777" w:rsidR="004F2BAE" w:rsidRDefault="004F2BAE" w:rsidP="00CE7FA8">
      <w:pPr>
        <w:adjustRightInd w:val="0"/>
        <w:snapToGrid w:val="0"/>
        <w:rPr>
          <w:rFonts w:cs="Arial"/>
          <w:lang w:eastAsia="zh-CN"/>
        </w:rPr>
      </w:pPr>
    </w:p>
    <w:p w14:paraId="6065332C" w14:textId="20C06D64" w:rsidR="00B80F91" w:rsidRDefault="00B80F91">
      <w:pPr>
        <w:spacing w:line="240" w:lineRule="auto"/>
        <w:rPr>
          <w:rFonts w:cs="Arial"/>
          <w:lang w:eastAsia="zh-CN"/>
        </w:rPr>
      </w:pPr>
      <w:r>
        <w:rPr>
          <w:rFonts w:cs="Arial"/>
          <w:lang w:eastAsia="zh-CN"/>
        </w:rPr>
        <w:br w:type="page"/>
      </w:r>
    </w:p>
    <w:p w14:paraId="2AB75907" w14:textId="77777777" w:rsidR="00B80F91" w:rsidRPr="007867F3" w:rsidRDefault="00B80F91" w:rsidP="00B80F91">
      <w:pPr>
        <w:widowControl w:val="0"/>
        <w:rPr>
          <w:color w:val="000000"/>
          <w:lang w:eastAsia="zh-CN"/>
        </w:rPr>
      </w:pPr>
      <w:r w:rsidRPr="007867F3">
        <w:rPr>
          <w:b/>
          <w:bCs/>
          <w:color w:val="000000"/>
        </w:rPr>
        <w:lastRenderedPageBreak/>
        <w:t>Supplementary Figure S1</w:t>
      </w:r>
      <w:r w:rsidRPr="007867F3">
        <w:rPr>
          <w:color w:val="000000"/>
        </w:rPr>
        <w:t xml:space="preserve"> Internal validation calibration curve (deciles). Observed means closely align with the diagonal line, demonstrating good calibration without systematic bias.</w:t>
      </w:r>
    </w:p>
    <w:p w14:paraId="11314882" w14:textId="625EDD8E" w:rsidR="00B80F91" w:rsidRPr="00B80F91" w:rsidRDefault="00B80F91" w:rsidP="00CE7FA8">
      <w:pPr>
        <w:adjustRightInd w:val="0"/>
        <w:snapToGrid w:val="0"/>
        <w:rPr>
          <w:rFonts w:cs="Arial" w:hint="eastAsia"/>
          <w:lang w:eastAsia="zh-CN"/>
        </w:rPr>
      </w:pPr>
      <w:r>
        <w:rPr>
          <w:noProof/>
        </w:rPr>
        <w:drawing>
          <wp:inline distT="0" distB="0" distL="0" distR="0" wp14:anchorId="33A1C6CA" wp14:editId="7ABC9837">
            <wp:extent cx="5274310" cy="5274310"/>
            <wp:effectExtent l="0" t="0" r="2540" b="2540"/>
            <wp:docPr id="17592404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F91" w:rsidRPr="00B80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7410" w14:textId="77777777" w:rsidR="004D6929" w:rsidRDefault="004D6929" w:rsidP="002A2832">
      <w:pPr>
        <w:spacing w:line="240" w:lineRule="auto"/>
      </w:pPr>
      <w:r>
        <w:separator/>
      </w:r>
    </w:p>
  </w:endnote>
  <w:endnote w:type="continuationSeparator" w:id="0">
    <w:p w14:paraId="723E1AFA" w14:textId="77777777" w:rsidR="004D6929" w:rsidRDefault="004D6929" w:rsidP="002A2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B15E" w14:textId="77777777" w:rsidR="004D6929" w:rsidRDefault="004D6929" w:rsidP="002A2832">
      <w:pPr>
        <w:spacing w:line="240" w:lineRule="auto"/>
      </w:pPr>
      <w:r>
        <w:separator/>
      </w:r>
    </w:p>
  </w:footnote>
  <w:footnote w:type="continuationSeparator" w:id="0">
    <w:p w14:paraId="24BF70B6" w14:textId="77777777" w:rsidR="004D6929" w:rsidRDefault="004D6929" w:rsidP="002A28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3F"/>
    <w:rsid w:val="00055AB1"/>
    <w:rsid w:val="0016619F"/>
    <w:rsid w:val="001753F5"/>
    <w:rsid w:val="00190455"/>
    <w:rsid w:val="001B0B3F"/>
    <w:rsid w:val="001E22DB"/>
    <w:rsid w:val="002A2832"/>
    <w:rsid w:val="00431361"/>
    <w:rsid w:val="00460DE5"/>
    <w:rsid w:val="00471E55"/>
    <w:rsid w:val="0049268A"/>
    <w:rsid w:val="004A27CF"/>
    <w:rsid w:val="004C0A0C"/>
    <w:rsid w:val="004D6929"/>
    <w:rsid w:val="004F2BAE"/>
    <w:rsid w:val="004F3AC4"/>
    <w:rsid w:val="00563836"/>
    <w:rsid w:val="00584395"/>
    <w:rsid w:val="0062273B"/>
    <w:rsid w:val="0068208B"/>
    <w:rsid w:val="006D02C2"/>
    <w:rsid w:val="006D7BCE"/>
    <w:rsid w:val="007B1C93"/>
    <w:rsid w:val="00905CFE"/>
    <w:rsid w:val="00925B58"/>
    <w:rsid w:val="009F4DD1"/>
    <w:rsid w:val="00AE0928"/>
    <w:rsid w:val="00AF3318"/>
    <w:rsid w:val="00B57038"/>
    <w:rsid w:val="00B80F91"/>
    <w:rsid w:val="00B81D97"/>
    <w:rsid w:val="00CE7FA8"/>
    <w:rsid w:val="00D046BE"/>
    <w:rsid w:val="00D77005"/>
    <w:rsid w:val="00DE70CC"/>
    <w:rsid w:val="00E2784E"/>
    <w:rsid w:val="00EF6AFC"/>
    <w:rsid w:val="00F06F28"/>
    <w:rsid w:val="00F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18AB4"/>
  <w15:chartTrackingRefBased/>
  <w15:docId w15:val="{BF259F5E-59D0-4E9D-AA46-1C131D6B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832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0B3F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B0B3F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B3F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B3F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B3F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B3F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B3F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B3F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B3F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B0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B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B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0B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B3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1B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B3F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1B0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B3F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1B0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B3F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1B0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B3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1B0B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0B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2832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2A28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283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2A2832"/>
    <w:rPr>
      <w:sz w:val="18"/>
      <w:szCs w:val="18"/>
    </w:rPr>
  </w:style>
  <w:style w:type="paragraph" w:customStyle="1" w:styleId="FirstParagraph">
    <w:name w:val="First Paragraph"/>
    <w:basedOn w:val="af2"/>
    <w:next w:val="af2"/>
    <w:qFormat/>
    <w:rsid w:val="002A2832"/>
    <w:pPr>
      <w:spacing w:before="180" w:after="180" w:line="240" w:lineRule="auto"/>
    </w:pPr>
    <w:rPr>
      <w:rFonts w:asciiTheme="minorHAnsi" w:hAnsiTheme="minorHAnsi" w:cstheme="minorBidi"/>
      <w:sz w:val="24"/>
    </w:rPr>
  </w:style>
  <w:style w:type="paragraph" w:styleId="af2">
    <w:name w:val="Body Text"/>
    <w:basedOn w:val="a"/>
    <w:link w:val="af3"/>
    <w:uiPriority w:val="99"/>
    <w:semiHidden/>
    <w:unhideWhenUsed/>
    <w:rsid w:val="002A2832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2A2832"/>
    <w:rPr>
      <w:rFonts w:ascii="Arial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 y</dc:creator>
  <cp:keywords/>
  <dc:description/>
  <cp:lastModifiedBy>yh y</cp:lastModifiedBy>
  <cp:revision>14</cp:revision>
  <dcterms:created xsi:type="dcterms:W3CDTF">2026-02-24T13:58:00Z</dcterms:created>
  <dcterms:modified xsi:type="dcterms:W3CDTF">2026-06-04T22:45:00Z</dcterms:modified>
</cp:coreProperties>
</file>