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7A49" w14:textId="77777777" w:rsidR="004B2B81" w:rsidRPr="00E61441" w:rsidRDefault="004B2B81" w:rsidP="004B2B81">
      <w:pPr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  <w:r w:rsidRPr="00E61441">
        <w:rPr>
          <w:rFonts w:ascii="Arial" w:hAnsi="Arial" w:cs="Arial" w:hint="eastAsia"/>
          <w:b/>
          <w:bCs/>
          <w:color w:val="000000"/>
          <w:sz w:val="22"/>
          <w:szCs w:val="28"/>
        </w:rPr>
        <w:t>Supplementary data</w:t>
      </w:r>
    </w:p>
    <w:p w14:paraId="77D91C0E" w14:textId="77777777" w:rsidR="004626A2" w:rsidRPr="00E61441" w:rsidRDefault="004626A2">
      <w:pPr>
        <w:rPr>
          <w:rFonts w:ascii="Arial" w:hAnsi="Arial" w:cs="Arial"/>
          <w:color w:val="000000"/>
          <w:sz w:val="22"/>
          <w:szCs w:val="28"/>
        </w:rPr>
      </w:pPr>
      <w:r w:rsidRPr="00E61441">
        <w:rPr>
          <w:rFonts w:ascii="Arial" w:hAnsi="Arial" w:cs="Arial" w:hint="eastAsia"/>
          <w:color w:val="000000"/>
          <w:sz w:val="22"/>
          <w:szCs w:val="28"/>
        </w:rPr>
        <w:t xml:space="preserve">Supplementary Table S1.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3535B" w:rsidRPr="00E61441" w14:paraId="6E3B2853" w14:textId="77777777" w:rsidTr="0083535B">
        <w:tc>
          <w:tcPr>
            <w:tcW w:w="4148" w:type="dxa"/>
          </w:tcPr>
          <w:p w14:paraId="5F16479C" w14:textId="77777777" w:rsidR="0083535B" w:rsidRPr="00E61441" w:rsidRDefault="0083535B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Pubmed</w:t>
            </w:r>
          </w:p>
        </w:tc>
        <w:tc>
          <w:tcPr>
            <w:tcW w:w="4148" w:type="dxa"/>
          </w:tcPr>
          <w:p w14:paraId="74C615B1" w14:textId="77777777" w:rsidR="0083535B" w:rsidRPr="00E61441" w:rsidRDefault="0083535B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(((("Immunotherapy"[Mesh]) OR ("sublingual immunotherapy"[Title/Abstract])) OR ("subcutaneous immunotherapy"[Title/Abstract]) OR (SCIT[Title/Abstract]) OR (SLIT[Title/Abstract])) OR (Immunotherapies [Title/Abstract])) AND (((multiallergen</w:t>
            </w: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[Title/Abstract]) OR ("multiple allergens"[Title/Abstract])) OR (polysensitiz*[Title/Abstract]))</w:t>
            </w:r>
          </w:p>
        </w:tc>
      </w:tr>
      <w:tr w:rsidR="0083535B" w:rsidRPr="00E61441" w14:paraId="11098C3C" w14:textId="77777777" w:rsidTr="0083535B">
        <w:tc>
          <w:tcPr>
            <w:tcW w:w="4148" w:type="dxa"/>
          </w:tcPr>
          <w:p w14:paraId="6E86F043" w14:textId="77777777" w:rsidR="0083535B" w:rsidRPr="00E61441" w:rsidRDefault="0083535B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Cochrane Library</w:t>
            </w:r>
          </w:p>
        </w:tc>
        <w:tc>
          <w:tcPr>
            <w:tcW w:w="4148" w:type="dxa"/>
          </w:tcPr>
          <w:p w14:paraId="49BC1AC6" w14:textId="77777777" w:rsidR="0083535B" w:rsidRPr="00E61441" w:rsidRDefault="0083535B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#1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MeSH descriptor: [Immunotherapy] explode all trees</w:t>
            </w:r>
          </w:p>
          <w:p w14:paraId="505BEF14" w14:textId="77777777" w:rsidR="0083535B" w:rsidRPr="00E61441" w:rsidRDefault="0083535B">
            <w:pPr>
              <w:rPr>
                <w:rFonts w:ascii="Arial" w:hAnsi="Arial" w:cs="Arial"/>
                <w:i/>
                <w:iCs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#2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("polysensitized"):ti,ab,kw OR ("multiallergen"):ti,ab,kw OR ("multiple allergens"):ti,ab,kw </w:t>
            </w:r>
            <w:r w:rsidRPr="00E61441">
              <w:rPr>
                <w:rFonts w:ascii="Arial" w:hAnsi="Arial" w:cs="Arial"/>
                <w:i/>
                <w:iCs/>
                <w:color w:val="000000"/>
                <w:sz w:val="22"/>
                <w:szCs w:val="28"/>
              </w:rPr>
              <w:t>(Word variations have been searched)</w:t>
            </w:r>
          </w:p>
          <w:p w14:paraId="71EFA13D" w14:textId="77777777" w:rsidR="0083535B" w:rsidRPr="00E61441" w:rsidRDefault="0083535B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#3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#1 AND #2</w:t>
            </w:r>
          </w:p>
        </w:tc>
      </w:tr>
      <w:tr w:rsidR="0083535B" w:rsidRPr="00E61441" w14:paraId="594B1B20" w14:textId="77777777" w:rsidTr="0083535B">
        <w:tc>
          <w:tcPr>
            <w:tcW w:w="4148" w:type="dxa"/>
          </w:tcPr>
          <w:p w14:paraId="3655A301" w14:textId="77777777" w:rsidR="0083535B" w:rsidRPr="00E61441" w:rsidRDefault="0083535B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Web of Science</w:t>
            </w:r>
          </w:p>
        </w:tc>
        <w:tc>
          <w:tcPr>
            <w:tcW w:w="4148" w:type="dxa"/>
          </w:tcPr>
          <w:p w14:paraId="0E5B229A" w14:textId="77777777" w:rsidR="0083535B" w:rsidRPr="00E61441" w:rsidRDefault="0083535B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TS=("Immunotherapy" OR "sublingual immunotherapy" OR "subcutaneous immunotherapy" OR SCIT OR SLIT OR "Immunotherapies") AND TS=(multiallergen OR "multiple allergens" OR polysensitiz*)</w:t>
            </w:r>
          </w:p>
        </w:tc>
      </w:tr>
      <w:tr w:rsidR="0083535B" w:rsidRPr="00E61441" w14:paraId="164F41DA" w14:textId="77777777" w:rsidTr="0083535B">
        <w:tc>
          <w:tcPr>
            <w:tcW w:w="4148" w:type="dxa"/>
          </w:tcPr>
          <w:p w14:paraId="315C88C5" w14:textId="77777777" w:rsidR="0083535B" w:rsidRPr="00E61441" w:rsidRDefault="0083535B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Embase</w:t>
            </w:r>
          </w:p>
        </w:tc>
        <w:tc>
          <w:tcPr>
            <w:tcW w:w="4148" w:type="dxa"/>
          </w:tcPr>
          <w:p w14:paraId="45F7C7DB" w14:textId="77777777" w:rsidR="0083535B" w:rsidRPr="00E61441" w:rsidRDefault="006D3C9A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#1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'immunotherapy'/exp OR 'sublingual immunotherapy'/exp OR 'subcutaneous immunotherapy'/exp OR 'immunotherapies'</w:t>
            </w:r>
          </w:p>
          <w:p w14:paraId="4DBAF1AD" w14:textId="77777777" w:rsidR="006D3C9A" w:rsidRPr="00E61441" w:rsidRDefault="006D3C9A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#2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'polysensitization'/exp OR multiallergen OR 'multiple allergens'</w:t>
            </w:r>
          </w:p>
          <w:p w14:paraId="17D660E0" w14:textId="77777777" w:rsidR="006D3C9A" w:rsidRPr="00E61441" w:rsidRDefault="006D3C9A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#3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#1 AND #2</w:t>
            </w:r>
          </w:p>
        </w:tc>
      </w:tr>
    </w:tbl>
    <w:p w14:paraId="799DFED1" w14:textId="77777777" w:rsidR="004626A2" w:rsidRPr="00E61441" w:rsidRDefault="004626A2">
      <w:pPr>
        <w:rPr>
          <w:rFonts w:ascii="Arial" w:hAnsi="Arial" w:cs="Arial"/>
          <w:color w:val="000000"/>
          <w:sz w:val="22"/>
          <w:szCs w:val="28"/>
        </w:rPr>
      </w:pPr>
    </w:p>
    <w:p w14:paraId="3D4581BA" w14:textId="15D7BF0F" w:rsidR="004B2B81" w:rsidRPr="00E61441" w:rsidRDefault="000A0B0D">
      <w:pPr>
        <w:rPr>
          <w:rFonts w:ascii="Arial" w:hAnsi="Arial" w:cs="Arial"/>
          <w:color w:val="000000"/>
          <w:sz w:val="22"/>
          <w:szCs w:val="28"/>
        </w:rPr>
      </w:pPr>
      <w:r w:rsidRPr="00E61441">
        <w:rPr>
          <w:rFonts w:ascii="Arial" w:hAnsi="Arial" w:cs="Arial" w:hint="eastAsia"/>
          <w:color w:val="000000"/>
          <w:sz w:val="22"/>
          <w:szCs w:val="28"/>
        </w:rPr>
        <w:t>Supplementary Table S</w:t>
      </w:r>
      <w:r w:rsidR="004626A2" w:rsidRPr="00E61441">
        <w:rPr>
          <w:rFonts w:ascii="Arial" w:hAnsi="Arial" w:cs="Arial" w:hint="eastAsia"/>
          <w:color w:val="000000"/>
          <w:sz w:val="22"/>
          <w:szCs w:val="28"/>
        </w:rPr>
        <w:t>2</w:t>
      </w:r>
      <w:r w:rsidRPr="00E61441">
        <w:rPr>
          <w:rFonts w:ascii="Arial" w:hAnsi="Arial" w:cs="Arial" w:hint="eastAsia"/>
          <w:color w:val="000000"/>
          <w:sz w:val="22"/>
          <w:szCs w:val="28"/>
        </w:rPr>
        <w:t xml:space="preserve">. </w:t>
      </w:r>
      <w:r w:rsidR="00604763" w:rsidRPr="00E61441">
        <w:rPr>
          <w:rFonts w:ascii="Arial" w:hAnsi="Arial" w:cs="Arial"/>
          <w:color w:val="000000"/>
          <w:sz w:val="22"/>
          <w:szCs w:val="28"/>
        </w:rPr>
        <w:t>I</w:t>
      </w:r>
      <w:r w:rsidR="00604763" w:rsidRPr="00E61441">
        <w:rPr>
          <w:rFonts w:ascii="Arial" w:hAnsi="Arial" w:cs="Arial" w:hint="eastAsia"/>
          <w:color w:val="000000"/>
          <w:sz w:val="22"/>
          <w:szCs w:val="28"/>
        </w:rPr>
        <w:t xml:space="preserve">nclusion </w:t>
      </w:r>
      <w:r w:rsidR="009A6DB0" w:rsidRPr="00E61441">
        <w:rPr>
          <w:rFonts w:ascii="Arial" w:hAnsi="Arial" w:cs="Arial"/>
          <w:color w:val="000000"/>
          <w:sz w:val="22"/>
          <w:szCs w:val="28"/>
        </w:rPr>
        <w:t>criteria</w:t>
      </w:r>
      <w:r w:rsidRPr="00E61441">
        <w:rPr>
          <w:rFonts w:ascii="Arial" w:hAnsi="Arial" w:cs="Arial" w:hint="eastAsia"/>
          <w:color w:val="000000"/>
          <w:sz w:val="22"/>
          <w:szCs w:val="28"/>
        </w:rPr>
        <w:t xml:space="preserve"> of the systematic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0A0B0D" w:rsidRPr="00E61441" w14:paraId="7C744F9D" w14:textId="77777777" w:rsidTr="000A0B0D">
        <w:tc>
          <w:tcPr>
            <w:tcW w:w="1555" w:type="dxa"/>
          </w:tcPr>
          <w:p w14:paraId="2E8E8254" w14:textId="77777777" w:rsidR="000A0B0D" w:rsidRPr="00E61441" w:rsidRDefault="000A0B0D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Population</w:t>
            </w:r>
          </w:p>
        </w:tc>
        <w:tc>
          <w:tcPr>
            <w:tcW w:w="6741" w:type="dxa"/>
          </w:tcPr>
          <w:p w14:paraId="2C2AAE7A" w14:textId="77777777" w:rsidR="000A0B0D" w:rsidRPr="00E61441" w:rsidRDefault="000A0B0D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We included studies focusing on allergic rhinitis with or without allergic conjunctivitis and bronchial hypersensitivity.</w:t>
            </w:r>
          </w:p>
        </w:tc>
      </w:tr>
      <w:tr w:rsidR="000A0B0D" w:rsidRPr="00E61441" w14:paraId="47224549" w14:textId="77777777" w:rsidTr="000A0B0D">
        <w:tc>
          <w:tcPr>
            <w:tcW w:w="1555" w:type="dxa"/>
          </w:tcPr>
          <w:p w14:paraId="151F3D50" w14:textId="77777777" w:rsidR="000A0B0D" w:rsidRPr="00E61441" w:rsidRDefault="000A0B0D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Intervention</w:t>
            </w:r>
          </w:p>
        </w:tc>
        <w:tc>
          <w:tcPr>
            <w:tcW w:w="6741" w:type="dxa"/>
          </w:tcPr>
          <w:p w14:paraId="6A7FE287" w14:textId="77777777" w:rsidR="000A0B0D" w:rsidRPr="00E61441" w:rsidRDefault="000A0B0D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Patients should be treated with multiallergen immunotherapy either subcutaneously or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sublingually</w:t>
            </w: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.</w:t>
            </w:r>
          </w:p>
        </w:tc>
      </w:tr>
      <w:tr w:rsidR="000A0B0D" w:rsidRPr="00E61441" w14:paraId="04E062A5" w14:textId="77777777" w:rsidTr="000A0B0D">
        <w:tc>
          <w:tcPr>
            <w:tcW w:w="1555" w:type="dxa"/>
          </w:tcPr>
          <w:p w14:paraId="08C8DF1C" w14:textId="77777777" w:rsidR="000A0B0D" w:rsidRPr="00E61441" w:rsidRDefault="000A0B0D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Comparison</w:t>
            </w:r>
          </w:p>
        </w:tc>
        <w:tc>
          <w:tcPr>
            <w:tcW w:w="6741" w:type="dxa"/>
          </w:tcPr>
          <w:p w14:paraId="1D23E3A1" w14:textId="77777777" w:rsidR="000A0B0D" w:rsidRPr="00E61441" w:rsidRDefault="000A0B0D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A control group treated with single allergen immunotherapy or placebo/drug only was required.</w:t>
            </w:r>
          </w:p>
        </w:tc>
      </w:tr>
      <w:tr w:rsidR="000A0B0D" w:rsidRPr="00E61441" w14:paraId="212B561C" w14:textId="77777777" w:rsidTr="000A0B0D">
        <w:tc>
          <w:tcPr>
            <w:tcW w:w="1555" w:type="dxa"/>
          </w:tcPr>
          <w:p w14:paraId="2F350E89" w14:textId="77777777" w:rsidR="000A0B0D" w:rsidRPr="00E61441" w:rsidRDefault="000A0B0D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Outcomes</w:t>
            </w:r>
          </w:p>
        </w:tc>
        <w:tc>
          <w:tcPr>
            <w:tcW w:w="6741" w:type="dxa"/>
          </w:tcPr>
          <w:p w14:paraId="217B7942" w14:textId="77777777" w:rsidR="000A0B0D" w:rsidRPr="00E61441" w:rsidRDefault="000A0B0D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Studies must report at least one of the following outcomes:</w:t>
            </w:r>
          </w:p>
          <w:p w14:paraId="18E7AA80" w14:textId="77777777" w:rsidR="000A0B0D" w:rsidRPr="00E61441" w:rsidRDefault="000A0B0D" w:rsidP="000A0B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combined or separated symptom score and medication score.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T</w:t>
            </w: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he scoring system of symptom score should include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 xml:space="preserve">nasal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lastRenderedPageBreak/>
              <w:t xml:space="preserve">itching, sneezing, rhinorrhea, nasal obstruction, </w:t>
            </w: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and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eye itching</w:t>
            </w: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,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redness</w:t>
            </w: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, teary eye if with allergic conjunctivitis, and cough or wheezing if with asthma or respiratory hypersensitivity. Scores of each symptom should be on a scale of 0-3.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M</w:t>
            </w: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edication score was defined as: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 xml:space="preserve">each </w:t>
            </w: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 xml:space="preserve">dose of </w:t>
            </w:r>
            <w:r w:rsidRPr="00E61441">
              <w:rPr>
                <w:rFonts w:ascii="Arial" w:hAnsi="Arial" w:cs="Arial"/>
                <w:color w:val="000000"/>
                <w:sz w:val="22"/>
                <w:szCs w:val="28"/>
              </w:rPr>
              <w:t>oral anti-histamine agent and spray of nasal glucocorticoid was scored as 1</w:t>
            </w: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;</w:t>
            </w:r>
          </w:p>
          <w:p w14:paraId="0A84BBF5" w14:textId="77777777" w:rsidR="000A0B0D" w:rsidRPr="00E61441" w:rsidRDefault="000A0B0D" w:rsidP="00432B1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E61441">
              <w:rPr>
                <w:rFonts w:ascii="Arial" w:hAnsi="Arial" w:cs="Arial" w:hint="eastAsia"/>
                <w:color w:val="000000"/>
                <w:sz w:val="22"/>
                <w:szCs w:val="28"/>
              </w:rPr>
              <w:t>Detailed number of adverse events should be recorded as well as discontinuation due to adverse events;</w:t>
            </w:r>
          </w:p>
        </w:tc>
      </w:tr>
    </w:tbl>
    <w:p w14:paraId="16933B2E" w14:textId="77777777" w:rsidR="00C161AD" w:rsidRPr="00E61441" w:rsidRDefault="00C161AD">
      <w:pPr>
        <w:rPr>
          <w:rFonts w:ascii="Arial" w:hAnsi="Arial" w:cs="Arial"/>
          <w:color w:val="000000"/>
          <w:sz w:val="22"/>
          <w:szCs w:val="28"/>
        </w:rPr>
      </w:pPr>
    </w:p>
    <w:p w14:paraId="2952005F" w14:textId="77777777" w:rsidR="00C161AD" w:rsidRPr="00E61441" w:rsidRDefault="00C161AD">
      <w:pPr>
        <w:rPr>
          <w:rFonts w:ascii="Arial" w:hAnsi="Arial" w:cs="Arial"/>
          <w:color w:val="000000"/>
          <w:sz w:val="22"/>
          <w:szCs w:val="28"/>
        </w:rPr>
      </w:pPr>
    </w:p>
    <w:p w14:paraId="49E4F9E1" w14:textId="77777777" w:rsidR="000A0B0D" w:rsidRPr="00E61441" w:rsidRDefault="003C1B41">
      <w:pPr>
        <w:rPr>
          <w:rFonts w:ascii="Arial" w:hAnsi="Arial" w:cs="Arial"/>
          <w:color w:val="000000"/>
          <w:sz w:val="22"/>
          <w:szCs w:val="28"/>
        </w:rPr>
      </w:pPr>
      <w:r w:rsidRPr="00E61441">
        <w:rPr>
          <w:color w:val="000000"/>
        </w:rPr>
        <w:drawing>
          <wp:inline distT="0" distB="0" distL="0" distR="0" wp14:anchorId="00D20FBE" wp14:editId="47545C96">
            <wp:extent cx="5274310" cy="2233295"/>
            <wp:effectExtent l="0" t="0" r="0" b="1905"/>
            <wp:docPr id="2442100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100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2FD82" w14:textId="77777777" w:rsidR="00C35198" w:rsidRPr="00E61441" w:rsidRDefault="000A0B0D" w:rsidP="00604763">
      <w:pPr>
        <w:rPr>
          <w:rFonts w:ascii="Arial" w:hAnsi="Arial" w:cs="Arial"/>
          <w:color w:val="000000"/>
          <w:sz w:val="22"/>
          <w:szCs w:val="28"/>
        </w:rPr>
      </w:pPr>
      <w:r w:rsidRPr="00E61441">
        <w:rPr>
          <w:rFonts w:ascii="Arial" w:hAnsi="Arial" w:cs="Arial" w:hint="eastAsia"/>
          <w:color w:val="000000"/>
          <w:sz w:val="22"/>
          <w:szCs w:val="28"/>
        </w:rPr>
        <w:t xml:space="preserve">Supplementary Figure S1. </w:t>
      </w:r>
      <w:r w:rsidRPr="00E61441">
        <w:rPr>
          <w:rFonts w:ascii="Arial" w:hAnsi="Arial" w:cs="Arial"/>
          <w:color w:val="000000"/>
          <w:sz w:val="22"/>
          <w:szCs w:val="28"/>
        </w:rPr>
        <w:t>B</w:t>
      </w:r>
      <w:r w:rsidRPr="00E61441">
        <w:rPr>
          <w:rFonts w:ascii="Arial" w:hAnsi="Arial" w:cs="Arial" w:hint="eastAsia"/>
          <w:color w:val="000000"/>
          <w:sz w:val="22"/>
          <w:szCs w:val="28"/>
        </w:rPr>
        <w:t>ar graphs of risk-of-bias assessment of included randomized controlled trials</w:t>
      </w:r>
    </w:p>
    <w:p w14:paraId="3AD45D16" w14:textId="77777777" w:rsidR="00E35E88" w:rsidRPr="00E61441" w:rsidRDefault="00E35E88" w:rsidP="00604763">
      <w:pPr>
        <w:rPr>
          <w:rFonts w:ascii="Arial" w:hAnsi="Arial" w:cs="Arial"/>
          <w:color w:val="000000"/>
          <w:sz w:val="22"/>
          <w:szCs w:val="28"/>
        </w:rPr>
      </w:pPr>
    </w:p>
    <w:p w14:paraId="0003EE63" w14:textId="77777777" w:rsidR="007A6B4C" w:rsidRPr="00E61441" w:rsidRDefault="00E434C4" w:rsidP="00604763">
      <w:pPr>
        <w:rPr>
          <w:rFonts w:ascii="Arial" w:hAnsi="Arial" w:cs="Arial"/>
          <w:color w:val="000000"/>
          <w:sz w:val="22"/>
          <w:szCs w:val="28"/>
        </w:rPr>
      </w:pPr>
      <w:r w:rsidRPr="00E61441">
        <w:rPr>
          <w:rFonts w:ascii="Arial" w:hAnsi="Arial" w:cs="Arial" w:hint="eastAsia"/>
          <w:color w:val="000000"/>
          <w:sz w:val="22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500F4984" wp14:editId="6FA08B7C">
            <wp:simplePos x="0" y="0"/>
            <wp:positionH relativeFrom="column">
              <wp:posOffset>0</wp:posOffset>
            </wp:positionH>
            <wp:positionV relativeFrom="paragraph">
              <wp:posOffset>44813</wp:posOffset>
            </wp:positionV>
            <wp:extent cx="5274310" cy="5802630"/>
            <wp:effectExtent l="0" t="0" r="0" b="1270"/>
            <wp:wrapTopAndBottom/>
            <wp:docPr id="12344651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65113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0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3337" w:rsidRPr="00E61441">
        <w:rPr>
          <w:rFonts w:ascii="Arial" w:hAnsi="Arial" w:cs="Arial" w:hint="eastAsia"/>
          <w:color w:val="000000"/>
          <w:sz w:val="22"/>
          <w:szCs w:val="28"/>
        </w:rPr>
        <w:t>Supplementary Figure S</w:t>
      </w:r>
      <w:r w:rsidR="003738DE" w:rsidRPr="00E61441">
        <w:rPr>
          <w:rFonts w:ascii="Arial" w:hAnsi="Arial" w:cs="Arial" w:hint="eastAsia"/>
          <w:color w:val="000000"/>
          <w:sz w:val="22"/>
          <w:szCs w:val="28"/>
        </w:rPr>
        <w:t>2</w:t>
      </w:r>
      <w:r w:rsidR="00FF3337" w:rsidRPr="00E61441">
        <w:rPr>
          <w:rFonts w:ascii="Arial" w:hAnsi="Arial" w:cs="Arial" w:hint="eastAsia"/>
          <w:color w:val="000000"/>
          <w:sz w:val="22"/>
          <w:szCs w:val="28"/>
        </w:rPr>
        <w:t xml:space="preserve">. Funnel plots of </w:t>
      </w:r>
      <w:r w:rsidRPr="00E61441">
        <w:rPr>
          <w:rFonts w:ascii="Arial" w:hAnsi="Arial" w:cs="Arial" w:hint="eastAsia"/>
          <w:color w:val="000000"/>
          <w:sz w:val="22"/>
          <w:szCs w:val="28"/>
        </w:rPr>
        <w:t>the efficacy and safety of multiallergen AIT in polysensitized AR patients. (A) Combined symptom score and medication score. (B) Symptom score. (C) Medication score. (D) Adverse events</w:t>
      </w:r>
      <w:r w:rsidR="003C1B41" w:rsidRPr="00E61441">
        <w:rPr>
          <w:rFonts w:ascii="Arial" w:hAnsi="Arial" w:cs="Arial" w:hint="eastAsia"/>
          <w:color w:val="000000"/>
          <w:sz w:val="22"/>
          <w:szCs w:val="28"/>
        </w:rPr>
        <w:t xml:space="preserve"> of randomized studies</w:t>
      </w:r>
      <w:r w:rsidRPr="00E61441">
        <w:rPr>
          <w:rFonts w:ascii="Arial" w:hAnsi="Arial" w:cs="Arial" w:hint="eastAsia"/>
          <w:color w:val="000000"/>
          <w:sz w:val="22"/>
          <w:szCs w:val="28"/>
        </w:rPr>
        <w:t xml:space="preserve">. (E) </w:t>
      </w:r>
      <w:r w:rsidR="003C1B41" w:rsidRPr="00E61441">
        <w:rPr>
          <w:rFonts w:ascii="Arial" w:hAnsi="Arial" w:cs="Arial" w:hint="eastAsia"/>
          <w:color w:val="000000"/>
          <w:sz w:val="22"/>
          <w:szCs w:val="28"/>
        </w:rPr>
        <w:t>Adverse events of non-randomized studies</w:t>
      </w:r>
      <w:r w:rsidRPr="00E61441">
        <w:rPr>
          <w:rFonts w:ascii="Arial" w:hAnsi="Arial" w:cs="Arial" w:hint="eastAsia"/>
          <w:color w:val="000000"/>
          <w:sz w:val="22"/>
          <w:szCs w:val="28"/>
        </w:rPr>
        <w:t>.</w:t>
      </w:r>
    </w:p>
    <w:p w14:paraId="31DCF3D4" w14:textId="77777777" w:rsidR="00C347A4" w:rsidRPr="00E61441" w:rsidRDefault="00C347A4" w:rsidP="00604763">
      <w:pPr>
        <w:rPr>
          <w:rFonts w:ascii="Arial" w:hAnsi="Arial" w:cs="Arial"/>
          <w:color w:val="000000"/>
          <w:sz w:val="22"/>
          <w:szCs w:val="28"/>
        </w:rPr>
      </w:pPr>
    </w:p>
    <w:p w14:paraId="0482D7C6" w14:textId="77777777" w:rsidR="00C347A4" w:rsidRPr="00E61441" w:rsidRDefault="00C347A4" w:rsidP="00604763">
      <w:pPr>
        <w:rPr>
          <w:rFonts w:ascii="Arial" w:hAnsi="Arial" w:cs="Arial"/>
          <w:color w:val="000000"/>
          <w:sz w:val="22"/>
          <w:szCs w:val="28"/>
        </w:rPr>
      </w:pPr>
      <w:r w:rsidRPr="00E61441">
        <w:rPr>
          <w:rFonts w:ascii="Arial" w:hAnsi="Arial" w:cs="Arial" w:hint="eastAsia"/>
          <w:color w:val="000000"/>
          <w:sz w:val="22"/>
          <w:szCs w:val="28"/>
        </w:rPr>
        <w:lastRenderedPageBreak/>
        <w:drawing>
          <wp:inline distT="0" distB="0" distL="0" distR="0" wp14:anchorId="6CEEB791" wp14:editId="3F60621B">
            <wp:extent cx="5274310" cy="3618230"/>
            <wp:effectExtent l="0" t="0" r="0" b="1270"/>
            <wp:docPr id="9361266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26672" name="图片 9361266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7A5F" w14:textId="77777777" w:rsidR="00C347A4" w:rsidRPr="00E61441" w:rsidRDefault="00C347A4" w:rsidP="00604763">
      <w:pPr>
        <w:rPr>
          <w:rFonts w:ascii="Arial" w:hAnsi="Arial" w:cs="Arial"/>
          <w:color w:val="000000"/>
          <w:sz w:val="22"/>
          <w:szCs w:val="28"/>
        </w:rPr>
      </w:pPr>
      <w:r w:rsidRPr="00E61441">
        <w:rPr>
          <w:rFonts w:ascii="Arial" w:hAnsi="Arial" w:cs="Arial" w:hint="eastAsia"/>
          <w:color w:val="000000"/>
          <w:sz w:val="22"/>
          <w:szCs w:val="28"/>
        </w:rPr>
        <w:t xml:space="preserve">Supplementary Figure S3. </w:t>
      </w:r>
      <w:r w:rsidR="00394270" w:rsidRPr="00E61441">
        <w:rPr>
          <w:rFonts w:ascii="Arial" w:hAnsi="Arial" w:cs="Arial" w:hint="eastAsia"/>
          <w:color w:val="000000"/>
          <w:sz w:val="22"/>
          <w:szCs w:val="28"/>
        </w:rPr>
        <w:t>Meta-analysis of (A) combined symptom and medication score; (B) symptom score; (C) medication score, at the last follow-up.</w:t>
      </w:r>
    </w:p>
    <w:sectPr w:rsidR="00C347A4" w:rsidRPr="00E61441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D9F0" w14:textId="77777777" w:rsidR="00F14E28" w:rsidRDefault="00F14E28" w:rsidP="00E61441">
      <w:r>
        <w:separator/>
      </w:r>
    </w:p>
  </w:endnote>
  <w:endnote w:type="continuationSeparator" w:id="0">
    <w:p w14:paraId="4369ECE1" w14:textId="77777777" w:rsidR="00F14E28" w:rsidRDefault="00F14E28" w:rsidP="00E6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1401" w14:textId="5B59F7EC" w:rsidR="00E61441" w:rsidRDefault="00E614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88F712" wp14:editId="0C612E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4626972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89CA4" w14:textId="504DF7D9" w:rsidR="00E61441" w:rsidRPr="00E61441" w:rsidRDefault="00E61441" w:rsidP="00E6144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14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8F7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8689CA4" w14:textId="504DF7D9" w:rsidR="00E61441" w:rsidRPr="00E61441" w:rsidRDefault="00E61441" w:rsidP="00E6144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14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7AFC" w14:textId="59C8B712" w:rsidR="00E61441" w:rsidRDefault="00E614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241159" wp14:editId="5D166653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3431672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DD39C" w14:textId="26EBFFB5" w:rsidR="00E61441" w:rsidRPr="00E61441" w:rsidRDefault="00E61441" w:rsidP="00E6144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14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411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83DD39C" w14:textId="26EBFFB5" w:rsidR="00E61441" w:rsidRPr="00E61441" w:rsidRDefault="00E61441" w:rsidP="00E6144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14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96C5" w14:textId="2D08CBE7" w:rsidR="00E61441" w:rsidRDefault="00E614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83303D" wp14:editId="499276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599497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B9BBF" w14:textId="5412E00D" w:rsidR="00E61441" w:rsidRPr="00E61441" w:rsidRDefault="00E61441" w:rsidP="00E6144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14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33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F7B9BBF" w14:textId="5412E00D" w:rsidR="00E61441" w:rsidRPr="00E61441" w:rsidRDefault="00E61441" w:rsidP="00E6144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14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65E9" w14:textId="77777777" w:rsidR="00F14E28" w:rsidRDefault="00F14E28" w:rsidP="00E61441">
      <w:r>
        <w:separator/>
      </w:r>
    </w:p>
  </w:footnote>
  <w:footnote w:type="continuationSeparator" w:id="0">
    <w:p w14:paraId="09826D4D" w14:textId="77777777" w:rsidR="00F14E28" w:rsidRDefault="00F14E28" w:rsidP="00E6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60616"/>
    <w:multiLevelType w:val="hybridMultilevel"/>
    <w:tmpl w:val="60900920"/>
    <w:lvl w:ilvl="0" w:tplc="D416F2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FDF4360"/>
    <w:multiLevelType w:val="hybridMultilevel"/>
    <w:tmpl w:val="DA7A052C"/>
    <w:lvl w:ilvl="0" w:tplc="70EEF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6E47AF8"/>
    <w:multiLevelType w:val="hybridMultilevel"/>
    <w:tmpl w:val="EE76ACF8"/>
    <w:lvl w:ilvl="0" w:tplc="24B475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D8E3E2B"/>
    <w:multiLevelType w:val="hybridMultilevel"/>
    <w:tmpl w:val="DB1A26B0"/>
    <w:lvl w:ilvl="0" w:tplc="03BA3A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72A4FC9"/>
    <w:multiLevelType w:val="hybridMultilevel"/>
    <w:tmpl w:val="70E0CB2E"/>
    <w:lvl w:ilvl="0" w:tplc="8BC0C8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81826463">
    <w:abstractNumId w:val="0"/>
  </w:num>
  <w:num w:numId="2" w16cid:durableId="2134787493">
    <w:abstractNumId w:val="2"/>
  </w:num>
  <w:num w:numId="3" w16cid:durableId="98918170">
    <w:abstractNumId w:val="1"/>
  </w:num>
  <w:num w:numId="4" w16cid:durableId="878586780">
    <w:abstractNumId w:val="4"/>
  </w:num>
  <w:num w:numId="5" w16cid:durableId="257754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81"/>
    <w:rsid w:val="00002D77"/>
    <w:rsid w:val="00011C51"/>
    <w:rsid w:val="000323D9"/>
    <w:rsid w:val="000348EC"/>
    <w:rsid w:val="000A0B0D"/>
    <w:rsid w:val="000A46E5"/>
    <w:rsid w:val="000C0F01"/>
    <w:rsid w:val="000C3E5A"/>
    <w:rsid w:val="000F3C67"/>
    <w:rsid w:val="00126EC9"/>
    <w:rsid w:val="00127900"/>
    <w:rsid w:val="00140131"/>
    <w:rsid w:val="00191A67"/>
    <w:rsid w:val="001F60D7"/>
    <w:rsid w:val="00227DCD"/>
    <w:rsid w:val="00271E19"/>
    <w:rsid w:val="00283C4E"/>
    <w:rsid w:val="00284E74"/>
    <w:rsid w:val="00286EC0"/>
    <w:rsid w:val="00293D99"/>
    <w:rsid w:val="002A79A0"/>
    <w:rsid w:val="002B6679"/>
    <w:rsid w:val="002E3DD1"/>
    <w:rsid w:val="0030320C"/>
    <w:rsid w:val="003134DC"/>
    <w:rsid w:val="003220DD"/>
    <w:rsid w:val="00356180"/>
    <w:rsid w:val="00366BAD"/>
    <w:rsid w:val="003738DE"/>
    <w:rsid w:val="003914BF"/>
    <w:rsid w:val="00394270"/>
    <w:rsid w:val="003C1B41"/>
    <w:rsid w:val="003D2903"/>
    <w:rsid w:val="003E1210"/>
    <w:rsid w:val="003E2D68"/>
    <w:rsid w:val="00422721"/>
    <w:rsid w:val="00432B18"/>
    <w:rsid w:val="00434959"/>
    <w:rsid w:val="00435C2B"/>
    <w:rsid w:val="004626A2"/>
    <w:rsid w:val="004B2B81"/>
    <w:rsid w:val="004B54D4"/>
    <w:rsid w:val="004D687A"/>
    <w:rsid w:val="004D69F5"/>
    <w:rsid w:val="005106F1"/>
    <w:rsid w:val="00512840"/>
    <w:rsid w:val="00535369"/>
    <w:rsid w:val="005355DF"/>
    <w:rsid w:val="005714B4"/>
    <w:rsid w:val="00592EB2"/>
    <w:rsid w:val="005A06BD"/>
    <w:rsid w:val="005C3D61"/>
    <w:rsid w:val="005D6C51"/>
    <w:rsid w:val="00604763"/>
    <w:rsid w:val="00621851"/>
    <w:rsid w:val="00642F47"/>
    <w:rsid w:val="00643D2D"/>
    <w:rsid w:val="006D3C9A"/>
    <w:rsid w:val="006F5AA3"/>
    <w:rsid w:val="0075590F"/>
    <w:rsid w:val="0076416D"/>
    <w:rsid w:val="007A6B4C"/>
    <w:rsid w:val="007C3579"/>
    <w:rsid w:val="0083535B"/>
    <w:rsid w:val="008A3280"/>
    <w:rsid w:val="008E03E4"/>
    <w:rsid w:val="008E08A4"/>
    <w:rsid w:val="008F5190"/>
    <w:rsid w:val="009265E5"/>
    <w:rsid w:val="009302E4"/>
    <w:rsid w:val="00962437"/>
    <w:rsid w:val="009730F1"/>
    <w:rsid w:val="009A6DB0"/>
    <w:rsid w:val="009B49D7"/>
    <w:rsid w:val="009E447D"/>
    <w:rsid w:val="00A12AF5"/>
    <w:rsid w:val="00A64BDC"/>
    <w:rsid w:val="00A909A9"/>
    <w:rsid w:val="00AA5AD0"/>
    <w:rsid w:val="00AD7F33"/>
    <w:rsid w:val="00B00C88"/>
    <w:rsid w:val="00B013F6"/>
    <w:rsid w:val="00B42428"/>
    <w:rsid w:val="00B812F7"/>
    <w:rsid w:val="00BA5CFA"/>
    <w:rsid w:val="00C161AD"/>
    <w:rsid w:val="00C2768D"/>
    <w:rsid w:val="00C347A4"/>
    <w:rsid w:val="00C35198"/>
    <w:rsid w:val="00C841C7"/>
    <w:rsid w:val="00C97B57"/>
    <w:rsid w:val="00CA65E0"/>
    <w:rsid w:val="00CD71C4"/>
    <w:rsid w:val="00D00FA3"/>
    <w:rsid w:val="00D2529B"/>
    <w:rsid w:val="00DE1E5E"/>
    <w:rsid w:val="00E34B5E"/>
    <w:rsid w:val="00E35E88"/>
    <w:rsid w:val="00E425A0"/>
    <w:rsid w:val="00E434C4"/>
    <w:rsid w:val="00E61441"/>
    <w:rsid w:val="00E73398"/>
    <w:rsid w:val="00F14E28"/>
    <w:rsid w:val="00F24FB3"/>
    <w:rsid w:val="00F420C2"/>
    <w:rsid w:val="00FB027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62D54"/>
  <w15:chartTrackingRefBased/>
  <w15:docId w15:val="{D0B03DEA-8BD2-CD41-8CD1-94BDE452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2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B8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B8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B8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B8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B8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B81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B8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B8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B8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B8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B2B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B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B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B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B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B2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21851"/>
  </w:style>
  <w:style w:type="paragraph" w:styleId="Footer">
    <w:name w:val="footer"/>
    <w:basedOn w:val="Normal"/>
    <w:link w:val="FooterChar"/>
    <w:uiPriority w:val="99"/>
    <w:unhideWhenUsed/>
    <w:rsid w:val="00E61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Shi</dc:creator>
  <cp:keywords/>
  <dc:description/>
  <cp:lastModifiedBy>Spence, Oliver</cp:lastModifiedBy>
  <cp:revision>2</cp:revision>
  <dcterms:created xsi:type="dcterms:W3CDTF">2026-06-12T02:08:00Z</dcterms:created>
  <dcterms:modified xsi:type="dcterms:W3CDTF">2026-06-12T02:08:00Z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3937abe0,6e0bd721,4f880eb2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2026-06-12T02:08:14Z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033e6044-7fbf-459a-ae0f-671630efc071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