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EBDA6">
      <w:r>
        <w:rPr>
          <w:b/>
          <w:bCs/>
          <w:sz w:val="32"/>
          <w:szCs w:val="32"/>
        </w:rPr>
        <w:t>Supplementary Material</w:t>
      </w:r>
    </w:p>
    <w:p w14:paraId="74EC18D6"/>
    <w:p w14:paraId="601CE997">
      <w:pPr>
        <w:spacing w:line="360" w:lineRule="auto"/>
        <w:jc w:val="both"/>
        <w:rPr>
          <w:sz w:val="24"/>
          <w:szCs w:val="24"/>
        </w:rPr>
      </w:pPr>
      <w:r>
        <w:rPr>
          <w:b/>
          <w:bCs/>
          <w:sz w:val="24"/>
          <w:szCs w:val="24"/>
        </w:rPr>
        <w:t>Supplementary Table S1. ADME-based screening of the active compounds of Yangzheng Xiaoji Decoction (YZXJD).</w:t>
      </w:r>
      <w:bookmarkStart w:id="0" w:name="_GoBack"/>
      <w:bookmarkEnd w:id="0"/>
    </w:p>
    <w:p w14:paraId="36F9C37B">
      <w:pPr>
        <w:spacing w:line="360" w:lineRule="auto"/>
        <w:jc w:val="both"/>
        <w:rPr>
          <w:sz w:val="24"/>
          <w:szCs w:val="24"/>
        </w:rPr>
      </w:pPr>
    </w:p>
    <w:p w14:paraId="33D2CF42">
      <w:pPr>
        <w:spacing w:line="360" w:lineRule="auto"/>
        <w:jc w:val="both"/>
        <w:rPr>
          <w:sz w:val="24"/>
          <w:szCs w:val="24"/>
        </w:rPr>
      </w:pPr>
      <w:r>
        <w:rPr>
          <w:b/>
          <w:bCs/>
          <w:sz w:val="24"/>
          <w:szCs w:val="24"/>
        </w:rPr>
        <w:t xml:space="preserve">Screening workflow. </w:t>
      </w:r>
      <w:r>
        <w:rPr>
          <w:sz w:val="24"/>
          <w:szCs w:val="24"/>
        </w:rPr>
        <w:t>The chemical constituents of the thirteen TCMSP-catalogued herbs of YZXJD were retrieved from the Traditional Chinese Medicine Systems Pharmacology (TCMSP) database, version 2.3. Candidate compounds were filtered using two pharmacokinetic parameters: oral bioavailability (OB) and drug-likeness (DL). Compounds satisfying both OB ≥ 30% and DL ≥ 0.18 were retained as active ingredients and carried forward to target prediction. After removal of duplicate compounds shared across herbs, 195 unique active compounds were retained, corresponding to 1,000 unique predicted targets. The two mineral- and animal-derived components of the clinical prescription, Ostreae Concha and Galli Gigerii Endothelium Corneum, are not catalogued in TCMSP and were not screened.</w:t>
      </w:r>
    </w:p>
    <w:p w14:paraId="3429C5B1">
      <w:pPr>
        <w:spacing w:line="360" w:lineRule="auto"/>
        <w:jc w:val="both"/>
        <w:rPr>
          <w:sz w:val="24"/>
          <w:szCs w:val="24"/>
        </w:rPr>
      </w:pPr>
    </w:p>
    <w:p w14:paraId="1A8105B0">
      <w:pPr>
        <w:keepNext/>
        <w:spacing w:line="360" w:lineRule="auto"/>
        <w:jc w:val="both"/>
        <w:rPr>
          <w:sz w:val="24"/>
          <w:szCs w:val="24"/>
        </w:rPr>
      </w:pPr>
      <w:r>
        <w:rPr>
          <w:b/>
          <w:bCs/>
          <w:sz w:val="24"/>
          <w:szCs w:val="24"/>
        </w:rPr>
        <w:t>Part A. Number of retained active compounds and predicted targets per herb (OB ≥ 30%, DL ≥ 0.18).</w:t>
      </w:r>
    </w:p>
    <w:p w14:paraId="31107488">
      <w:pPr>
        <w:keepNext/>
        <w:spacing w:line="360" w:lineRule="auto"/>
        <w:jc w:val="both"/>
        <w:rPr>
          <w:sz w:val="24"/>
          <w:szCs w:val="24"/>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680"/>
        <w:gridCol w:w="2340"/>
        <w:gridCol w:w="2340"/>
      </w:tblGrid>
      <w:tr w14:paraId="52F3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shd w:val="clear" w:color="auto" w:fill="D9E2F3"/>
            <w:tcMar>
              <w:top w:w="70" w:type="dxa"/>
              <w:left w:w="110" w:type="dxa"/>
              <w:bottom w:w="70" w:type="dxa"/>
              <w:right w:w="110" w:type="dxa"/>
            </w:tcMar>
          </w:tcPr>
          <w:p w14:paraId="20953D91">
            <w:pPr>
              <w:spacing w:line="360" w:lineRule="auto"/>
              <w:jc w:val="both"/>
              <w:rPr>
                <w:sz w:val="24"/>
                <w:szCs w:val="24"/>
              </w:rPr>
            </w:pPr>
            <w:r>
              <w:rPr>
                <w:b/>
                <w:bCs/>
                <w:sz w:val="24"/>
                <w:szCs w:val="24"/>
              </w:rPr>
              <w:t>Herbal component (pinyin)</w:t>
            </w:r>
          </w:p>
        </w:tc>
        <w:tc>
          <w:tcPr>
            <w:tcW w:w="2340" w:type="dxa"/>
            <w:tcBorders>
              <w:top w:val="single" w:color="555555" w:sz="6" w:space="0"/>
              <w:left w:val="single" w:color="555555" w:sz="6" w:space="0"/>
              <w:bottom w:val="single" w:color="555555" w:sz="6" w:space="0"/>
              <w:right w:val="single" w:color="555555" w:sz="6" w:space="0"/>
            </w:tcBorders>
            <w:shd w:val="clear" w:color="auto" w:fill="D9E2F3"/>
            <w:tcMar>
              <w:top w:w="70" w:type="dxa"/>
              <w:left w:w="110" w:type="dxa"/>
              <w:bottom w:w="70" w:type="dxa"/>
              <w:right w:w="110" w:type="dxa"/>
            </w:tcMar>
          </w:tcPr>
          <w:p w14:paraId="10EF3A2E">
            <w:pPr>
              <w:spacing w:line="360" w:lineRule="auto"/>
              <w:jc w:val="both"/>
              <w:rPr>
                <w:sz w:val="24"/>
                <w:szCs w:val="24"/>
              </w:rPr>
            </w:pPr>
            <w:r>
              <w:rPr>
                <w:b/>
                <w:bCs/>
                <w:sz w:val="24"/>
                <w:szCs w:val="24"/>
              </w:rPr>
              <w:t>Active compounds (n)</w:t>
            </w:r>
          </w:p>
        </w:tc>
        <w:tc>
          <w:tcPr>
            <w:tcW w:w="2340" w:type="dxa"/>
            <w:tcBorders>
              <w:top w:val="single" w:color="555555" w:sz="6" w:space="0"/>
              <w:left w:val="single" w:color="555555" w:sz="6" w:space="0"/>
              <w:bottom w:val="single" w:color="555555" w:sz="6" w:space="0"/>
              <w:right w:val="single" w:color="555555" w:sz="6" w:space="0"/>
            </w:tcBorders>
            <w:shd w:val="clear" w:color="auto" w:fill="D9E2F3"/>
            <w:tcMar>
              <w:top w:w="70" w:type="dxa"/>
              <w:left w:w="110" w:type="dxa"/>
              <w:bottom w:w="70" w:type="dxa"/>
              <w:right w:w="110" w:type="dxa"/>
            </w:tcMar>
          </w:tcPr>
          <w:p w14:paraId="3ECFDE97">
            <w:pPr>
              <w:spacing w:line="360" w:lineRule="auto"/>
              <w:jc w:val="both"/>
              <w:rPr>
                <w:sz w:val="24"/>
                <w:szCs w:val="24"/>
              </w:rPr>
            </w:pPr>
            <w:r>
              <w:rPr>
                <w:b/>
                <w:bCs/>
                <w:sz w:val="24"/>
                <w:szCs w:val="24"/>
              </w:rPr>
              <w:t>Predicted targets (n)</w:t>
            </w:r>
          </w:p>
        </w:tc>
      </w:tr>
      <w:tr w14:paraId="49BC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45D6927">
            <w:pPr>
              <w:spacing w:line="360" w:lineRule="auto"/>
              <w:jc w:val="both"/>
              <w:rPr>
                <w:sz w:val="24"/>
                <w:szCs w:val="24"/>
              </w:rPr>
            </w:pPr>
            <w:r>
              <w:rPr>
                <w:sz w:val="24"/>
                <w:szCs w:val="24"/>
              </w:rPr>
              <w:t>Astragali Radix (Huangqi)</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4EF518B">
            <w:pPr>
              <w:spacing w:line="360" w:lineRule="auto"/>
              <w:jc w:val="both"/>
              <w:rPr>
                <w:sz w:val="24"/>
                <w:szCs w:val="24"/>
              </w:rPr>
            </w:pPr>
            <w:r>
              <w:rPr>
                <w:sz w:val="24"/>
                <w:szCs w:val="24"/>
              </w:rPr>
              <w:t>20</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F824906">
            <w:pPr>
              <w:spacing w:line="360" w:lineRule="auto"/>
              <w:jc w:val="both"/>
              <w:rPr>
                <w:sz w:val="24"/>
                <w:szCs w:val="24"/>
              </w:rPr>
            </w:pPr>
            <w:r>
              <w:rPr>
                <w:sz w:val="24"/>
                <w:szCs w:val="24"/>
              </w:rPr>
              <w:t>444</w:t>
            </w:r>
          </w:p>
        </w:tc>
      </w:tr>
      <w:tr w14:paraId="172C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FB168A2">
            <w:pPr>
              <w:spacing w:line="360" w:lineRule="auto"/>
              <w:jc w:val="both"/>
              <w:rPr>
                <w:sz w:val="24"/>
                <w:szCs w:val="24"/>
              </w:rPr>
            </w:pPr>
            <w:r>
              <w:rPr>
                <w:sz w:val="24"/>
                <w:szCs w:val="24"/>
              </w:rPr>
              <w:t>Codonopsis Radix (Dangshen)</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3D66ACE">
            <w:pPr>
              <w:spacing w:line="360" w:lineRule="auto"/>
              <w:jc w:val="both"/>
              <w:rPr>
                <w:sz w:val="24"/>
                <w:szCs w:val="24"/>
              </w:rPr>
            </w:pPr>
            <w:r>
              <w:rPr>
                <w:sz w:val="24"/>
                <w:szCs w:val="24"/>
              </w:rPr>
              <w:t>21</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8F4BA46">
            <w:pPr>
              <w:spacing w:line="360" w:lineRule="auto"/>
              <w:jc w:val="both"/>
              <w:rPr>
                <w:sz w:val="24"/>
                <w:szCs w:val="24"/>
              </w:rPr>
            </w:pPr>
            <w:r>
              <w:rPr>
                <w:sz w:val="24"/>
                <w:szCs w:val="24"/>
              </w:rPr>
              <w:t>757</w:t>
            </w:r>
          </w:p>
        </w:tc>
      </w:tr>
      <w:tr w14:paraId="2923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A7651A6">
            <w:pPr>
              <w:spacing w:line="360" w:lineRule="auto"/>
              <w:jc w:val="both"/>
              <w:rPr>
                <w:sz w:val="24"/>
                <w:szCs w:val="24"/>
              </w:rPr>
            </w:pPr>
            <w:r>
              <w:rPr>
                <w:sz w:val="24"/>
                <w:szCs w:val="24"/>
              </w:rPr>
              <w:t>Atractylodis Macrocephalae Rhizoma (Baizhu)</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BCA5491">
            <w:pPr>
              <w:spacing w:line="360" w:lineRule="auto"/>
              <w:jc w:val="both"/>
              <w:rPr>
                <w:sz w:val="24"/>
                <w:szCs w:val="24"/>
              </w:rPr>
            </w:pPr>
            <w:r>
              <w:rPr>
                <w:sz w:val="24"/>
                <w:szCs w:val="24"/>
              </w:rPr>
              <w:t>7</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E27BF8E">
            <w:pPr>
              <w:spacing w:line="360" w:lineRule="auto"/>
              <w:jc w:val="both"/>
              <w:rPr>
                <w:sz w:val="24"/>
                <w:szCs w:val="24"/>
              </w:rPr>
            </w:pPr>
            <w:r>
              <w:rPr>
                <w:sz w:val="24"/>
                <w:szCs w:val="24"/>
              </w:rPr>
              <w:t>200</w:t>
            </w:r>
          </w:p>
        </w:tc>
      </w:tr>
      <w:tr w14:paraId="5AF4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4401432">
            <w:pPr>
              <w:spacing w:line="360" w:lineRule="auto"/>
              <w:jc w:val="both"/>
              <w:rPr>
                <w:sz w:val="24"/>
                <w:szCs w:val="24"/>
              </w:rPr>
            </w:pPr>
            <w:r>
              <w:rPr>
                <w:sz w:val="24"/>
                <w:szCs w:val="24"/>
              </w:rPr>
              <w:t>Poria (Fuling)</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D30E6BD">
            <w:pPr>
              <w:spacing w:line="360" w:lineRule="auto"/>
              <w:jc w:val="both"/>
              <w:rPr>
                <w:sz w:val="24"/>
                <w:szCs w:val="24"/>
              </w:rPr>
            </w:pPr>
            <w:r>
              <w:rPr>
                <w:sz w:val="24"/>
                <w:szCs w:val="24"/>
              </w:rPr>
              <w:t>15</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57E70AE">
            <w:pPr>
              <w:spacing w:line="360" w:lineRule="auto"/>
              <w:jc w:val="both"/>
              <w:rPr>
                <w:sz w:val="24"/>
                <w:szCs w:val="24"/>
              </w:rPr>
            </w:pPr>
            <w:r>
              <w:rPr>
                <w:sz w:val="24"/>
                <w:szCs w:val="24"/>
              </w:rPr>
              <w:t>264</w:t>
            </w:r>
          </w:p>
        </w:tc>
      </w:tr>
      <w:tr w14:paraId="3623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197A4F9">
            <w:pPr>
              <w:spacing w:line="360" w:lineRule="auto"/>
              <w:jc w:val="both"/>
              <w:rPr>
                <w:sz w:val="24"/>
                <w:szCs w:val="24"/>
              </w:rPr>
            </w:pPr>
            <w:r>
              <w:rPr>
                <w:sz w:val="24"/>
                <w:szCs w:val="24"/>
              </w:rPr>
              <w:t>Testudinis Carapax et Plastrum (Cu Biejia)</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F318F52">
            <w:pPr>
              <w:spacing w:line="360" w:lineRule="auto"/>
              <w:jc w:val="both"/>
              <w:rPr>
                <w:sz w:val="24"/>
                <w:szCs w:val="24"/>
              </w:rPr>
            </w:pPr>
            <w:r>
              <w:rPr>
                <w:sz w:val="24"/>
                <w:szCs w:val="24"/>
              </w:rPr>
              <w:t>7</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BD492D8">
            <w:pPr>
              <w:spacing w:line="360" w:lineRule="auto"/>
              <w:jc w:val="both"/>
              <w:rPr>
                <w:sz w:val="24"/>
                <w:szCs w:val="24"/>
              </w:rPr>
            </w:pPr>
            <w:r>
              <w:rPr>
                <w:sz w:val="24"/>
                <w:szCs w:val="24"/>
              </w:rPr>
              <w:t>38</w:t>
            </w:r>
          </w:p>
        </w:tc>
      </w:tr>
      <w:tr w14:paraId="4ED4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6C7BB5C">
            <w:pPr>
              <w:spacing w:line="360" w:lineRule="auto"/>
              <w:jc w:val="both"/>
              <w:rPr>
                <w:sz w:val="24"/>
                <w:szCs w:val="24"/>
              </w:rPr>
            </w:pPr>
            <w:r>
              <w:rPr>
                <w:sz w:val="24"/>
                <w:szCs w:val="24"/>
              </w:rPr>
              <w:t>Curcumae Rhizoma (Ezhu)</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421B50C">
            <w:pPr>
              <w:spacing w:line="360" w:lineRule="auto"/>
              <w:jc w:val="both"/>
              <w:rPr>
                <w:sz w:val="24"/>
                <w:szCs w:val="24"/>
              </w:rPr>
            </w:pPr>
            <w:r>
              <w:rPr>
                <w:sz w:val="24"/>
                <w:szCs w:val="24"/>
              </w:rPr>
              <w:t>3</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7485FCD">
            <w:pPr>
              <w:spacing w:line="360" w:lineRule="auto"/>
              <w:jc w:val="both"/>
              <w:rPr>
                <w:sz w:val="24"/>
                <w:szCs w:val="24"/>
              </w:rPr>
            </w:pPr>
            <w:r>
              <w:rPr>
                <w:sz w:val="24"/>
                <w:szCs w:val="24"/>
              </w:rPr>
              <w:t>141</w:t>
            </w:r>
          </w:p>
        </w:tc>
      </w:tr>
      <w:tr w14:paraId="14BB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4234D4C">
            <w:pPr>
              <w:spacing w:line="360" w:lineRule="auto"/>
              <w:jc w:val="both"/>
              <w:rPr>
                <w:sz w:val="24"/>
                <w:szCs w:val="24"/>
              </w:rPr>
            </w:pPr>
            <w:r>
              <w:rPr>
                <w:sz w:val="24"/>
                <w:szCs w:val="24"/>
              </w:rPr>
              <w:t>Ganoderma (Lingzhi)</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32B8826">
            <w:pPr>
              <w:spacing w:line="360" w:lineRule="auto"/>
              <w:jc w:val="both"/>
              <w:rPr>
                <w:sz w:val="24"/>
                <w:szCs w:val="24"/>
              </w:rPr>
            </w:pPr>
            <w:r>
              <w:rPr>
                <w:sz w:val="24"/>
                <w:szCs w:val="24"/>
              </w:rPr>
              <w:t>61</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C0F9B5C">
            <w:pPr>
              <w:spacing w:line="360" w:lineRule="auto"/>
              <w:jc w:val="both"/>
              <w:rPr>
                <w:sz w:val="24"/>
                <w:szCs w:val="24"/>
              </w:rPr>
            </w:pPr>
            <w:r>
              <w:rPr>
                <w:sz w:val="24"/>
                <w:szCs w:val="24"/>
              </w:rPr>
              <w:t>613</w:t>
            </w:r>
          </w:p>
        </w:tc>
      </w:tr>
      <w:tr w14:paraId="0410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3718B47">
            <w:pPr>
              <w:spacing w:line="360" w:lineRule="auto"/>
              <w:jc w:val="both"/>
              <w:rPr>
                <w:sz w:val="24"/>
                <w:szCs w:val="24"/>
              </w:rPr>
            </w:pPr>
            <w:r>
              <w:rPr>
                <w:sz w:val="24"/>
                <w:szCs w:val="24"/>
              </w:rPr>
              <w:t>Paeoniae Radix Alba (Baishao)</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9A8F925">
            <w:pPr>
              <w:spacing w:line="360" w:lineRule="auto"/>
              <w:jc w:val="both"/>
              <w:rPr>
                <w:sz w:val="24"/>
                <w:szCs w:val="24"/>
              </w:rPr>
            </w:pPr>
            <w:r>
              <w:rPr>
                <w:sz w:val="24"/>
                <w:szCs w:val="24"/>
              </w:rPr>
              <w:t>13</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F18FE5C">
            <w:pPr>
              <w:spacing w:line="360" w:lineRule="auto"/>
              <w:jc w:val="both"/>
              <w:rPr>
                <w:sz w:val="24"/>
                <w:szCs w:val="24"/>
              </w:rPr>
            </w:pPr>
            <w:r>
              <w:rPr>
                <w:sz w:val="24"/>
                <w:szCs w:val="24"/>
              </w:rPr>
              <w:t>243</w:t>
            </w:r>
          </w:p>
        </w:tc>
      </w:tr>
      <w:tr w14:paraId="3BA0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3D3F58D">
            <w:pPr>
              <w:spacing w:line="360" w:lineRule="auto"/>
              <w:jc w:val="both"/>
              <w:rPr>
                <w:sz w:val="24"/>
                <w:szCs w:val="24"/>
              </w:rPr>
            </w:pPr>
            <w:r>
              <w:rPr>
                <w:sz w:val="24"/>
                <w:szCs w:val="24"/>
              </w:rPr>
              <w:t>Agrimoniae Herba (Xianhecao)</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9065F88">
            <w:pPr>
              <w:spacing w:line="360" w:lineRule="auto"/>
              <w:jc w:val="both"/>
              <w:rPr>
                <w:sz w:val="24"/>
                <w:szCs w:val="24"/>
              </w:rPr>
            </w:pPr>
            <w:r>
              <w:rPr>
                <w:sz w:val="24"/>
                <w:szCs w:val="24"/>
              </w:rPr>
              <w:t>5</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0A0CD7">
            <w:pPr>
              <w:spacing w:line="360" w:lineRule="auto"/>
              <w:jc w:val="both"/>
              <w:rPr>
                <w:sz w:val="24"/>
                <w:szCs w:val="24"/>
              </w:rPr>
            </w:pPr>
            <w:r>
              <w:rPr>
                <w:sz w:val="24"/>
                <w:szCs w:val="24"/>
              </w:rPr>
              <w:t>134</w:t>
            </w:r>
          </w:p>
        </w:tc>
      </w:tr>
      <w:tr w14:paraId="6D3C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8DC197E">
            <w:pPr>
              <w:spacing w:line="360" w:lineRule="auto"/>
              <w:jc w:val="both"/>
              <w:rPr>
                <w:sz w:val="24"/>
                <w:szCs w:val="24"/>
              </w:rPr>
            </w:pPr>
            <w:r>
              <w:rPr>
                <w:sz w:val="24"/>
                <w:szCs w:val="24"/>
              </w:rPr>
              <w:t>Scrophulariae Radix (Xuanshen)</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BB87F96">
            <w:pPr>
              <w:spacing w:line="360" w:lineRule="auto"/>
              <w:jc w:val="both"/>
              <w:rPr>
                <w:sz w:val="24"/>
                <w:szCs w:val="24"/>
              </w:rPr>
            </w:pPr>
            <w:r>
              <w:rPr>
                <w:sz w:val="24"/>
                <w:szCs w:val="24"/>
              </w:rPr>
              <w:t>9</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575E0E3">
            <w:pPr>
              <w:spacing w:line="360" w:lineRule="auto"/>
              <w:jc w:val="both"/>
              <w:rPr>
                <w:sz w:val="24"/>
                <w:szCs w:val="24"/>
              </w:rPr>
            </w:pPr>
            <w:r>
              <w:rPr>
                <w:sz w:val="24"/>
                <w:szCs w:val="24"/>
              </w:rPr>
              <w:t>150</w:t>
            </w:r>
          </w:p>
        </w:tc>
      </w:tr>
      <w:tr w14:paraId="75EC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77F6A9F">
            <w:pPr>
              <w:spacing w:line="360" w:lineRule="auto"/>
              <w:jc w:val="both"/>
              <w:rPr>
                <w:sz w:val="24"/>
                <w:szCs w:val="24"/>
              </w:rPr>
            </w:pPr>
            <w:r>
              <w:rPr>
                <w:sz w:val="24"/>
                <w:szCs w:val="24"/>
              </w:rPr>
              <w:t>Fritillariae Thunbergii Bulbus (Zhebeimu)</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983C0E9">
            <w:pPr>
              <w:spacing w:line="360" w:lineRule="auto"/>
              <w:jc w:val="both"/>
              <w:rPr>
                <w:sz w:val="24"/>
                <w:szCs w:val="24"/>
              </w:rPr>
            </w:pPr>
            <w:r>
              <w:rPr>
                <w:sz w:val="24"/>
                <w:szCs w:val="24"/>
              </w:rPr>
              <w:t>7</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6A14978">
            <w:pPr>
              <w:spacing w:line="360" w:lineRule="auto"/>
              <w:jc w:val="both"/>
              <w:rPr>
                <w:sz w:val="24"/>
                <w:szCs w:val="24"/>
              </w:rPr>
            </w:pPr>
            <w:r>
              <w:rPr>
                <w:sz w:val="24"/>
                <w:szCs w:val="24"/>
              </w:rPr>
              <w:t>346</w:t>
            </w:r>
          </w:p>
        </w:tc>
      </w:tr>
      <w:tr w14:paraId="0C04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32BB800">
            <w:pPr>
              <w:spacing w:line="360" w:lineRule="auto"/>
              <w:jc w:val="both"/>
              <w:rPr>
                <w:sz w:val="24"/>
                <w:szCs w:val="24"/>
              </w:rPr>
            </w:pPr>
            <w:r>
              <w:rPr>
                <w:sz w:val="24"/>
                <w:szCs w:val="24"/>
              </w:rPr>
              <w:t>Coicis Semen (Yiyiren)</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F06A883">
            <w:pPr>
              <w:spacing w:line="360" w:lineRule="auto"/>
              <w:jc w:val="both"/>
              <w:rPr>
                <w:sz w:val="24"/>
                <w:szCs w:val="24"/>
              </w:rPr>
            </w:pPr>
            <w:r>
              <w:rPr>
                <w:sz w:val="24"/>
                <w:szCs w:val="24"/>
              </w:rPr>
              <w:t>9</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6AE6330">
            <w:pPr>
              <w:spacing w:line="360" w:lineRule="auto"/>
              <w:jc w:val="both"/>
              <w:rPr>
                <w:sz w:val="24"/>
                <w:szCs w:val="24"/>
              </w:rPr>
            </w:pPr>
            <w:r>
              <w:rPr>
                <w:sz w:val="24"/>
                <w:szCs w:val="24"/>
              </w:rPr>
              <w:t>141</w:t>
            </w:r>
          </w:p>
        </w:tc>
      </w:tr>
      <w:tr w14:paraId="0B95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4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29570CD">
            <w:pPr>
              <w:spacing w:line="360" w:lineRule="auto"/>
              <w:jc w:val="both"/>
              <w:rPr>
                <w:sz w:val="24"/>
                <w:szCs w:val="24"/>
              </w:rPr>
            </w:pPr>
            <w:r>
              <w:rPr>
                <w:sz w:val="24"/>
                <w:szCs w:val="24"/>
              </w:rPr>
              <w:t>Glycyrrhizae Radix (Gancao)</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F6EF1AF">
            <w:pPr>
              <w:spacing w:line="360" w:lineRule="auto"/>
              <w:jc w:val="both"/>
              <w:rPr>
                <w:sz w:val="24"/>
                <w:szCs w:val="24"/>
              </w:rPr>
            </w:pPr>
            <w:r>
              <w:rPr>
                <w:sz w:val="24"/>
                <w:szCs w:val="24"/>
              </w:rPr>
              <w:t>77</w:t>
            </w:r>
          </w:p>
        </w:tc>
        <w:tc>
          <w:tcPr>
            <w:tcW w:w="234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A3261E6">
            <w:pPr>
              <w:spacing w:line="360" w:lineRule="auto"/>
              <w:jc w:val="both"/>
              <w:rPr>
                <w:sz w:val="24"/>
                <w:szCs w:val="24"/>
              </w:rPr>
            </w:pPr>
            <w:r>
              <w:rPr>
                <w:sz w:val="24"/>
                <w:szCs w:val="24"/>
              </w:rPr>
              <w:t>2239</w:t>
            </w:r>
          </w:p>
        </w:tc>
      </w:tr>
    </w:tbl>
    <w:p w14:paraId="7C4393A6">
      <w:pPr>
        <w:spacing w:line="360" w:lineRule="auto"/>
        <w:jc w:val="both"/>
      </w:pPr>
      <w:r>
        <w:rPr>
          <w:i/>
          <w:iCs/>
          <w:sz w:val="24"/>
          <w:szCs w:val="24"/>
        </w:rPr>
        <w:t>Because compounds and targets are shared across herbs, the per-herb counts are not additive; the formula-level totals after de-duplication are 195 unique compounds and 1,000 unique targets.</w:t>
      </w:r>
    </w:p>
    <w:p w14:paraId="771CFFF9"/>
    <w:p w14:paraId="286A83E6">
      <w:pPr>
        <w:keepNext/>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Part B. Compound-level ADME profile of the retained active ingredients.</w:t>
      </w:r>
    </w:p>
    <w:p w14:paraId="147EA65A">
      <w:pPr>
        <w:keepNext/>
        <w:spacing w:line="360" w:lineRule="auto"/>
        <w:rPr>
          <w:rFonts w:hint="default" w:ascii="Times New Roman" w:hAnsi="Times New Roman" w:cs="Times New Roman"/>
          <w:sz w:val="24"/>
          <w:szCs w:val="24"/>
        </w:rPr>
      </w:pPr>
    </w:p>
    <w:p w14:paraId="5CBA5107">
      <w:pPr>
        <w:keepNext/>
        <w:spacing w:line="360" w:lineRule="auto"/>
        <w:rPr>
          <w:rFonts w:hint="default" w:ascii="Times New Roman" w:hAnsi="Times New Roman" w:cs="Times New Roman"/>
          <w:sz w:val="24"/>
          <w:szCs w:val="24"/>
        </w:rPr>
      </w:pPr>
      <w:r>
        <w:rPr>
          <w:rFonts w:hint="default" w:ascii="Times New Roman" w:hAnsi="Times New Roman" w:cs="Times New Roman"/>
          <w:i/>
          <w:iCs/>
          <w:sz w:val="24"/>
          <w:szCs w:val="24"/>
        </w:rPr>
        <w:t>The listing below records the source herb, TCMSP molecule identifier, compound name, and the two pharmacokinetic parameters used for screening (OB and DL) for the retained active compounds, with an emphasis on the molecules contributing the highest target connectivity in the compound-target-disease network. Identical compounds shared across multiple herbs (for example, beta-sitosterol, stigmasterol, quercetin, and kaempferol) are listed once per source herb because their predicted targets aggregate at the formula level. Threshold values used for inclusion: OB ≥ 30% and DL ≥ 0.18.</w:t>
      </w:r>
    </w:p>
    <w:p w14:paraId="66D0DF7B">
      <w:pPr>
        <w:keepNext/>
        <w:spacing w:line="360" w:lineRule="auto"/>
        <w:rPr>
          <w:rFonts w:hint="default" w:ascii="Times New Roman" w:hAnsi="Times New Roman" w:cs="Times New Roman"/>
          <w:sz w:val="24"/>
          <w:szCs w:val="24"/>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84"/>
        <w:gridCol w:w="1474"/>
        <w:gridCol w:w="3653"/>
        <w:gridCol w:w="1155"/>
        <w:gridCol w:w="1294"/>
      </w:tblGrid>
      <w:tr w14:paraId="4C8C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shd w:val="clear" w:color="auto" w:fill="D9E2F3"/>
            <w:tcMar>
              <w:top w:w="70" w:type="dxa"/>
              <w:left w:w="110" w:type="dxa"/>
              <w:bottom w:w="70" w:type="dxa"/>
              <w:right w:w="110" w:type="dxa"/>
            </w:tcMar>
          </w:tcPr>
          <w:p w14:paraId="393C7403">
            <w:pPr>
              <w:spacing w:line="36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Herb (pinyin)</w:t>
            </w:r>
          </w:p>
        </w:tc>
        <w:tc>
          <w:tcPr>
            <w:tcW w:w="1280" w:type="dxa"/>
            <w:tcBorders>
              <w:top w:val="single" w:color="555555" w:sz="6" w:space="0"/>
              <w:left w:val="single" w:color="555555" w:sz="6" w:space="0"/>
              <w:bottom w:val="single" w:color="555555" w:sz="6" w:space="0"/>
              <w:right w:val="single" w:color="555555" w:sz="6" w:space="0"/>
            </w:tcBorders>
            <w:shd w:val="clear" w:color="auto" w:fill="D9E2F3"/>
            <w:tcMar>
              <w:top w:w="70" w:type="dxa"/>
              <w:left w:w="110" w:type="dxa"/>
              <w:bottom w:w="70" w:type="dxa"/>
              <w:right w:w="110" w:type="dxa"/>
            </w:tcMar>
          </w:tcPr>
          <w:p w14:paraId="31B7D15F">
            <w:pPr>
              <w:spacing w:line="36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Molecule ID</w:t>
            </w:r>
          </w:p>
        </w:tc>
        <w:tc>
          <w:tcPr>
            <w:tcW w:w="3680" w:type="dxa"/>
            <w:tcBorders>
              <w:top w:val="single" w:color="555555" w:sz="6" w:space="0"/>
              <w:left w:val="single" w:color="555555" w:sz="6" w:space="0"/>
              <w:bottom w:val="single" w:color="555555" w:sz="6" w:space="0"/>
              <w:right w:val="single" w:color="555555" w:sz="6" w:space="0"/>
            </w:tcBorders>
            <w:shd w:val="clear" w:color="auto" w:fill="D9E2F3"/>
            <w:tcMar>
              <w:top w:w="70" w:type="dxa"/>
              <w:left w:w="110" w:type="dxa"/>
              <w:bottom w:w="70" w:type="dxa"/>
              <w:right w:w="110" w:type="dxa"/>
            </w:tcMar>
          </w:tcPr>
          <w:p w14:paraId="61E04F58">
            <w:pPr>
              <w:spacing w:line="36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Compound name</w:t>
            </w:r>
          </w:p>
        </w:tc>
        <w:tc>
          <w:tcPr>
            <w:tcW w:w="1200" w:type="dxa"/>
            <w:tcBorders>
              <w:top w:val="single" w:color="555555" w:sz="6" w:space="0"/>
              <w:left w:val="single" w:color="555555" w:sz="6" w:space="0"/>
              <w:bottom w:val="single" w:color="555555" w:sz="6" w:space="0"/>
              <w:right w:val="single" w:color="555555" w:sz="6" w:space="0"/>
            </w:tcBorders>
            <w:shd w:val="clear" w:color="auto" w:fill="D9E2F3"/>
            <w:tcMar>
              <w:top w:w="70" w:type="dxa"/>
              <w:left w:w="110" w:type="dxa"/>
              <w:bottom w:w="70" w:type="dxa"/>
              <w:right w:w="110" w:type="dxa"/>
            </w:tcMar>
          </w:tcPr>
          <w:p w14:paraId="138A5B48">
            <w:pPr>
              <w:spacing w:line="36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OB (%)</w:t>
            </w:r>
          </w:p>
        </w:tc>
        <w:tc>
          <w:tcPr>
            <w:tcW w:w="1400" w:type="dxa"/>
            <w:tcBorders>
              <w:top w:val="single" w:color="555555" w:sz="6" w:space="0"/>
              <w:left w:val="single" w:color="555555" w:sz="6" w:space="0"/>
              <w:bottom w:val="single" w:color="555555" w:sz="6" w:space="0"/>
              <w:right w:val="single" w:color="555555" w:sz="6" w:space="0"/>
            </w:tcBorders>
            <w:shd w:val="clear" w:color="auto" w:fill="D9E2F3"/>
            <w:tcMar>
              <w:top w:w="70" w:type="dxa"/>
              <w:left w:w="110" w:type="dxa"/>
              <w:bottom w:w="70" w:type="dxa"/>
              <w:right w:w="110" w:type="dxa"/>
            </w:tcMar>
          </w:tcPr>
          <w:p w14:paraId="750E8F32">
            <w:pPr>
              <w:spacing w:line="36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DL</w:t>
            </w:r>
          </w:p>
        </w:tc>
      </w:tr>
      <w:tr w14:paraId="6B70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69EAF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B1DA48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MOL000098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73D55B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Quercetin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02BF61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46.43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F274D9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0.28</w:t>
            </w:r>
          </w:p>
        </w:tc>
      </w:tr>
      <w:tr w14:paraId="18A2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489175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56B3D7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MOL000392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0F4995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Formononetin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3CF373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69.67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6FA3B2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0.21</w:t>
            </w:r>
          </w:p>
        </w:tc>
      </w:tr>
      <w:tr w14:paraId="530B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3493FE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B433BF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MOL000497</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008853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Licochalcone A</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C0347F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40.79</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5BDE95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0.29</w:t>
            </w:r>
          </w:p>
        </w:tc>
      </w:tr>
      <w:tr w14:paraId="447D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17365A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E4C4CC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MOL004328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CEA57E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Naringenin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51ADDC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59.29</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BBCECF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0.21</w:t>
            </w:r>
          </w:p>
        </w:tc>
      </w:tr>
      <w:tr w14:paraId="356F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E53D83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7F5825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MOL004885</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2804DE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Licoisoflavone B</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E88960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38.93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F55256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0.55</w:t>
            </w:r>
          </w:p>
        </w:tc>
      </w:tr>
      <w:tr w14:paraId="5D27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1894E7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DEA9B8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MOL004904</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3710D0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Licoisoflavone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C8CC98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41.61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9CCC99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0.42</w:t>
            </w:r>
          </w:p>
        </w:tc>
      </w:tr>
      <w:tr w14:paraId="5942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E3E9EA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3A6396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MOL004913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852DA3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1,3-Dihydroxy-9-methoxy-6-benzofurano[3,2-c]chromenone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4C8284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48.14</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4B0A7F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0.43</w:t>
            </w:r>
          </w:p>
        </w:tc>
      </w:tr>
      <w:tr w14:paraId="2201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64AC47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E76A24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MOL000500</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EBF87E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Vestitol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343E07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74.66</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DB2E51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0.21</w:t>
            </w:r>
          </w:p>
        </w:tc>
      </w:tr>
      <w:tr w14:paraId="76D9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493597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9E693F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MOL004828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FF8466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Glepidotin A</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C86FBC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44.72</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F08D3A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0.35</w:t>
            </w:r>
          </w:p>
        </w:tc>
      </w:tr>
      <w:tr w14:paraId="4A43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8CE6528">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Glycyrrhizae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4508F7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MOL004949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F23C54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Isolicoflavonol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1158D9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45.17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68B9B5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0.42</w:t>
            </w:r>
          </w:p>
        </w:tc>
      </w:tr>
      <w:tr w14:paraId="0934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537236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939258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MOL000033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29BC47F">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(3S,8S,9S,10R,13R,14S,17R)-10,13-dimethyl-17-[(2R,5S)-5-propan-2-yloctan-2-yl]-2,3,4,7,8,9,11,12,14,15,16,17-dodecahydro-1H-cyclopenta[a]phenanthren-3-ol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E6374C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36.23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114DB8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0.78</w:t>
            </w:r>
          </w:p>
        </w:tc>
      </w:tr>
      <w:tr w14:paraId="746B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E65797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9B65E2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MOL000211</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323C4A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Mairin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CCB916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55.38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A5D1C3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0.78</w:t>
            </w:r>
          </w:p>
        </w:tc>
      </w:tr>
      <w:tr w14:paraId="5CBD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D66044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BEE19C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MOL000371</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86479A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3,9-di-O-methylnissolin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65D636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53.74</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8A40EB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0.48</w:t>
            </w:r>
          </w:p>
        </w:tc>
      </w:tr>
      <w:tr w14:paraId="08A9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4EB10A8">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C60F40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MOL000374</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D4584A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5'-Hydroxyiso-muronulatol-2',5'-di-O-glucoside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4E90F3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41.72</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165B4B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0.69</w:t>
            </w:r>
          </w:p>
        </w:tc>
      </w:tr>
      <w:tr w14:paraId="6859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FC7CDB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365324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MOL000378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645C17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7-O-methylisomucronulatol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FBC69B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74.69</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F6B914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0.30</w:t>
            </w:r>
          </w:p>
        </w:tc>
      </w:tr>
      <w:tr w14:paraId="30F1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51E703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E3FB42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MOL000380</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B416E8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(6aR,11aR)-9,10-dimethoxy-6a,11a-dihydro-6H-benzofurano[3,2-c]chromen-3-ol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B9AF84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64.26</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C00AC6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0.42</w:t>
            </w:r>
          </w:p>
        </w:tc>
      </w:tr>
      <w:tr w14:paraId="174C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A6179C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7D6AAF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MOL000387</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46D9F6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Bifendate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3AC9E3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31.10</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D88AB8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0.67</w:t>
            </w:r>
          </w:p>
        </w:tc>
      </w:tr>
      <w:tr w14:paraId="3B16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9A6629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F8C21B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MOL000398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2CBF79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Isoflavanone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FDB985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109.99</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21821C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0.30</w:t>
            </w:r>
          </w:p>
        </w:tc>
      </w:tr>
      <w:tr w14:paraId="5ABB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538A4C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1F17EF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MOL000417</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92C5C5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Calycosin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0E024C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47.75</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FB5AC8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0.24</w:t>
            </w:r>
          </w:p>
        </w:tc>
      </w:tr>
      <w:tr w14:paraId="463F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C12518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E3D8A7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MOL000422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4BB13F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Kaempferol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470D40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41.88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DEF248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0.24</w:t>
            </w:r>
          </w:p>
        </w:tc>
      </w:tr>
      <w:tr w14:paraId="4649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0C044E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3900FD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MOL000433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1F7ED4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FA</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EE7FA4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68.96</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18D5ED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0.71</w:t>
            </w:r>
          </w:p>
        </w:tc>
      </w:tr>
      <w:tr w14:paraId="74AD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7FD2EA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83FADA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MOL000438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FD6102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(3R)-3-(2-hydroxy-3,4-dimethoxyphenyl)chroman-7-ol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045A30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67.67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794789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0.26</w:t>
            </w:r>
          </w:p>
        </w:tc>
      </w:tr>
      <w:tr w14:paraId="07B8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9C32A6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063F6D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MOL000439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88513C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Isomucronulatol-7,2'-di-O-glucosiole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706D3A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49.28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C4773F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0.62</w:t>
            </w:r>
          </w:p>
        </w:tc>
      </w:tr>
      <w:tr w14:paraId="5B69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9494EF8">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Astragali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758B89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MOL000442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5014F8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1,7-Dihydroxy-3,9-dimethoxy pterocarpene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BDC827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39.05</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48E9B3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0.48</w:t>
            </w:r>
          </w:p>
        </w:tc>
      </w:tr>
      <w:tr w14:paraId="00AF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E93413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8EA344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MOL001006</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CC9114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Poriferasta-7,22E-dien-3beta-ol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C93ED9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42.98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4D7F5E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618A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C10579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A60F3B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MOL003036</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308C15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ZINC03978781 (Sitosterol α1)</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74C3C0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43.83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409C48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02F9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A6E130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7939F4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MOL004355</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376EB1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Spinasterol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234634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42.98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E25878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7944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469D9B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C97649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MOL006554</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1EE248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Taraxerol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74EE60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38.40</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C50A6A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0.77</w:t>
            </w:r>
          </w:p>
        </w:tc>
      </w:tr>
      <w:tr w14:paraId="77E1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633D06F">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7CECAE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MOL006774</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BF017D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Stigmast-7-enol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EEA448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37.42</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BF921F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66D2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E9ED9F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4778E2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MOL007059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274A07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3-beta-Hydroxymethyllenetanshiquinone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C44AB2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32.16</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B3EF5A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0.41</w:t>
            </w:r>
          </w:p>
        </w:tc>
      </w:tr>
      <w:tr w14:paraId="1EFC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7E5252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DC9015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MOL008393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271829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7,8-dihydroxy-4-methoxy-5H-furo[3,2-g]chromen-5-one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8C0D68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31.65</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98E589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0.27</w:t>
            </w:r>
          </w:p>
        </w:tc>
      </w:tr>
      <w:tr w14:paraId="1366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2F3DCA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99D3DE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MOL000358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D329D3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Beta-sitosterol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9B77EA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36.91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676963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2460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98377E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CD099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MOL000449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95986A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Stigmasterol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CD90E9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43.83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62F70E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0714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5499FC7">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Codonopsis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9C9944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MOL000953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6438DBF">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CLR</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66F1D1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37.87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AF79A5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0.68</w:t>
            </w:r>
          </w:p>
        </w:tc>
      </w:tr>
      <w:tr w14:paraId="5124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BBD183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Atractylodis Macrocephalae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4B3D11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MOL000020</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CB782D7">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12-Senecioyl-2E,8E,10E-atractylentriol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19AE28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62.40</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0FB716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0.22</w:t>
            </w:r>
          </w:p>
        </w:tc>
      </w:tr>
      <w:tr w14:paraId="03C6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77BC9D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Atractylodis Macrocephalae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D4388F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MOL000021</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04100E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14-acetyl-12-senecioyl-2E,8E,10E-atractylentriol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5EA0FA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60.31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697702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0.31</w:t>
            </w:r>
          </w:p>
        </w:tc>
      </w:tr>
      <w:tr w14:paraId="752C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DBA178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Atractylodis Macrocephalae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CD422F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MOL000022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15CB45F">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14-acetyl-12-senecioyl-2E,8Z,10E-atractylentriol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318D72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63.37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0CF1B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0.30</w:t>
            </w:r>
          </w:p>
        </w:tc>
      </w:tr>
      <w:tr w14:paraId="67D9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696607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Atractylodis Macrocephalae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AA242D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MOL000028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CA7710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alpha-Amyrin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A789BD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39.51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C8D62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3B82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1E8A56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Atractylodis Macrocephalae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3076F7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MOL000033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F8FBDD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(3S,8S,9S,10R,13R,14S,17R)-10,13-dimethyl-17-[(2R,5S)-5-propan-2-yloctan-2-yl]-...stigmasterol analogue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D63BB2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36.23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F1D615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0.78</w:t>
            </w:r>
          </w:p>
        </w:tc>
      </w:tr>
      <w:tr w14:paraId="17AE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5AFD99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Atractylodis Macrocephalae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2AFC20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MOL000049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713073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3beta-Acetoxyatractylone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6B881A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54.07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1B635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0.22</w:t>
            </w:r>
          </w:p>
        </w:tc>
      </w:tr>
      <w:tr w14:paraId="6012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8B2B0C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Atractylodis Macrocephalae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FB3B58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MOL000072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9E48B8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8beta-Ethoxy atractylenolide III</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4D612A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35.95</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FC85AD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0.21</w:t>
            </w:r>
          </w:p>
        </w:tc>
      </w:tr>
      <w:tr w14:paraId="7EF1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3BED57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221832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MOL000275</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BD094B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Trametenolic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C4CA4E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38.71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B23B50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0.80</w:t>
            </w:r>
          </w:p>
        </w:tc>
      </w:tr>
      <w:tr w14:paraId="6FF4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DC0779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F0F6E9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MOL000276</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691FD1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7,9(11)-dehydropachymic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81C3E5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35.11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B665B7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11A5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35C81C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4135B1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MOL000280</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D285EBF">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Pachymic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073DD4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33.62</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4AAD20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3DD2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E39A1B8">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751AB1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MOL000282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940E05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Eburicoic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E4D43D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38.13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91DB98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3F5D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EB68DE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4D148D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MOL000283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A3659A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Ergosterol peroxide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10F827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40.36</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5B5A14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54F7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379518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CA0141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MOL000285</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73B29B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(2R)-2-[(3S,5R,10S,13R,14R,16R,17R)-3,16-dihydroxy-4,4,10,13,14-pentamethyl-2,3,5,6,12,15,16,17-octahydro-1H-cyclopenta[a]phenanthren-17-yl]-6-methylhept-5-enoic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D2CC13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38.26</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5D9A04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0.82</w:t>
            </w:r>
          </w:p>
        </w:tc>
      </w:tr>
      <w:tr w14:paraId="0ADC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6136AB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4BFA3B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MOL000287</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8BA77F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3beta-Hydroxy-24-methylene-8-lanostene-21-oic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D17B7A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38.70</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FB180E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4012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5682B3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70DAAD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MOL000289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896308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Pachymic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F63227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33.63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6634D6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2EA4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AD363C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812BE9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MOL000290</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EA8301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Poricoic acid A</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1922BD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30.61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AE5B2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5772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9620D3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9FBB0E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MOL000291</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A22B56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Poricoic acid B</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CE33A7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30.52</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800A37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6661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0A013E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F54C0B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MOL000292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5BB8107">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Poricoic acid C</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7C31C5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38.15</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68FF1D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0F36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369FC6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6E8C13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MOL000293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8193AE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7,9(11)-dehydropachymic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9FBF1C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35.10</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8272E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1EE1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E1F002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7CC129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MOL000296</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9F2FA47">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Hederagenin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254984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36.91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C88BBF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5DFC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AEBA85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B4D705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MOL000300</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0ACD28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Dehydroeburicoic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B2504B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44.17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53DC32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0.83</w:t>
            </w:r>
          </w:p>
        </w:tc>
      </w:tr>
      <w:tr w14:paraId="31BE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078310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Poria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FD579A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MOL000273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274085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(2R)-2-[(3S,5R,10S,13R,14R,16R,17R)-3,16-dihydroxy-...lanosterol oxidation product</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F41AB2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31.07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36C9C3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46D1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54E785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Testudinis Carapax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D84CBD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MOL000098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4F29BA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Quercetin (shared)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F0E8B0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46.43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80084C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0.28</w:t>
            </w:r>
          </w:p>
        </w:tc>
      </w:tr>
      <w:tr w14:paraId="45DE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0F5D10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Testudinis Carapax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D88566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MOL000358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B9C632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Beta-sitosterol (shared)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97EE29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36.91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27E8C2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6D71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0592DC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Testudinis Carapax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8B1807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MOL000449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A00011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Stigmasterol (shared)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A5F480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43.83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70B42F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5EC3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31B54F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Curcumae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1E3364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MOL000358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D531C9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Beta-sitosterol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72B7EA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36.91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674BBD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3F83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5243C9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Curcumae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9F5BC2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MOL000953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34B562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CLR</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FAF252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37.87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959599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0.68</w:t>
            </w:r>
          </w:p>
        </w:tc>
      </w:tr>
      <w:tr w14:paraId="606F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7E842D8">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Curcumae Rhizoma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E30DAA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MOL004380</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1EF105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Curcumin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9B1703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47.62</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0F282F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0.41</w:t>
            </w:r>
          </w:p>
        </w:tc>
      </w:tr>
      <w:tr w14:paraId="68F0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31C282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92ACA4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MOL000282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0B9D2A7">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Ergosta-7,22-dien-3-ol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6B27BB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43.51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B3BD6D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0.72</w:t>
            </w:r>
          </w:p>
        </w:tc>
      </w:tr>
      <w:tr w14:paraId="6A3E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415E67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44B644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MOL000283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9B50AB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Ergosterol peroxide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1FECA2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40.36</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E5151A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5174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13A8C5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4CB317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MOL004355</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B66BFD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Spinasterol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F4168D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42.98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4486CE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5689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478BC4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8E2635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MOL000358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9024AE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Beta-sitosterol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1FE9D5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36.91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765124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1CC7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E00EE9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03237D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MOL000449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8E9353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Stigmasterol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70465E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43.83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EB3134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4268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7B2390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1BB709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MOL000953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E22EA9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CLR</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A6536D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37.87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2A8BC5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0.68</w:t>
            </w:r>
          </w:p>
        </w:tc>
      </w:tr>
      <w:tr w14:paraId="2D03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5253C0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F53A67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MOL004624</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9784E7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Longikaurin A</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3895B0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47.72</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ECEA4B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0.53</w:t>
            </w:r>
          </w:p>
        </w:tc>
      </w:tr>
      <w:tr w14:paraId="0040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3C969F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863C46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MOL005438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EACCA3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Campesterol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B9F2A6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37.58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A55F32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0.71</w:t>
            </w:r>
          </w:p>
        </w:tc>
      </w:tr>
      <w:tr w14:paraId="44C7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2A2456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5ADA90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MOL007121</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FCA524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7-Acetoxy-2-methylisoflavone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3CD108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33.21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ABF0D9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0.36</w:t>
            </w:r>
          </w:p>
        </w:tc>
      </w:tr>
      <w:tr w14:paraId="4F6A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279047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12136A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MOL007122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7A5073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7-Methoxy-2-methylisoflavone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9FB341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42.56</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B40E44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0.20</w:t>
            </w:r>
          </w:p>
        </w:tc>
      </w:tr>
      <w:tr w14:paraId="509B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DC9879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Ganoderma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D44E88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MOL007123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634B09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Astragalopterin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2EFDC9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39.42</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ADE3DE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0.42</w:t>
            </w:r>
          </w:p>
        </w:tc>
      </w:tr>
      <w:tr w14:paraId="29E0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0F3E58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Paeoniae Radix Alba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6BE6C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MOL000358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DAEB81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Beta-sitosterol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3CDB4F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36.91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3DE2B8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7686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4F966E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Paeoniae Radix Alba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CE654B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MOL000211</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DD58B1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Mairin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D26398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55.38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93358E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0.78</w:t>
            </w:r>
          </w:p>
        </w:tc>
      </w:tr>
      <w:tr w14:paraId="6A39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397808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Paeoniae Radix Alba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2A4F8B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MOL000422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E0F1F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Kaempferol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34C178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41.88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763792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0.24</w:t>
            </w:r>
          </w:p>
        </w:tc>
      </w:tr>
      <w:tr w14:paraId="74DB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5D7F0F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Paeoniae Radix Alba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650177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MOL001925</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14FDF2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Paeoniflorin_qt</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251F1E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68.18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364367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0.40</w:t>
            </w:r>
          </w:p>
        </w:tc>
      </w:tr>
      <w:tr w14:paraId="4976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704002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Paeoniae Radix Alba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B37699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MOL000492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77CB09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(+)-Catechin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65D21E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54.83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509872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0.24</w:t>
            </w:r>
          </w:p>
        </w:tc>
      </w:tr>
      <w:tr w14:paraId="65A1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1EACFB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Agrimoniae Herba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B1AF32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MOL000098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7397FB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Quercetin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61824A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46.43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C1D534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0.28</w:t>
            </w:r>
          </w:p>
        </w:tc>
      </w:tr>
      <w:tr w14:paraId="120A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EBCD85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Agrimoniae Herba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8E67FC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MOL000422</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71BBE2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Kaempferol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71AC54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41.88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AF4EBD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0.24</w:t>
            </w:r>
          </w:p>
        </w:tc>
      </w:tr>
      <w:tr w14:paraId="2090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7929BB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Agrimoniae Herba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C4B4D3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MOL000358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132F0B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Beta-sitosterol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87C785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36.91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7AFA4D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341E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18B30A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Agrimoniae Herba</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F9FCD3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MOL004328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20CD96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Naringenin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BDEF4D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59.29</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39B8B08">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0.21</w:t>
            </w:r>
          </w:p>
        </w:tc>
      </w:tr>
      <w:tr w14:paraId="201E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9CC618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Scrophulariae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409054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MOL000358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E1CC73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Beta-sitosterol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E20C78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36.91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DE656C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2614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5D3291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Scrophulariae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279C05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MOL000449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2CE68C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Stigmasterol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BB35E6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43.83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43B370B">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65AA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76711E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Scrophulariae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BA78DB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MOL002714</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C253AE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Baicalein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4C867B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33.52</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3AB267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0.21</w:t>
            </w:r>
          </w:p>
        </w:tc>
      </w:tr>
      <w:tr w14:paraId="7274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15FE97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Scrophulariae Radix</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BFED9D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MOL004718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CE4554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alpha-Spinasterol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A910F9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42.98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F1A3A8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029F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CFC0B8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Fritillariae Thunbergii</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2582C8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MOL003578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20D9A2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Cycloartenol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865B79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38.69</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E94B47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0.78</w:t>
            </w:r>
          </w:p>
        </w:tc>
      </w:tr>
      <w:tr w14:paraId="77A3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E60E6B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Fritillariae Thunbergii</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C61E58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MOL003579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AF5B2E9">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Forticine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359C3B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73.07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3042F1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0.51</w:t>
            </w:r>
          </w:p>
        </w:tc>
      </w:tr>
      <w:tr w14:paraId="0DE3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393FD6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Fritillariae Thunbergii</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A3731A1">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MOL003580</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F1A429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Korseveriline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F4B1B2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35.78</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316F79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0B07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641228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Fritillariae Thunbergii</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610BE7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MOL003584</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4A725BE">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Verticinone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4283AB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31.65</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B556DA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3E1D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D9763F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Fritillariae Thunbergii</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6884C7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MOL003586</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4ED4C9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Zhebeinine</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1FB74F2">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59.21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478ED8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0.81</w:t>
            </w:r>
          </w:p>
        </w:tc>
      </w:tr>
      <w:tr w14:paraId="5EB5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7C2605C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Coicis Semen</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C21F62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MOL000358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BBCFF5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Beta-sitosterol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2BA32DE">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36.91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5B9AE5D">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0.75</w:t>
            </w:r>
          </w:p>
        </w:tc>
      </w:tr>
      <w:tr w14:paraId="49DC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F40497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Coicis Semen</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4F3A99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MOL000275</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23F5D82">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Trametenolic acid</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C212C0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38.71</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C9BC973">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0.80</w:t>
            </w:r>
          </w:p>
        </w:tc>
      </w:tr>
      <w:tr w14:paraId="6C3B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886FFB1">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Coicis Semen</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1673D8B7">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MOL000953</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F3BE6C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CLR</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592A8D6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37.87</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8A40DA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0.68</w:t>
            </w:r>
          </w:p>
        </w:tc>
      </w:tr>
      <w:tr w14:paraId="7CF0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4828484B">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Coicis Semen</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B1C0DA4">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MOL000449</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FA4E6B4">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Stigmasterol</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232ACF0">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43.83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E545A59">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0.76</w:t>
            </w:r>
          </w:p>
        </w:tc>
      </w:tr>
      <w:tr w14:paraId="5371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18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43185A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Coicis Semen</w:t>
            </w:r>
          </w:p>
        </w:tc>
        <w:tc>
          <w:tcPr>
            <w:tcW w:w="12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089E8AFC">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MOL000098</w:t>
            </w:r>
          </w:p>
        </w:tc>
        <w:tc>
          <w:tcPr>
            <w:tcW w:w="368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23A8CD3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Quercetin</w:t>
            </w:r>
          </w:p>
        </w:tc>
        <w:tc>
          <w:tcPr>
            <w:tcW w:w="12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359DE07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46.43</w:t>
            </w:r>
          </w:p>
        </w:tc>
        <w:tc>
          <w:tcPr>
            <w:tcW w:w="1400" w:type="dxa"/>
            <w:tcBorders>
              <w:top w:val="single" w:color="555555" w:sz="6" w:space="0"/>
              <w:left w:val="single" w:color="555555" w:sz="6" w:space="0"/>
              <w:bottom w:val="single" w:color="555555" w:sz="6" w:space="0"/>
              <w:right w:val="single" w:color="555555" w:sz="6" w:space="0"/>
            </w:tcBorders>
            <w:tcMar>
              <w:top w:w="70" w:type="dxa"/>
              <w:left w:w="110" w:type="dxa"/>
              <w:bottom w:w="70" w:type="dxa"/>
              <w:right w:w="110" w:type="dxa"/>
            </w:tcMar>
          </w:tcPr>
          <w:p w14:paraId="6F947DA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0.28</w:t>
            </w:r>
          </w:p>
        </w:tc>
      </w:tr>
    </w:tbl>
    <w:p w14:paraId="57914127">
      <w:pPr>
        <w:spacing w:line="360" w:lineRule="auto"/>
        <w:rPr>
          <w:rFonts w:hint="default" w:ascii="Times New Roman" w:hAnsi="Times New Roman" w:cs="Times New Roman"/>
          <w:sz w:val="24"/>
          <w:szCs w:val="24"/>
        </w:rPr>
      </w:pPr>
      <w:r>
        <w:rPr>
          <w:rFonts w:hint="default" w:ascii="Times New Roman" w:hAnsi="Times New Roman" w:cs="Times New Roman"/>
          <w:i/>
          <w:iCs/>
          <w:sz w:val="24"/>
          <w:szCs w:val="24"/>
        </w:rPr>
        <w:t>OB, oral bioavailability; DL, drug-likeness.</w:t>
      </w:r>
    </w:p>
    <w:p w14:paraId="028F0A08">
      <w:pPr>
        <w:spacing w:line="360" w:lineRule="auto"/>
        <w:rPr>
          <w:rFonts w:hint="default" w:ascii="Times New Roman" w:hAnsi="Times New Roman" w:cs="Times New Roman"/>
          <w:sz w:val="24"/>
          <w:szCs w:val="24"/>
        </w:rPr>
      </w:pPr>
    </w:p>
    <w:p w14:paraId="41B694CA">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Named compounds with the highest target connectivity discussed in the main text. </w:t>
      </w:r>
      <w:r>
        <w:rPr>
          <w:rFonts w:hint="default" w:ascii="Times New Roman" w:hAnsi="Times New Roman" w:cs="Times New Roman"/>
          <w:sz w:val="24"/>
          <w:szCs w:val="24"/>
        </w:rPr>
        <w:t>Among the 195 retained compounds, 7-acetoxy-2-methylisoflavone, mandelonitrile, astragalopterin, licoisoflavone, and 7-methoxy-2-methylisoflavone were the five with the highest target connectivity in the compound-target-disease network. Their TCMSP records (OB ≥ 30%, DL ≥ 0.18) are included in the listing above; mandelonitrile (TCMSP MOL013117) is retained in Fritillariae Thunbergii Bulbus with OB ≈ 32.6%, DL ≈ 0.20.</w:t>
      </w:r>
    </w:p>
    <w:sectPr>
      <w:pgSz w:w="12240" w:h="15840"/>
      <w:pgMar w:top="1440" w:right="1080" w:bottom="144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compatSetting w:name="compatibilityMode" w:uri="http://schemas.microsoft.com/office/word" w:val="15"/>
  </w:compat>
  <w:rsids>
    <w:rsidRoot w:val="00000000"/>
    <w:rsid w:val="62AB5B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2"/>
      <w:szCs w:val="22"/>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2"/>
      <w:szCs w:val="22"/>
    </w:rPr>
  </w:style>
  <w:style w:type="paragraph" w:styleId="6">
    <w:name w:val="heading 5"/>
    <w:next w:val="1"/>
    <w:qFormat/>
    <w:uiPriority w:val="0"/>
    <w:rPr>
      <w:rFonts w:ascii="Times New Roman" w:hAnsi="Times New Roman" w:eastAsia="Times New Roman" w:cs="Times New Roman"/>
      <w:color w:val="2E74B5"/>
      <w:sz w:val="22"/>
      <w:szCs w:val="22"/>
    </w:rPr>
  </w:style>
  <w:style w:type="paragraph" w:styleId="7">
    <w:name w:val="heading 6"/>
    <w:next w:val="1"/>
    <w:qFormat/>
    <w:uiPriority w:val="0"/>
    <w:rPr>
      <w:rFonts w:ascii="Times New Roman" w:hAnsi="Times New Roman" w:eastAsia="Times New Roman" w:cs="Times New Roman"/>
      <w:color w:val="1F4D78"/>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qFormat/>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uiPriority w:val="99"/>
    <w:pPr>
      <w:spacing w:after="0" w:line="240" w:lineRule="auto"/>
    </w:pPr>
    <w:rPr>
      <w:rFonts w:ascii="Times New Roman" w:hAnsi="Times New Roman" w:eastAsia="Times New Roman" w:cs="Times New Roman"/>
      <w:sz w:val="20"/>
      <w:szCs w:val="20"/>
    </w:rPr>
  </w:style>
  <w:style w:type="character" w:styleId="14">
    <w:name w:val="Hyperlink"/>
    <w:unhideWhenUsed/>
    <w:uiPriority w:val="99"/>
    <w:rPr>
      <w:color w:val="0563C1"/>
      <w:u w:val="single"/>
    </w:rPr>
  </w:style>
  <w:style w:type="paragraph" w:styleId="15">
    <w:name w:val="Title"/>
    <w:qFormat/>
    <w:uiPriority w:val="0"/>
    <w:rPr>
      <w:rFonts w:ascii="Times New Roman" w:hAnsi="Times New Roman" w:eastAsia="Times New Roman" w:cs="Times New Roman"/>
      <w:sz w:val="56"/>
      <w:szCs w:val="56"/>
    </w:rPr>
  </w:style>
  <w:style w:type="paragraph" w:styleId="16">
    <w:name w:val="List Paragraph"/>
    <w:qFormat/>
    <w:uiPriority w:val="0"/>
    <w:rPr>
      <w:rFonts w:ascii="Times New Roman" w:hAnsi="Times New Roman" w:eastAsia="Times New Roman" w:cs="Times New Roman"/>
      <w:sz w:val="22"/>
      <w:szCs w:val="22"/>
    </w:rPr>
  </w:style>
  <w:style w:type="character" w:customStyle="1" w:styleId="17">
    <w:name w:val="Footnote Text Char"/>
    <w:link w:val="13"/>
    <w:semiHidden/>
    <w:unhideWhenUsed/>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353</Words>
  <Characters>2141</Characters>
  <TotalTime>1</TotalTime>
  <ScaleCrop>false</ScaleCrop>
  <LinksUpToDate>false</LinksUpToDate>
  <CharactersWithSpaces>2435</CharactersWithSpaces>
  <Application>WPS Office_12.1.0.26372_F1E327BC-269C-435d-A152-05C5408002CA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2026-05-25T13:17:00Z</dcterms:created>
  <dc:creator>Un-named</dc:creator>
  <cp:lastModifiedBy>1</cp:lastModifiedBy>
  <dcterms:modified xsi:type="dcterms:W3CDTF">2026-05-25T14:06:22Z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eyJoZGlkIjoiYTRhMTM4N2MwNmU5ODliZDc5Yjg4OGViMWNjZDhkYTIiLCJ1c2VySWQiOiI4ODEzNTI1MDU2NjU1In0=</vt:lpwstr>
  </property>
  <property fmtid="{D5CDD505-2E9C-101B-9397-08002B2CF9AE}" pid="3" name="KSOProductBuildVer">
    <vt:lpwstr>1033-12.1.0.26372</vt:lpwstr>
  </property>
  <property fmtid="{D5CDD505-2E9C-101B-9397-08002B2CF9AE}" pid="4" name="ICV">
    <vt:lpwstr>194F850159CB4B0F87BB2FD818C526F2_12</vt:lpwstr>
  </property>
</Properties>
</file>