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2502" w14:textId="0484A883" w:rsidR="0085413C" w:rsidRDefault="00DD6622">
      <w:pPr>
        <w:spacing w:line="480" w:lineRule="auto"/>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sz w:val="20"/>
          <w:szCs w:val="20"/>
        </w:rPr>
        <w:t xml:space="preserve">Supplementary Material 1: </w:t>
      </w:r>
      <w:r w:rsidR="002A39C5">
        <w:rPr>
          <w:rFonts w:ascii="Times New Roman" w:eastAsia="SimSun" w:hAnsi="Times New Roman" w:cs="Times New Roman"/>
          <w:b/>
          <w:bCs/>
          <w:color w:val="000000" w:themeColor="text1"/>
          <w:sz w:val="20"/>
          <w:szCs w:val="20"/>
        </w:rPr>
        <w:t>Metagenomic next-generation sequencing</w:t>
      </w:r>
      <w:r w:rsidR="002A39C5">
        <w:rPr>
          <w:rFonts w:ascii="Times New Roman" w:eastAsia="SimSun" w:hAnsi="Times New Roman" w:cs="Times New Roman" w:hint="eastAsia"/>
          <w:b/>
          <w:bCs/>
          <w:color w:val="000000" w:themeColor="text1"/>
          <w:sz w:val="20"/>
          <w:szCs w:val="20"/>
        </w:rPr>
        <w:t xml:space="preserve"> </w:t>
      </w:r>
      <w:r w:rsidR="002A39C5">
        <w:rPr>
          <w:rFonts w:ascii="Times New Roman" w:eastAsia="SimSun" w:hAnsi="Times New Roman" w:cs="Times New Roman"/>
          <w:b/>
          <w:bCs/>
          <w:color w:val="000000" w:themeColor="text1"/>
          <w:sz w:val="20"/>
          <w:szCs w:val="20"/>
        </w:rPr>
        <w:t xml:space="preserve">(mNGS) </w:t>
      </w:r>
      <w:r w:rsidR="002A39C5">
        <w:rPr>
          <w:rFonts w:ascii="Times New Roman" w:hAnsi="Times New Roman" w:cs="Times New Roman"/>
          <w:b/>
          <w:bCs/>
          <w:sz w:val="20"/>
          <w:szCs w:val="20"/>
        </w:rPr>
        <w:t>Workflow</w:t>
      </w:r>
    </w:p>
    <w:p w14:paraId="0FD47458" w14:textId="77777777" w:rsidR="0085413C" w:rsidRDefault="002A39C5">
      <w:pPr>
        <w:pStyle w:val="ListParagraph"/>
        <w:spacing w:line="480" w:lineRule="auto"/>
        <w:ind w:firstLineChars="0" w:firstLine="0"/>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Plasma was prepared from peripheral blood samples. Circulating cell-free DNA (cfDNA) and </w:t>
      </w:r>
      <w:r>
        <w:rPr>
          <w:rFonts w:ascii="Times New Roman" w:eastAsia="SimSun" w:hAnsi="Times New Roman" w:cs="Times New Roman"/>
          <w:sz w:val="20"/>
          <w:szCs w:val="20"/>
        </w:rPr>
        <w:t>RNA</w:t>
      </w:r>
      <w:r>
        <w:rPr>
          <w:rFonts w:ascii="Times New Roman" w:eastAsia="SimSun" w:hAnsi="Times New Roman" w:cs="Times New Roman"/>
          <w:color w:val="000000" w:themeColor="text1"/>
          <w:sz w:val="20"/>
          <w:szCs w:val="20"/>
        </w:rPr>
        <w:t xml:space="preserve"> were subsequently isolated from 1</w:t>
      </w:r>
      <w:r>
        <w:rPr>
          <w:rFonts w:ascii="Times New Roman" w:eastAsia="SimSun" w:hAnsi="Times New Roman" w:cs="Times New Roman" w:hint="eastAsia"/>
          <w:color w:val="000000" w:themeColor="text1"/>
          <w:sz w:val="20"/>
          <w:szCs w:val="20"/>
        </w:rPr>
        <w:t xml:space="preserve"> </w:t>
      </w:r>
      <w:r>
        <w:rPr>
          <w:rFonts w:ascii="Times New Roman" w:eastAsia="SimSun" w:hAnsi="Times New Roman" w:cs="Times New Roman"/>
          <w:color w:val="000000" w:themeColor="text1"/>
          <w:sz w:val="20"/>
          <w:szCs w:val="20"/>
        </w:rPr>
        <w:t xml:space="preserve">ml plasma using the QIAamp Circulating Nucleic Acid Kit (Qiagen, Germany) and </w:t>
      </w:r>
      <w:r>
        <w:rPr>
          <w:rFonts w:ascii="Times New Roman" w:eastAsia="SimSun" w:hAnsi="Times New Roman" w:cs="Times New Roman"/>
          <w:sz w:val="20"/>
          <w:szCs w:val="20"/>
        </w:rPr>
        <w:t>The QIAamp Viral RNA Mini Kit</w:t>
      </w:r>
      <w:r>
        <w:rPr>
          <w:rFonts w:ascii="Times New Roman" w:eastAsia="SimSun" w:hAnsi="Times New Roman" w:cs="Times New Roman"/>
          <w:color w:val="000000" w:themeColor="text1"/>
          <w:sz w:val="20"/>
          <w:szCs w:val="20"/>
        </w:rPr>
        <w:t xml:space="preserve"> (Qiagen, Germany), respectively, following the manufacturer’s standard protocols. </w:t>
      </w:r>
      <w:r>
        <w:rPr>
          <w:rFonts w:ascii="Times New Roman" w:hAnsi="Times New Roman" w:cs="Times New Roman"/>
          <w:color w:val="000000" w:themeColor="text1"/>
          <w:sz w:val="20"/>
          <w:szCs w:val="20"/>
        </w:rPr>
        <w:t xml:space="preserve">The quantity and quality of DNA and RNA were evaluated using Qubit 2.0 Fluorometers and Nanodrop 8000 spectrophotometers (Thermo Fisher Scientific, USA), respectively. According to the manufacturers’ protocol, </w:t>
      </w:r>
      <w:r>
        <w:rPr>
          <w:rFonts w:ascii="Times New Roman" w:hAnsi="Times New Roman" w:cs="Times New Roman" w:hint="eastAsia"/>
          <w:color w:val="000000" w:themeColor="text1"/>
          <w:sz w:val="20"/>
          <w:szCs w:val="20"/>
        </w:rPr>
        <w:t>a DNA</w:t>
      </w:r>
      <w:r>
        <w:rPr>
          <w:rFonts w:ascii="Times New Roman" w:hAnsi="Times New Roman" w:cs="Times New Roman"/>
          <w:color w:val="000000" w:themeColor="text1"/>
          <w:sz w:val="20"/>
          <w:szCs w:val="20"/>
        </w:rPr>
        <w:t xml:space="preserve"> library was constructed using Hieff NGS OnePot II DNA Library Prep Kit (Yeasen Biotech, China). The rRNA was removed from the total RNA, and the RNA library was constructed by the VAHTS Universal V8 RNA-seq Library Prep Kit (Vazyme Biotech, China) after purification. Finally, sequencing was performed in the single-end 50 bp sequencing mode using DIFSEQ-200 (Dinfectome, China). No-template negative controls (NTCs) were included in extraction, library preparation, and sequencing for background microbial filtration. Internal controls were added to each sample to verify the validity and stability of the detection workflow.</w:t>
      </w:r>
    </w:p>
    <w:p w14:paraId="5FD87133" w14:textId="77777777" w:rsidR="0085413C" w:rsidRDefault="002A39C5">
      <w:pPr>
        <w:pStyle w:val="ListParagraph"/>
        <w:spacing w:line="480" w:lineRule="auto"/>
        <w:ind w:firstLineChars="0" w:firstLine="0"/>
        <w:rPr>
          <w:rFonts w:ascii="Times New Roman" w:eastAsia="SimSun" w:hAnsi="Times New Roman" w:cs="Times New Roman"/>
          <w:color w:val="000000" w:themeColor="text1"/>
          <w:sz w:val="20"/>
          <w:szCs w:val="20"/>
          <w:highlight w:val="yellow"/>
        </w:rPr>
      </w:pPr>
      <w:r>
        <w:rPr>
          <w:rFonts w:ascii="Times New Roman" w:hAnsi="Times New Roman" w:cs="Times New Roman"/>
          <w:color w:val="000000" w:themeColor="text1"/>
          <w:sz w:val="20"/>
          <w:szCs w:val="20"/>
        </w:rPr>
        <w:t>Raw sequencing data was split by bcl2fastq2 (version 2.20), and clean reads were screened using Trimmomatic (version 0.36) by removing low quality reads, adapter contamination, duplications, and short (length &lt;36 bp) reads. Bowtie2 (version 2.2.6) was then used to align with the human genome (hs37d5), and the unaligned sequences were retained. Kraken2 (version 2.0.7) was used to identify the species contained in the sample, and Bracken (version 2.5.0) was used to predict the actual relative abundance of the species in the sample. The microorganism genome database containing genomes or scaffolds of bacteria, fungi, viruses, and parasites </w:t>
      </w:r>
      <w:r>
        <w:rPr>
          <w:rFonts w:ascii="Times New Roman" w:hAnsi="Times New Roman" w:cs="Times New Roman" w:hint="eastAsia"/>
          <w:color w:val="000000" w:themeColor="text1"/>
          <w:sz w:val="20"/>
          <w:szCs w:val="20"/>
        </w:rPr>
        <w:t>was</w:t>
      </w:r>
      <w:r>
        <w:rPr>
          <w:rFonts w:ascii="Times New Roman" w:hAnsi="Times New Roman" w:cs="Times New Roman"/>
          <w:color w:val="000000" w:themeColor="text1"/>
          <w:sz w:val="20"/>
          <w:szCs w:val="20"/>
        </w:rPr>
        <w:t xml:space="preserve"> downloaded from GenBank (release 238, http://ftp.ncbi.nlm.nih.gov/genomes/genbank/). </w:t>
      </w:r>
      <w:r>
        <w:rPr>
          <w:rFonts w:ascii="Times New Roman" w:eastAsia="SimSun" w:hAnsi="Times New Roman" w:cs="Times New Roman"/>
          <w:color w:val="000000" w:themeColor="text1"/>
          <w:sz w:val="20"/>
          <w:szCs w:val="20"/>
        </w:rPr>
        <w:t xml:space="preserve">The criteria for positive detection were as follows: 1) at least one species-specific read was </w:t>
      </w:r>
      <w:r>
        <w:rPr>
          <w:rFonts w:ascii="Times New Roman" w:eastAsia="SimSun" w:hAnsi="Times New Roman" w:cs="Times New Roman"/>
          <w:color w:val="000000" w:themeColor="text1"/>
          <w:sz w:val="20"/>
          <w:szCs w:val="20"/>
        </w:rPr>
        <w:lastRenderedPageBreak/>
        <w:t>required for Mycobacterium, Nocardia, and Legionella pneumophila detection; 2) for other bacteria, fungi, virus, and parasites, at least three unique reads were needed; 3) pathogens were excluded if the sample/NTC read ratio was &lt;10-fold. Antimicrobial resistance genes were simultaneously analyzed from mNGS data using the Resistance Gene Identifier (RGI) aligned against the Comprehensive Antibiotic Resistance Database (CARD).</w:t>
      </w:r>
    </w:p>
    <w:p w14:paraId="6FA878E4" w14:textId="77777777" w:rsidR="0085413C" w:rsidRDefault="0085413C"/>
    <w:sectPr w:rsidR="0085413C" w:rsidSect="00784FBF">
      <w:footerReference w:type="even" r:id="rId7"/>
      <w:footerReference w:type="default" r:id="rId8"/>
      <w:footerReference w:type="first" r:id="rId9"/>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F4FE" w14:textId="77777777" w:rsidR="00F1085E" w:rsidRDefault="00F1085E" w:rsidP="00784FBF">
      <w:r>
        <w:separator/>
      </w:r>
    </w:p>
  </w:endnote>
  <w:endnote w:type="continuationSeparator" w:id="0">
    <w:p w14:paraId="45CFCDD8" w14:textId="77777777" w:rsidR="00F1085E" w:rsidRDefault="00F1085E" w:rsidP="007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5007" w14:textId="00D121A0" w:rsidR="00DD6622" w:rsidRDefault="00DD6622">
    <w:pPr>
      <w:pStyle w:val="Footer"/>
    </w:pPr>
    <w:r>
      <w:rPr>
        <w:noProof/>
      </w:rPr>
      <mc:AlternateContent>
        <mc:Choice Requires="wps">
          <w:drawing>
            <wp:anchor distT="0" distB="0" distL="0" distR="0" simplePos="0" relativeHeight="251659264" behindDoc="0" locked="0" layoutInCell="1" allowOverlap="1" wp14:anchorId="7203B324" wp14:editId="19445192">
              <wp:simplePos x="635" y="635"/>
              <wp:positionH relativeFrom="page">
                <wp:align>left</wp:align>
              </wp:positionH>
              <wp:positionV relativeFrom="page">
                <wp:align>bottom</wp:align>
              </wp:positionV>
              <wp:extent cx="2077085" cy="324485"/>
              <wp:effectExtent l="0" t="0" r="18415" b="0"/>
              <wp:wrapNone/>
              <wp:docPr id="30422781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C2C43CF" w14:textId="093227A8" w:rsidR="00DD6622" w:rsidRPr="00DD6622" w:rsidRDefault="00DD6622" w:rsidP="00DD6622">
                          <w:pPr>
                            <w:rPr>
                              <w:rFonts w:ascii="Rockwell" w:eastAsia="Rockwell" w:hAnsi="Rockwell" w:cs="Rockwell"/>
                              <w:noProof/>
                              <w:color w:val="0078D7"/>
                              <w:sz w:val="18"/>
                              <w:szCs w:val="18"/>
                            </w:rPr>
                          </w:pPr>
                          <w:r w:rsidRPr="00DD662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03B32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3C2C43CF" w14:textId="093227A8" w:rsidR="00DD6622" w:rsidRPr="00DD6622" w:rsidRDefault="00DD6622" w:rsidP="00DD6622">
                    <w:pPr>
                      <w:rPr>
                        <w:rFonts w:ascii="Rockwell" w:eastAsia="Rockwell" w:hAnsi="Rockwell" w:cs="Rockwell"/>
                        <w:noProof/>
                        <w:color w:val="0078D7"/>
                        <w:sz w:val="18"/>
                        <w:szCs w:val="18"/>
                      </w:rPr>
                    </w:pPr>
                    <w:r w:rsidRPr="00DD662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08C5" w14:textId="4E04D788" w:rsidR="00DD6622" w:rsidRDefault="00DD6622">
    <w:pPr>
      <w:pStyle w:val="Footer"/>
    </w:pPr>
    <w:r>
      <w:rPr>
        <w:noProof/>
      </w:rPr>
      <mc:AlternateContent>
        <mc:Choice Requires="wps">
          <w:drawing>
            <wp:anchor distT="0" distB="0" distL="0" distR="0" simplePos="0" relativeHeight="251660288" behindDoc="0" locked="0" layoutInCell="1" allowOverlap="1" wp14:anchorId="2ACD4C5B" wp14:editId="240DD5C6">
              <wp:simplePos x="1076325" y="9925050"/>
              <wp:positionH relativeFrom="page">
                <wp:align>left</wp:align>
              </wp:positionH>
              <wp:positionV relativeFrom="page">
                <wp:align>bottom</wp:align>
              </wp:positionV>
              <wp:extent cx="2077085" cy="324485"/>
              <wp:effectExtent l="0" t="0" r="18415" b="0"/>
              <wp:wrapNone/>
              <wp:docPr id="123091820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E24C810" w14:textId="141C046D" w:rsidR="00DD6622" w:rsidRPr="00DD6622" w:rsidRDefault="00DD6622" w:rsidP="00DD6622">
                          <w:pPr>
                            <w:rPr>
                              <w:rFonts w:ascii="Rockwell" w:eastAsia="Rockwell" w:hAnsi="Rockwell" w:cs="Rockwell"/>
                              <w:noProof/>
                              <w:color w:val="0078D7"/>
                              <w:sz w:val="18"/>
                              <w:szCs w:val="18"/>
                            </w:rPr>
                          </w:pPr>
                          <w:r w:rsidRPr="00DD662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CD4C5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6E24C810" w14:textId="141C046D" w:rsidR="00DD6622" w:rsidRPr="00DD6622" w:rsidRDefault="00DD6622" w:rsidP="00DD6622">
                    <w:pPr>
                      <w:rPr>
                        <w:rFonts w:ascii="Rockwell" w:eastAsia="Rockwell" w:hAnsi="Rockwell" w:cs="Rockwell"/>
                        <w:noProof/>
                        <w:color w:val="0078D7"/>
                        <w:sz w:val="18"/>
                        <w:szCs w:val="18"/>
                      </w:rPr>
                    </w:pPr>
                    <w:r w:rsidRPr="00DD662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FE63" w14:textId="458A44E9" w:rsidR="00DD6622" w:rsidRDefault="00DD6622">
    <w:pPr>
      <w:pStyle w:val="Footer"/>
    </w:pPr>
    <w:r>
      <w:rPr>
        <w:noProof/>
      </w:rPr>
      <mc:AlternateContent>
        <mc:Choice Requires="wps">
          <w:drawing>
            <wp:anchor distT="0" distB="0" distL="0" distR="0" simplePos="0" relativeHeight="251658240" behindDoc="0" locked="0" layoutInCell="1" allowOverlap="1" wp14:anchorId="64827F73" wp14:editId="5F840784">
              <wp:simplePos x="635" y="635"/>
              <wp:positionH relativeFrom="page">
                <wp:align>left</wp:align>
              </wp:positionH>
              <wp:positionV relativeFrom="page">
                <wp:align>bottom</wp:align>
              </wp:positionV>
              <wp:extent cx="2077085" cy="324485"/>
              <wp:effectExtent l="0" t="0" r="18415" b="0"/>
              <wp:wrapNone/>
              <wp:docPr id="55863319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BC79908" w14:textId="03468D12" w:rsidR="00DD6622" w:rsidRPr="00DD6622" w:rsidRDefault="00DD6622" w:rsidP="00DD6622">
                          <w:pPr>
                            <w:rPr>
                              <w:rFonts w:ascii="Rockwell" w:eastAsia="Rockwell" w:hAnsi="Rockwell" w:cs="Rockwell"/>
                              <w:noProof/>
                              <w:color w:val="0078D7"/>
                              <w:sz w:val="18"/>
                              <w:szCs w:val="18"/>
                            </w:rPr>
                          </w:pPr>
                          <w:r w:rsidRPr="00DD662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827F7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0BC79908" w14:textId="03468D12" w:rsidR="00DD6622" w:rsidRPr="00DD6622" w:rsidRDefault="00DD6622" w:rsidP="00DD6622">
                    <w:pPr>
                      <w:rPr>
                        <w:rFonts w:ascii="Rockwell" w:eastAsia="Rockwell" w:hAnsi="Rockwell" w:cs="Rockwell"/>
                        <w:noProof/>
                        <w:color w:val="0078D7"/>
                        <w:sz w:val="18"/>
                        <w:szCs w:val="18"/>
                      </w:rPr>
                    </w:pPr>
                    <w:r w:rsidRPr="00DD662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C90A" w14:textId="77777777" w:rsidR="00F1085E" w:rsidRDefault="00F1085E" w:rsidP="00784FBF">
      <w:r>
        <w:separator/>
      </w:r>
    </w:p>
  </w:footnote>
  <w:footnote w:type="continuationSeparator" w:id="0">
    <w:p w14:paraId="100406E5" w14:textId="77777777" w:rsidR="00F1085E" w:rsidRDefault="00F1085E" w:rsidP="0078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3C"/>
    <w:rsid w:val="002A39C5"/>
    <w:rsid w:val="00784FBF"/>
    <w:rsid w:val="0085413C"/>
    <w:rsid w:val="00D10A08"/>
    <w:rsid w:val="00DD6622"/>
    <w:rsid w:val="00F1085E"/>
    <w:rsid w:val="0DE86FE6"/>
    <w:rsid w:val="47E34E92"/>
    <w:rsid w:val="4E1062C8"/>
    <w:rsid w:val="763C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ADFB"/>
  <w15:docId w15:val="{31FFD10B-BC41-458F-918D-F27BC0DC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firstLineChars="200" w:firstLine="420"/>
    </w:pPr>
  </w:style>
  <w:style w:type="paragraph" w:styleId="Header">
    <w:name w:val="header"/>
    <w:basedOn w:val="Normal"/>
    <w:link w:val="HeaderChar"/>
    <w:rsid w:val="00784F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84FBF"/>
    <w:rPr>
      <w:kern w:val="2"/>
      <w:sz w:val="18"/>
      <w:szCs w:val="18"/>
    </w:rPr>
  </w:style>
  <w:style w:type="paragraph" w:styleId="Footer">
    <w:name w:val="footer"/>
    <w:basedOn w:val="Normal"/>
    <w:link w:val="FooterChar"/>
    <w:rsid w:val="00784FBF"/>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784F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bd0316ce6e1c46718e6f4df31effd83a</errorID>
      <errorWord>Kraken2</errorWord>
      <group>L1_English</group>
      <groupName>英文问题</groupName>
      <ability>L2_EnglishGrammar</ability>
      <abilityName>英文语法检查</abilityName>
      <candidateList>
        <item>Kraken 2</item>
      </candidateList>
      <explain>疑似单词空格书写不规范，建议将Kraken2修改为Kraken 2</explain>
      <paraID>5FD87133</paraID>
      <start>346</start>
      <end>353</end>
      <status>unmodified</status>
      <modifiedWord/>
      <trackRevisions>false</trackRevisions>
    </reviewItem>
    <reviewItem>
      <errorID>00a6c89793be418b9b6fb68a08a868ae</errorID>
      <errorWord>virus</errorWord>
      <group>L1_English</group>
      <groupName>英文问题</groupName>
      <ability>L2_EnglishGrammar</ability>
      <abilityName>英文语法检查</abilityName>
      <candidateList>
        <item>viruses</item>
      </candidateList>
      <explain>疑似名词单复数使用错误，建议将virus修改为viruses</explain>
      <paraID>5FD87133</paraID>
      <start>935</start>
      <end>940</end>
      <status>unmodified</status>
      <modifiedWord/>
      <trackRevisions>false</trackRevisions>
    </reviewItem>
  </reviewItems>
  <config/>
</contractReview>
</file>

<file path=customXml/itemProps1.xml><?xml version="1.0" encoding="utf-8"?>
<ds:datastoreItem xmlns:ds="http://schemas.openxmlformats.org/officeDocument/2006/customXml" ds:itemID="{7C1806A7-CA89-4AD3-839F-5640A8A89C7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Shaw, Grace</cp:lastModifiedBy>
  <cp:revision>3</cp:revision>
  <dcterms:created xsi:type="dcterms:W3CDTF">2026-04-30T12:10:00Z</dcterms:created>
  <dcterms:modified xsi:type="dcterms:W3CDTF">2026-05-07T02:22:00Z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eyJoZGlkIjoiYTIzNGM4NjJiOWYxNWFiZmZmYWVkZTc4MGUzMzYxOWUiLCJ1c2VySWQiOiI1MzA4NTUxMDkifQ==</vt:lpwstr>
  </property>
  <property fmtid="{D5CDD505-2E9C-101B-9397-08002B2CF9AE}" pid="4" name="ICV">
    <vt:lpwstr>9FCA84F03EC44249B21AC92EAC3C8650_12</vt:lpwstr>
  </property>
  <property fmtid="{D5CDD505-2E9C-101B-9397-08002B2CF9AE}" pid="5" name="ClassificationContentMarkingFooterShapeIds">
    <vt:lpwstr>214c10ed,122225e8,495e523d</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2026-05-07T02:22:29Z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cbed2a74-8b52-43de-81b0-67432267b439</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