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5D" w:rsidRPr="00BD3F98" w:rsidRDefault="002B5AEF" w:rsidP="002B5AEF">
      <w:pPr>
        <w:adjustRightInd w:val="0"/>
        <w:snapToGrid w:val="0"/>
        <w:spacing w:after="0" w:line="360" w:lineRule="auto"/>
        <w:rPr>
          <w:rFonts w:ascii="Times New Roman" w:hAnsi="Times New Roman" w:cs="Times New Roman"/>
          <w:b/>
          <w:sz w:val="24"/>
          <w:szCs w:val="24"/>
        </w:rPr>
      </w:pPr>
      <w:r w:rsidRPr="00BD3F98">
        <w:rPr>
          <w:rFonts w:ascii="Times New Roman" w:hAnsi="Times New Roman" w:cs="Times New Roman"/>
          <w:b/>
          <w:sz w:val="24"/>
          <w:szCs w:val="24"/>
        </w:rPr>
        <w:t>Supplementary Materials</w:t>
      </w: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r w:rsidRPr="00BD3F98">
        <w:rPr>
          <w:rFonts w:ascii="Times New Roman" w:hAnsi="Times New Roman" w:cs="Times New Roman"/>
          <w:kern w:val="2"/>
          <w:sz w:val="24"/>
          <w:szCs w:val="24"/>
        </w:rPr>
        <w:t xml:space="preserve">Table S1 First-round Delphi expert questionnaire. </w:t>
      </w:r>
    </w:p>
    <w:tbl>
      <w:tblPr>
        <w:tblW w:w="5000" w:type="pct"/>
        <w:tblBorders>
          <w:top w:val="single" w:sz="6" w:space="0" w:color="auto"/>
          <w:bottom w:val="single" w:sz="6" w:space="0" w:color="auto"/>
          <w:right w:val="single" w:sz="2" w:space="0" w:color="CCCCCC"/>
        </w:tblBorders>
        <w:tblCellMar>
          <w:top w:w="15" w:type="dxa"/>
          <w:left w:w="15" w:type="dxa"/>
          <w:bottom w:w="15" w:type="dxa"/>
          <w:right w:w="15" w:type="dxa"/>
        </w:tblCellMar>
        <w:tblLook w:val="04A0"/>
      </w:tblPr>
      <w:tblGrid>
        <w:gridCol w:w="2134"/>
        <w:gridCol w:w="2383"/>
        <w:gridCol w:w="7224"/>
        <w:gridCol w:w="1339"/>
      </w:tblGrid>
      <w:tr w:rsidR="008B1728" w:rsidRPr="00BD3F98" w:rsidTr="00FB13C4">
        <w:trPr>
          <w:cantSplit/>
        </w:trPr>
        <w:tc>
          <w:tcPr>
            <w:tcW w:w="0" w:type="auto"/>
            <w:tcBorders>
              <w:bottom w:val="single" w:sz="2"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Category</w:t>
            </w:r>
          </w:p>
        </w:tc>
        <w:tc>
          <w:tcPr>
            <w:tcW w:w="0" w:type="auto"/>
            <w:tcBorders>
              <w:bottom w:val="single" w:sz="2"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Section</w:t>
            </w:r>
          </w:p>
        </w:tc>
        <w:tc>
          <w:tcPr>
            <w:tcW w:w="0" w:type="auto"/>
            <w:tcBorders>
              <w:bottom w:val="single" w:sz="2"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Item</w:t>
            </w:r>
          </w:p>
        </w:tc>
        <w:tc>
          <w:tcPr>
            <w:tcW w:w="0" w:type="auto"/>
            <w:tcBorders>
              <w:top w:val="single" w:sz="6" w:space="0" w:color="auto"/>
              <w:bottom w:val="single" w:sz="2"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Suggested revisions</w:t>
            </w:r>
          </w:p>
        </w:tc>
      </w:tr>
      <w:tr w:rsidR="008B1728" w:rsidRPr="00BD3F98" w:rsidTr="00FB13C4">
        <w:trPr>
          <w:cantSplit/>
        </w:trPr>
        <w:tc>
          <w:tcPr>
            <w:tcW w:w="0" w:type="auto"/>
            <w:tcBorders>
              <w:top w:val="single" w:sz="2"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Preoperative assessment and optimization</w:t>
            </w:r>
          </w:p>
        </w:tc>
        <w:tc>
          <w:tcPr>
            <w:tcW w:w="0" w:type="auto"/>
            <w:tcBorders>
              <w:top w:val="single" w:sz="2"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screening and assessment</w:t>
            </w:r>
          </w:p>
        </w:tc>
        <w:tc>
          <w:tcPr>
            <w:tcW w:w="0" w:type="auto"/>
            <w:tcBorders>
              <w:top w:val="single" w:sz="2"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 </w:t>
            </w:r>
            <w:r w:rsidRPr="00BD3F98">
              <w:rPr>
                <w:rFonts w:ascii="Times New Roman" w:hAnsi="Times New Roman" w:cs="Times New Roman"/>
                <w:sz w:val="24"/>
                <w:szCs w:val="24"/>
              </w:rPr>
              <w:t xml:space="preserve">Nutritional risk screening completed using NRS 2002 within 24 h of admission. </w:t>
            </w:r>
          </w:p>
        </w:tc>
        <w:tc>
          <w:tcPr>
            <w:tcW w:w="0" w:type="auto"/>
            <w:tcBorders>
              <w:top w:val="single" w:sz="2"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 </w:t>
            </w:r>
            <w:r w:rsidRPr="00BD3F98">
              <w:rPr>
                <w:rFonts w:ascii="Times New Roman" w:hAnsi="Times New Roman" w:cs="Times New Roman"/>
                <w:sz w:val="24"/>
                <w:szCs w:val="24"/>
              </w:rPr>
              <w:t>Patients</w:t>
            </w:r>
            <w:r w:rsidRPr="00BD3F98">
              <w:rPr>
                <w:rFonts w:ascii="Times New Roman" w:hAnsi="Times New Roman" w:cs="Times New Roman"/>
                <w:sz w:val="24"/>
                <w:szCs w:val="24"/>
              </w:rPr>
              <w:t xml:space="preserve"> at risk of malnutrition should undergo a </w:t>
            </w:r>
            <w:r w:rsidRPr="00BD3F98">
              <w:rPr>
                <w:rFonts w:ascii="Times New Roman" w:hAnsi="Times New Roman" w:cs="Times New Roman"/>
                <w:sz w:val="24"/>
                <w:szCs w:val="24"/>
              </w:rPr>
              <w:t xml:space="preserve">comprehensive </w:t>
            </w:r>
            <w:r w:rsidRPr="00BD3F98">
              <w:rPr>
                <w:rFonts w:ascii="Times New Roman" w:hAnsi="Times New Roman" w:cs="Times New Roman"/>
                <w:sz w:val="24"/>
                <w:szCs w:val="24"/>
              </w:rPr>
              <w:t>assessment using PG-SGA/GLIM within 48 h.</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3. </w:t>
            </w:r>
            <w:r w:rsidRPr="00BD3F98">
              <w:rPr>
                <w:rFonts w:ascii="Times New Roman" w:hAnsi="Times New Roman" w:cs="Times New Roman"/>
                <w:sz w:val="24"/>
                <w:szCs w:val="24"/>
              </w:rPr>
              <w:t>Patients without a nutritional risk should be re-screened every 7 days and immediately after the surgery.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4. </w:t>
            </w:r>
            <w:r w:rsidRPr="00BD3F98">
              <w:rPr>
                <w:rFonts w:ascii="Times New Roman" w:hAnsi="Times New Roman" w:cs="Times New Roman"/>
                <w:sz w:val="24"/>
                <w:szCs w:val="24"/>
              </w:rPr>
              <w:t>Using CONUT and PNI to monitor serum albumin and lymphocyte count weekly.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5. </w:t>
            </w:r>
            <w:r w:rsidRPr="00BD3F98">
              <w:rPr>
                <w:rFonts w:ascii="Times New Roman" w:hAnsi="Times New Roman" w:cs="Times New Roman"/>
                <w:sz w:val="24"/>
                <w:szCs w:val="24"/>
              </w:rPr>
              <w:t xml:space="preserve">Surgery should be postponed for 7-14 days for preoperative nutritional therapy in patients </w:t>
            </w:r>
            <w:r w:rsidRPr="00BD3F98">
              <w:rPr>
                <w:rFonts w:ascii="Times New Roman" w:hAnsi="Times New Roman" w:cs="Times New Roman"/>
                <w:sz w:val="24"/>
                <w:szCs w:val="24"/>
              </w:rPr>
              <w:t>at a high risk for malnutrition (</w:t>
            </w:r>
            <w:r w:rsidRPr="00BD3F98">
              <w:rPr>
                <w:rFonts w:ascii="Times New Roman" w:hAnsi="Times New Roman" w:cs="Times New Roman"/>
                <w:sz w:val="24"/>
                <w:szCs w:val="24"/>
              </w:rPr>
              <w:t>weight loss &gt;10%-15%, BMI &lt;18.5, PG-SGA C, NRS 2002 score &gt; 5, serum albumin &lt; 30g/L</w:t>
            </w:r>
            <w:r w:rsidRPr="00BD3F98">
              <w:rPr>
                <w:rFonts w:ascii="Times New Roman" w:hAnsi="Times New Roman" w:cs="Times New Roman"/>
                <w:sz w:val="24"/>
                <w:szCs w:val="24"/>
              </w:rPr>
              <w:t>)</w:t>
            </w:r>
            <w:r w:rsidRPr="00BD3F98">
              <w:rPr>
                <w:rFonts w:ascii="Times New Roman" w:hAnsi="Times New Roman" w:cs="Times New Roman"/>
                <w:sz w:val="24"/>
                <w:szCs w:val="24"/>
              </w:rPr>
              <w:t>.</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6. </w:t>
            </w:r>
            <w:r w:rsidRPr="00BD3F98">
              <w:rPr>
                <w:rFonts w:ascii="Times New Roman" w:hAnsi="Times New Roman" w:cs="Times New Roman"/>
                <w:sz w:val="24"/>
                <w:szCs w:val="24"/>
              </w:rPr>
              <w:t xml:space="preserve">ONS or EN is the preferred intervention, with a target energy intake of 20-30 kcal/kg/day and protein intake of 1.2-1.5 g/kg/day. </w:t>
            </w:r>
            <w:proofErr w:type="spellStart"/>
            <w:r w:rsidRPr="00BD3F98">
              <w:rPr>
                <w:rFonts w:ascii="Times New Roman" w:hAnsi="Times New Roman" w:cs="Times New Roman"/>
                <w:sz w:val="24"/>
                <w:szCs w:val="24"/>
              </w:rPr>
              <w:t>Immunonutrients</w:t>
            </w:r>
            <w:proofErr w:type="spellEnd"/>
            <w:r w:rsidRPr="00BD3F98">
              <w:rPr>
                <w:rFonts w:ascii="Times New Roman" w:hAnsi="Times New Roman" w:cs="Times New Roman"/>
                <w:sz w:val="24"/>
                <w:szCs w:val="24"/>
              </w:rPr>
              <w:t xml:space="preserve"> may be provided.</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7. F</w:t>
            </w:r>
            <w:r w:rsidRPr="00BD3F98">
              <w:rPr>
                <w:rFonts w:ascii="Times New Roman" w:hAnsi="Times New Roman" w:cs="Times New Roman"/>
                <w:sz w:val="24"/>
                <w:szCs w:val="24"/>
              </w:rPr>
              <w:t xml:space="preserve">ast from solids for 6 h and from liquids for 2 h before surgery. Patients without a history of diabetes should drink 400 </w:t>
            </w:r>
            <w:proofErr w:type="spellStart"/>
            <w:r w:rsidRPr="00BD3F98">
              <w:rPr>
                <w:rFonts w:ascii="Times New Roman" w:hAnsi="Times New Roman" w:cs="Times New Roman"/>
                <w:sz w:val="24"/>
                <w:szCs w:val="24"/>
              </w:rPr>
              <w:t>mL</w:t>
            </w:r>
            <w:proofErr w:type="spellEnd"/>
            <w:r w:rsidRPr="00BD3F98">
              <w:rPr>
                <w:rFonts w:ascii="Times New Roman" w:hAnsi="Times New Roman" w:cs="Times New Roman"/>
                <w:sz w:val="24"/>
                <w:szCs w:val="24"/>
              </w:rPr>
              <w:t xml:space="preserve"> of a beverage containing 12.5% ​​carbohydrates 2 h before surgery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Risk stratification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8. </w:t>
            </w:r>
            <w:r w:rsidRPr="00BD3F98">
              <w:rPr>
                <w:rFonts w:ascii="Times New Roman" w:hAnsi="Times New Roman" w:cs="Times New Roman"/>
                <w:sz w:val="24"/>
                <w:szCs w:val="24"/>
              </w:rPr>
              <w:t xml:space="preserve">Stratify POD risk (high/intermediate/low risk) based on age, cancer type, </w:t>
            </w:r>
            <w:r w:rsidRPr="00BD3F98">
              <w:rPr>
                <w:rFonts w:ascii="Times New Roman" w:hAnsi="Times New Roman" w:cs="Times New Roman"/>
                <w:sz w:val="24"/>
                <w:szCs w:val="24"/>
              </w:rPr>
              <w:t xml:space="preserve">MMSE, </w:t>
            </w:r>
            <w:r w:rsidRPr="00BD3F98">
              <w:rPr>
                <w:rFonts w:ascii="Times New Roman" w:hAnsi="Times New Roman" w:cs="Times New Roman"/>
                <w:sz w:val="24"/>
                <w:szCs w:val="24"/>
              </w:rPr>
              <w:t>comorbidities, and medication history.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9. </w:t>
            </w:r>
            <w:r w:rsidRPr="00BD3F98">
              <w:rPr>
                <w:rFonts w:ascii="Times New Roman" w:hAnsi="Times New Roman" w:cs="Times New Roman"/>
                <w:sz w:val="24"/>
                <w:szCs w:val="24"/>
              </w:rPr>
              <w:t>Targeted intensive intervention plans for high-risk patients (cognitive training and optimize nutritional supports).</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10. </w:t>
            </w:r>
            <w:r w:rsidRPr="00BD3F98">
              <w:rPr>
                <w:rFonts w:ascii="Times New Roman" w:hAnsi="Times New Roman" w:cs="Times New Roman"/>
                <w:sz w:val="24"/>
                <w:szCs w:val="24"/>
              </w:rPr>
              <w:t>Correct delirium triggers such as anemia, folic acid/vitamin B1/B12 deficiency, and electrolyte imbalance.</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roofErr w:type="spellStart"/>
            <w:r w:rsidRPr="00BD3F98">
              <w:rPr>
                <w:rFonts w:ascii="Times New Roman" w:hAnsi="Times New Roman" w:cs="Times New Roman"/>
                <w:kern w:val="2"/>
                <w:sz w:val="24"/>
                <w:szCs w:val="24"/>
              </w:rPr>
              <w:t>Intraoperative</w:t>
            </w:r>
            <w:proofErr w:type="spellEnd"/>
            <w:r w:rsidRPr="00BD3F98">
              <w:rPr>
                <w:rFonts w:ascii="Times New Roman" w:hAnsi="Times New Roman" w:cs="Times New Roman"/>
                <w:kern w:val="2"/>
                <w:sz w:val="24"/>
                <w:szCs w:val="24"/>
              </w:rPr>
              <w:t xml:space="preserve"> management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Anesthesia optimization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11. </w:t>
            </w:r>
            <w:r w:rsidRPr="00BD3F98">
              <w:rPr>
                <w:rFonts w:ascii="Times New Roman" w:hAnsi="Times New Roman" w:cs="Times New Roman"/>
                <w:sz w:val="24"/>
                <w:szCs w:val="24"/>
              </w:rPr>
              <w:t xml:space="preserve">Avoid using benzodiazepines, </w:t>
            </w:r>
            <w:proofErr w:type="spellStart"/>
            <w:r w:rsidRPr="00BD3F98">
              <w:rPr>
                <w:rFonts w:ascii="Times New Roman" w:hAnsi="Times New Roman" w:cs="Times New Roman"/>
                <w:sz w:val="24"/>
                <w:szCs w:val="24"/>
              </w:rPr>
              <w:t>anticholinergics</w:t>
            </w:r>
            <w:proofErr w:type="spellEnd"/>
            <w:r w:rsidRPr="00BD3F98">
              <w:rPr>
                <w:rFonts w:ascii="Times New Roman" w:hAnsi="Times New Roman" w:cs="Times New Roman"/>
                <w:sz w:val="24"/>
                <w:szCs w:val="24"/>
              </w:rPr>
              <w:t xml:space="preserve">, and high-dose </w:t>
            </w:r>
            <w:proofErr w:type="spellStart"/>
            <w:r w:rsidRPr="00BD3F98">
              <w:rPr>
                <w:rFonts w:ascii="Times New Roman" w:hAnsi="Times New Roman" w:cs="Times New Roman"/>
                <w:sz w:val="24"/>
                <w:szCs w:val="24"/>
              </w:rPr>
              <w:t>opioids</w:t>
            </w:r>
            <w:proofErr w:type="spellEnd"/>
            <w:r w:rsidRPr="00BD3F98">
              <w:rPr>
                <w:rFonts w:ascii="Times New Roman" w:hAnsi="Times New Roman" w:cs="Times New Roman"/>
                <w:sz w:val="24"/>
                <w:szCs w:val="24"/>
              </w:rPr>
              <w:t xml:space="preserve"> during surgery.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12. </w:t>
            </w:r>
            <w:r w:rsidRPr="00BD3F98">
              <w:rPr>
                <w:rFonts w:ascii="Times New Roman" w:hAnsi="Times New Roman" w:cs="Times New Roman"/>
                <w:sz w:val="24"/>
                <w:szCs w:val="24"/>
              </w:rPr>
              <w:t>Monitor anesthesia depth using BIS or EEG to avoid excessive deep anesthesia.</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13. </w:t>
            </w:r>
            <w:r w:rsidRPr="00BD3F98">
              <w:rPr>
                <w:rFonts w:ascii="Times New Roman" w:hAnsi="Times New Roman" w:cs="Times New Roman"/>
                <w:sz w:val="24"/>
                <w:szCs w:val="24"/>
              </w:rPr>
              <w:t>Maintain hemodynamic stability and avoid hypotension and hypoxemia.</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Postoperative intervention</w:t>
            </w: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support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14. </w:t>
            </w:r>
            <w:r w:rsidRPr="00BD3F98">
              <w:rPr>
                <w:rFonts w:ascii="Times New Roman" w:hAnsi="Times New Roman" w:cs="Times New Roman"/>
                <w:sz w:val="24"/>
                <w:szCs w:val="24"/>
              </w:rPr>
              <w:t>Resume oral feeding early. If intake is less than 50% of the required intake, start EN early.</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15. </w:t>
            </w:r>
            <w:r w:rsidRPr="00BD3F98">
              <w:rPr>
                <w:rFonts w:ascii="Times New Roman" w:hAnsi="Times New Roman" w:cs="Times New Roman"/>
                <w:sz w:val="24"/>
                <w:szCs w:val="24"/>
              </w:rPr>
              <w:t>For patients whose EN intake is less than 50% of the target amount for more than 7 days, combined with PN support, with central venous access and an integrated three-lumen bag as the preferred route.</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Early Activity and Cognitive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16. </w:t>
            </w:r>
            <w:r w:rsidRPr="00BD3F98">
              <w:rPr>
                <w:rFonts w:ascii="Times New Roman" w:hAnsi="Times New Roman" w:cs="Times New Roman"/>
                <w:sz w:val="24"/>
                <w:szCs w:val="24"/>
              </w:rPr>
              <w:t>Start personalized exercise on postoperative day 1 (turning over → sitting up → standing → walking).</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17. Orientation training three times a day, and familiarity training to restore cognitive abilities related to people and things.</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18. Differentiated interventions for different subtypes of delirium (hyperactive/depression). </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Non-drug and drug management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19. </w:t>
            </w:r>
            <w:r w:rsidRPr="00BD3F98">
              <w:rPr>
                <w:rFonts w:ascii="Times New Roman" w:hAnsi="Times New Roman" w:cs="Times New Roman"/>
                <w:sz w:val="24"/>
                <w:szCs w:val="24"/>
              </w:rPr>
              <w:t>Optimize ward environment (noise control, suitable temperature and humidity, sufficient natural light) to maintain a regular sleep-wake cycle.</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20. Employ multimodal analgesia to reduce opioid dosage.</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21. </w:t>
            </w:r>
            <w:r w:rsidRPr="00BD3F98">
              <w:rPr>
                <w:rFonts w:ascii="Times New Roman" w:hAnsi="Times New Roman" w:cs="Times New Roman"/>
                <w:sz w:val="24"/>
                <w:szCs w:val="24"/>
              </w:rPr>
              <w:t>Non-pharmacological intervention is the first choice. For severe agitation, a short-term low-dose haloperidol can be used.</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Monitoring and Team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Delirium screening</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22. </w:t>
            </w:r>
            <w:r w:rsidRPr="00BD3F98">
              <w:rPr>
                <w:rFonts w:ascii="Times New Roman" w:hAnsi="Times New Roman" w:cs="Times New Roman"/>
                <w:sz w:val="24"/>
                <w:szCs w:val="24"/>
              </w:rPr>
              <w:t>Postoperative daily screening using the CAM/CAM-ICU/4A test/NU-DESC scales, with high-risk patients assessed every 8 h.</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8B1728">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Multidisciplinary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23. </w:t>
            </w:r>
            <w:r w:rsidRPr="00BD3F98">
              <w:rPr>
                <w:rFonts w:ascii="Times New Roman" w:hAnsi="Times New Roman" w:cs="Times New Roman"/>
                <w:sz w:val="24"/>
                <w:szCs w:val="24"/>
              </w:rPr>
              <w:t>Establish a multidisciplinary team including physicians, nurses, nutritionists, anesthesiologists, and rehabilitation therapists.</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24. </w:t>
            </w:r>
            <w:r w:rsidRPr="00BD3F98">
              <w:rPr>
                <w:rFonts w:ascii="Times New Roman" w:hAnsi="Times New Roman" w:cs="Times New Roman"/>
                <w:sz w:val="24"/>
                <w:szCs w:val="24"/>
              </w:rPr>
              <w:t xml:space="preserve">Hold multidisciplinary meetings </w:t>
            </w:r>
            <w:r w:rsidRPr="00BD3F98">
              <w:rPr>
                <w:rFonts w:ascii="Times New Roman" w:hAnsi="Times New Roman" w:cs="Times New Roman"/>
                <w:sz w:val="24"/>
                <w:szCs w:val="24"/>
              </w:rPr>
              <w:t>regularly</w:t>
            </w:r>
            <w:r w:rsidRPr="00BD3F98">
              <w:rPr>
                <w:rFonts w:ascii="Times New Roman" w:hAnsi="Times New Roman" w:cs="Times New Roman"/>
                <w:sz w:val="24"/>
                <w:szCs w:val="24"/>
              </w:rPr>
              <w:t xml:space="preserve"> to dynamically adjust individualized treatment plans.</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Health education and family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25. </w:t>
            </w:r>
            <w:r w:rsidRPr="00BD3F98">
              <w:rPr>
                <w:rFonts w:ascii="Times New Roman" w:hAnsi="Times New Roman" w:cs="Times New Roman"/>
                <w:sz w:val="24"/>
                <w:szCs w:val="24"/>
              </w:rPr>
              <w:t>Inform the patient and their family of the risks and preventative measures of POD before the procedure.</w:t>
            </w:r>
          </w:p>
        </w:tc>
        <w:tc>
          <w:tcPr>
            <w:tcW w:w="0" w:type="auto"/>
            <w:tcBorders>
              <w:top w:val="single" w:sz="6" w:space="0" w:color="auto"/>
              <w:bottom w:val="single" w:sz="6" w:space="0" w:color="auto"/>
              <w:right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r>
    </w:tbl>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adjustRightInd w:val="0"/>
        <w:snapToGrid w:val="0"/>
        <w:rPr>
          <w:rFonts w:ascii="Times New Roman" w:hAnsi="Times New Roman" w:cs="Times New Roman"/>
          <w:sz w:val="24"/>
          <w:szCs w:val="24"/>
        </w:rPr>
      </w:pPr>
      <w:r w:rsidRPr="00BD3F98">
        <w:rPr>
          <w:rFonts w:ascii="Times New Roman" w:hAnsi="Times New Roman" w:cs="Times New Roman"/>
          <w:sz w:val="24"/>
          <w:szCs w:val="24"/>
        </w:rPr>
        <w:t xml:space="preserve">BIS, </w:t>
      </w:r>
      <w:proofErr w:type="spellStart"/>
      <w:r w:rsidRPr="00BD3F98">
        <w:rPr>
          <w:rFonts w:ascii="Times New Roman" w:hAnsi="Times New Roman" w:cs="Times New Roman"/>
          <w:sz w:val="24"/>
          <w:szCs w:val="24"/>
        </w:rPr>
        <w:t>Bispectral</w:t>
      </w:r>
      <w:proofErr w:type="spellEnd"/>
      <w:r w:rsidRPr="00BD3F98">
        <w:rPr>
          <w:rFonts w:ascii="Times New Roman" w:hAnsi="Times New Roman" w:cs="Times New Roman"/>
          <w:sz w:val="24"/>
          <w:szCs w:val="24"/>
        </w:rPr>
        <w:t xml:space="preserve"> index; BMI, body mass index; CAM, confusion assessment method; CONUT, controlling nutritional status; EEG, electroencephalogram; EN, enteral nutrition; GLIM, global leadership initiative on malnutrition; ICU, intensive care unit; M±SD, mean ± standard deviation; NRS 2002, nutrition risk screening 2002; NU-DESC, nursing delirium screening scale; ONS, oral nutrition supplements; PG-SGA, patient-generated subjective global assessment; POD, postoperative delirium; PN, parenteral nutrition; PNI, prognostic nutritional index.</w:t>
      </w: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rPr>
          <w:rFonts w:ascii="Times New Roman" w:hAnsi="Times New Roman" w:cs="Times New Roman"/>
          <w:kern w:val="2"/>
          <w:sz w:val="24"/>
          <w:szCs w:val="24"/>
        </w:rPr>
      </w:pPr>
      <w:r w:rsidRPr="00BD3F98">
        <w:rPr>
          <w:rFonts w:ascii="Times New Roman" w:hAnsi="Times New Roman" w:cs="Times New Roman"/>
          <w:kern w:val="2"/>
          <w:sz w:val="24"/>
          <w:szCs w:val="24"/>
        </w:rPr>
        <w:t xml:space="preserve">   Table S2 Second-round Delphi expert questionnaire. </w:t>
      </w:r>
    </w:p>
    <w:tbl>
      <w:tblPr>
        <w:tblW w:w="5000" w:type="pct"/>
        <w:tblBorders>
          <w:top w:val="single" w:sz="6" w:space="0" w:color="auto"/>
          <w:bottom w:val="single" w:sz="6" w:space="0" w:color="auto"/>
        </w:tblBorders>
        <w:tblCellMar>
          <w:top w:w="15" w:type="dxa"/>
          <w:left w:w="15" w:type="dxa"/>
          <w:bottom w:w="15" w:type="dxa"/>
          <w:right w:w="15" w:type="dxa"/>
        </w:tblCellMar>
        <w:tblLook w:val="04A0"/>
      </w:tblPr>
      <w:tblGrid>
        <w:gridCol w:w="1882"/>
        <w:gridCol w:w="2158"/>
        <w:gridCol w:w="6137"/>
        <w:gridCol w:w="2903"/>
      </w:tblGrid>
      <w:tr w:rsidR="008B1728" w:rsidRPr="00BD3F98" w:rsidTr="00FB13C4">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Category</w:t>
            </w: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Section</w:t>
            </w: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Item</w:t>
            </w: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Source Explanation (Added/deleted/revised)</w:t>
            </w:r>
          </w:p>
        </w:tc>
      </w:tr>
      <w:tr w:rsidR="008B1728" w:rsidRPr="00BD3F98" w:rsidTr="00FB13C4">
        <w:trPr>
          <w:cantSplit/>
        </w:trPr>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Preoperative assessment and optimization</w:t>
            </w: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screening and assessment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 </w:t>
            </w:r>
            <w:r w:rsidRPr="00BD3F98">
              <w:rPr>
                <w:rFonts w:ascii="Times New Roman" w:hAnsi="Times New Roman" w:cs="Times New Roman"/>
                <w:sz w:val="24"/>
                <w:szCs w:val="24"/>
              </w:rPr>
              <w:t>Nutritional risk screening completed using NRS 2002 within 24 h of admission. Those at risk of malnutrition should undergo a comprehensive assessment using PG-SGA/GLIM within 48 h.</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Merge and revise the previous item 1 and 2</w:t>
            </w:r>
          </w:p>
        </w:tc>
      </w:tr>
      <w:tr w:rsidR="008B1728" w:rsidRPr="00BD3F98" w:rsidTr="00FB13C4">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 </w:t>
            </w:r>
            <w:r w:rsidRPr="00BD3F98">
              <w:rPr>
                <w:rFonts w:ascii="Times New Roman" w:hAnsi="Times New Roman" w:cs="Times New Roman"/>
                <w:sz w:val="24"/>
                <w:szCs w:val="24"/>
              </w:rPr>
              <w:t>Patients without a nutritional risk should be re-screened every 7 days and immediately after the surgery.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3</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3. </w:t>
            </w:r>
            <w:r w:rsidRPr="00BD3F98">
              <w:rPr>
                <w:rFonts w:ascii="Times New Roman" w:hAnsi="Times New Roman" w:cs="Times New Roman"/>
                <w:sz w:val="24"/>
                <w:szCs w:val="24"/>
              </w:rPr>
              <w:t>Using CONUT and PNI to monitor serum albumin and lymphocyte count weekly.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4</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4. </w:t>
            </w:r>
            <w:r w:rsidRPr="00BD3F98">
              <w:rPr>
                <w:rFonts w:ascii="Times New Roman" w:hAnsi="Times New Roman" w:cs="Times New Roman"/>
                <w:sz w:val="24"/>
                <w:szCs w:val="24"/>
              </w:rPr>
              <w:t>Surgery should be postponed for 7-14 days for preoperative nutritional therapy in patients with any of the following conditions: weight loss &gt;10%-15% within 6 months, BMI &lt;18.5, PG-SGA C, NRS 2002 score &gt; 5, serum albumin &lt; 30g/L in the absence of renal dysfunction.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5</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5. </w:t>
            </w:r>
            <w:r w:rsidRPr="00BD3F98">
              <w:rPr>
                <w:rFonts w:ascii="Times New Roman" w:hAnsi="Times New Roman" w:cs="Times New Roman"/>
                <w:sz w:val="24"/>
                <w:szCs w:val="24"/>
              </w:rPr>
              <w:t xml:space="preserve">ONS or EN is the preferred intervention, with a target energy intake of 20-30 kcal/kg/day and protein intake of 1.2-1.5 g/kg/day. </w:t>
            </w:r>
            <w:proofErr w:type="spellStart"/>
            <w:r w:rsidRPr="00BD3F98">
              <w:rPr>
                <w:rFonts w:ascii="Times New Roman" w:hAnsi="Times New Roman" w:cs="Times New Roman"/>
                <w:sz w:val="24"/>
                <w:szCs w:val="24"/>
              </w:rPr>
              <w:t>Immunonutrients</w:t>
            </w:r>
            <w:proofErr w:type="spellEnd"/>
            <w:r w:rsidRPr="00BD3F98">
              <w:rPr>
                <w:rFonts w:ascii="Times New Roman" w:hAnsi="Times New Roman" w:cs="Times New Roman"/>
                <w:sz w:val="24"/>
                <w:szCs w:val="24"/>
              </w:rPr>
              <w:t xml:space="preserve"> may be provided.</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6</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6. </w:t>
            </w:r>
            <w:r w:rsidRPr="00BD3F98">
              <w:rPr>
                <w:rFonts w:ascii="Times New Roman" w:hAnsi="Times New Roman" w:cs="Times New Roman"/>
                <w:sz w:val="24"/>
                <w:szCs w:val="24"/>
              </w:rPr>
              <w:t xml:space="preserve">Patients with poor gastrointestinal motility should fast from solids for 6 h and from liquids for 2 h before surgery. Patients without a history of diabetes should drink 400 </w:t>
            </w:r>
            <w:proofErr w:type="spellStart"/>
            <w:r w:rsidRPr="00BD3F98">
              <w:rPr>
                <w:rFonts w:ascii="Times New Roman" w:hAnsi="Times New Roman" w:cs="Times New Roman"/>
                <w:sz w:val="24"/>
                <w:szCs w:val="24"/>
              </w:rPr>
              <w:t>mL</w:t>
            </w:r>
            <w:proofErr w:type="spellEnd"/>
            <w:r w:rsidRPr="00BD3F98">
              <w:rPr>
                <w:rFonts w:ascii="Times New Roman" w:hAnsi="Times New Roman" w:cs="Times New Roman"/>
                <w:sz w:val="24"/>
                <w:szCs w:val="24"/>
              </w:rPr>
              <w:t xml:space="preserve"> of a beverage containing 12.5% ​​carbohydrates 2 h before surgery (flexible in individual patients).</w:t>
            </w:r>
            <w:r w:rsidRPr="00BD3F98">
              <w:rPr>
                <w:rFonts w:ascii="Times New Roman" w:hAnsi="Times New Roman" w:cs="Times New Roman"/>
                <w:sz w:val="24"/>
                <w:szCs w:val="24"/>
              </w:rPr>
              <w:t xml:space="preserve"> </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7, with minor modification</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Risk stratification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7. </w:t>
            </w:r>
            <w:r w:rsidRPr="00BD3F98">
              <w:rPr>
                <w:rFonts w:ascii="Times New Roman" w:hAnsi="Times New Roman" w:cs="Times New Roman"/>
                <w:sz w:val="24"/>
                <w:szCs w:val="24"/>
              </w:rPr>
              <w:t xml:space="preserve">Stratify POD risk (high/intermediate/low risk) based on age, cancer type, </w:t>
            </w:r>
            <w:r w:rsidRPr="00BD3F98">
              <w:rPr>
                <w:rFonts w:ascii="Times New Roman" w:hAnsi="Times New Roman" w:cs="Times New Roman"/>
                <w:sz w:val="24"/>
                <w:szCs w:val="24"/>
              </w:rPr>
              <w:t xml:space="preserve">MMSE, </w:t>
            </w:r>
            <w:r w:rsidRPr="00BD3F98">
              <w:rPr>
                <w:rFonts w:ascii="Times New Roman" w:hAnsi="Times New Roman" w:cs="Times New Roman"/>
                <w:sz w:val="24"/>
                <w:szCs w:val="24"/>
              </w:rPr>
              <w:t>comorbidities, and medication history.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8</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8. </w:t>
            </w:r>
            <w:r w:rsidRPr="00BD3F98">
              <w:rPr>
                <w:rFonts w:ascii="Times New Roman" w:hAnsi="Times New Roman" w:cs="Times New Roman"/>
                <w:sz w:val="24"/>
                <w:szCs w:val="24"/>
              </w:rPr>
              <w:t>Targeted intensive intervention plans for high-risk patients (cognitive training and optimize nutritional supports).</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9</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9. </w:t>
            </w:r>
            <w:r w:rsidRPr="00BD3F98">
              <w:rPr>
                <w:rFonts w:ascii="Times New Roman" w:hAnsi="Times New Roman" w:cs="Times New Roman"/>
                <w:sz w:val="24"/>
                <w:szCs w:val="24"/>
              </w:rPr>
              <w:t>Correct delirium triggers such as anemia, folic acid/vitamin B1/B12 deficiency, and electrolyte imbalance.</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10</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roofErr w:type="spellStart"/>
            <w:r w:rsidRPr="00BD3F98">
              <w:rPr>
                <w:rFonts w:ascii="Times New Roman" w:hAnsi="Times New Roman" w:cs="Times New Roman"/>
                <w:kern w:val="2"/>
                <w:sz w:val="24"/>
                <w:szCs w:val="24"/>
              </w:rPr>
              <w:t>Intraoperative</w:t>
            </w:r>
            <w:proofErr w:type="spellEnd"/>
            <w:r w:rsidRPr="00BD3F98">
              <w:rPr>
                <w:rFonts w:ascii="Times New Roman" w:hAnsi="Times New Roman" w:cs="Times New Roman"/>
                <w:kern w:val="2"/>
                <w:sz w:val="24"/>
                <w:szCs w:val="24"/>
              </w:rPr>
              <w:t xml:space="preserve"> management</w:t>
            </w: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Anesthesia optimization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10. </w:t>
            </w:r>
            <w:r w:rsidRPr="00BD3F98">
              <w:rPr>
                <w:rFonts w:ascii="Times New Roman" w:hAnsi="Times New Roman" w:cs="Times New Roman"/>
                <w:sz w:val="24"/>
                <w:szCs w:val="24"/>
              </w:rPr>
              <w:t xml:space="preserve">Avoid using benzodiazepines, </w:t>
            </w:r>
            <w:proofErr w:type="spellStart"/>
            <w:r w:rsidRPr="00BD3F98">
              <w:rPr>
                <w:rFonts w:ascii="Times New Roman" w:hAnsi="Times New Roman" w:cs="Times New Roman"/>
                <w:sz w:val="24"/>
                <w:szCs w:val="24"/>
              </w:rPr>
              <w:t>anticholinergics</w:t>
            </w:r>
            <w:proofErr w:type="spellEnd"/>
            <w:r w:rsidRPr="00BD3F98">
              <w:rPr>
                <w:rFonts w:ascii="Times New Roman" w:hAnsi="Times New Roman" w:cs="Times New Roman"/>
                <w:sz w:val="24"/>
                <w:szCs w:val="24"/>
              </w:rPr>
              <w:t xml:space="preserve">, and high-dose </w:t>
            </w:r>
            <w:proofErr w:type="spellStart"/>
            <w:r w:rsidRPr="00BD3F98">
              <w:rPr>
                <w:rFonts w:ascii="Times New Roman" w:hAnsi="Times New Roman" w:cs="Times New Roman"/>
                <w:sz w:val="24"/>
                <w:szCs w:val="24"/>
              </w:rPr>
              <w:t>opioids</w:t>
            </w:r>
            <w:proofErr w:type="spellEnd"/>
            <w:r w:rsidRPr="00BD3F98">
              <w:rPr>
                <w:rFonts w:ascii="Times New Roman" w:hAnsi="Times New Roman" w:cs="Times New Roman"/>
                <w:sz w:val="24"/>
                <w:szCs w:val="24"/>
              </w:rPr>
              <w:t xml:space="preserve"> during surgery.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11</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11. </w:t>
            </w:r>
            <w:r w:rsidRPr="00BD3F98">
              <w:rPr>
                <w:rFonts w:ascii="Times New Roman" w:hAnsi="Times New Roman" w:cs="Times New Roman"/>
                <w:sz w:val="24"/>
                <w:szCs w:val="24"/>
              </w:rPr>
              <w:t>Monitor anesthesia depth using BIS or EEG to avoid excessive deep anesthesia.</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12</w:t>
            </w:r>
          </w:p>
        </w:tc>
      </w:tr>
      <w:tr w:rsidR="008B1728" w:rsidRPr="00BD3F98" w:rsidTr="008B1728">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12. </w:t>
            </w:r>
            <w:r w:rsidRPr="00BD3F98">
              <w:rPr>
                <w:rFonts w:ascii="Times New Roman" w:hAnsi="Times New Roman" w:cs="Times New Roman"/>
                <w:sz w:val="24"/>
                <w:szCs w:val="24"/>
              </w:rPr>
              <w:t>Maintain hemodynamic stability and avoid hypotension and hypoxemia.</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13</w:t>
            </w:r>
          </w:p>
        </w:tc>
      </w:tr>
      <w:tr w:rsidR="00BD3F98" w:rsidRPr="00BD3F98" w:rsidTr="008B1728">
        <w:trPr>
          <w:cantSplit/>
        </w:trPr>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Postoperative intervention</w:t>
            </w: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Nutritional support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13. </w:t>
            </w:r>
            <w:r w:rsidRPr="00BD3F98">
              <w:rPr>
                <w:rFonts w:ascii="Times New Roman" w:hAnsi="Times New Roman" w:cs="Times New Roman"/>
                <w:sz w:val="24"/>
                <w:szCs w:val="24"/>
              </w:rPr>
              <w:t>Resume oral feeding early. If intake is less than 50% of the required intake, start EN early.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14</w:t>
            </w:r>
          </w:p>
        </w:tc>
      </w:tr>
      <w:tr w:rsidR="008B1728" w:rsidRPr="00BD3F98" w:rsidTr="008B1728">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14. </w:t>
            </w:r>
            <w:r w:rsidRPr="00BD3F98">
              <w:rPr>
                <w:rFonts w:ascii="Times New Roman" w:hAnsi="Times New Roman" w:cs="Times New Roman"/>
                <w:sz w:val="24"/>
                <w:szCs w:val="24"/>
              </w:rPr>
              <w:t>For patients whose EN intake is less than 50% of the target amount for more than 7 days, combined with PN support, with central venous access and an integrated three-lumen bag as the preferred route.</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15</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15. </w:t>
            </w:r>
            <w:r w:rsidRPr="00BD3F98">
              <w:rPr>
                <w:rFonts w:ascii="Times New Roman" w:hAnsi="Times New Roman" w:cs="Times New Roman"/>
                <w:sz w:val="24"/>
                <w:szCs w:val="24"/>
              </w:rPr>
              <w:t>Dynamically monitor nutritional tolerance, such as gastrointestinal reactions, metabolic indicators, and adjust treatment plan accordingly.</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Newly added</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Early Activity and Cognitive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16. </w:t>
            </w:r>
            <w:r w:rsidRPr="00BD3F98">
              <w:rPr>
                <w:rFonts w:ascii="Times New Roman" w:hAnsi="Times New Roman" w:cs="Times New Roman"/>
                <w:sz w:val="24"/>
                <w:szCs w:val="24"/>
              </w:rPr>
              <w:t>Start personalized exercise on postoperative day 1 (turning over → sitting up → standing → walking).</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16</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17. </w:t>
            </w:r>
            <w:r w:rsidRPr="00BD3F98">
              <w:rPr>
                <w:rFonts w:ascii="Times New Roman" w:hAnsi="Times New Roman" w:cs="Times New Roman"/>
                <w:sz w:val="24"/>
                <w:szCs w:val="24"/>
              </w:rPr>
              <w:t>"3-question" cognitive training sessions three times a day, combined with orientation recovery training for familiar people and things.</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17, clarification on training methods</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18. </w:t>
            </w:r>
            <w:r w:rsidRPr="00BD3F98">
              <w:rPr>
                <w:rFonts w:ascii="Times New Roman" w:hAnsi="Times New Roman" w:cs="Times New Roman"/>
                <w:sz w:val="24"/>
                <w:szCs w:val="24"/>
              </w:rPr>
              <w:t>Strengthen environmental interventions in hyperactive delirium; increase sensory stimulation in hypoactive delirium.</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18, clarification on intervention methods</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Non-drug and drug management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19. </w:t>
            </w:r>
            <w:r w:rsidRPr="00BD3F98">
              <w:rPr>
                <w:rFonts w:ascii="Times New Roman" w:hAnsi="Times New Roman" w:cs="Times New Roman"/>
                <w:sz w:val="24"/>
                <w:szCs w:val="24"/>
              </w:rPr>
              <w:t>Optimize ward environment (noise control, suitable temperature and humidity, sufficient natural light) to maintain a regular sleep-wake cycle.</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19</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20. Employ multimodal analgesia to reduce opioid dosage.</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20</w:t>
            </w:r>
          </w:p>
        </w:tc>
      </w:tr>
      <w:tr w:rsidR="008B1728" w:rsidRPr="00BD3F98" w:rsidTr="008B1728">
        <w:trPr>
          <w:cantSplit/>
        </w:trPr>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21. </w:t>
            </w:r>
            <w:r w:rsidRPr="00BD3F98">
              <w:rPr>
                <w:rFonts w:ascii="Times New Roman" w:hAnsi="Times New Roman" w:cs="Times New Roman"/>
                <w:sz w:val="24"/>
                <w:szCs w:val="24"/>
              </w:rPr>
              <w:t>Non-pharmacological intervention is the first choice. For severe agitation, a short-term low-dose haloperidol (0.5-1 mg) can be used.</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21, clarification on intervention methods</w:t>
            </w:r>
          </w:p>
        </w:tc>
      </w:tr>
      <w:tr w:rsidR="00BD3F98" w:rsidRPr="00BD3F98" w:rsidTr="008B1728">
        <w:trPr>
          <w:cantSplit/>
        </w:trPr>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Monitoring and Team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Delirium screening</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22. </w:t>
            </w:r>
            <w:r w:rsidRPr="00BD3F98">
              <w:rPr>
                <w:rFonts w:ascii="Times New Roman" w:hAnsi="Times New Roman" w:cs="Times New Roman"/>
                <w:sz w:val="24"/>
                <w:szCs w:val="24"/>
              </w:rPr>
              <w:t>Postoperative daily screening using the CAM/CAM-ICU/4A test/NU-DESC scales, with high-risk patients assessed every 8 h.</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22</w:t>
            </w:r>
          </w:p>
        </w:tc>
      </w:tr>
      <w:tr w:rsidR="00BD3F98" w:rsidRPr="00BD3F98" w:rsidTr="008B1728">
        <w:trPr>
          <w:cantSplit/>
        </w:trPr>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Multidisciplinary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23. </w:t>
            </w:r>
            <w:r w:rsidRPr="00BD3F98">
              <w:rPr>
                <w:rFonts w:ascii="Times New Roman" w:hAnsi="Times New Roman" w:cs="Times New Roman"/>
                <w:sz w:val="24"/>
                <w:szCs w:val="24"/>
              </w:rPr>
              <w:t>Establish a multidisciplinary team including physicians, nurses, nutritionists, anesthesiologists, and rehabilitation therapists.</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23</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24. </w:t>
            </w:r>
            <w:r w:rsidRPr="00BD3F98">
              <w:rPr>
                <w:rFonts w:ascii="Times New Roman" w:hAnsi="Times New Roman" w:cs="Times New Roman"/>
                <w:sz w:val="24"/>
                <w:szCs w:val="24"/>
              </w:rPr>
              <w:t xml:space="preserve">Hold multidisciplinary meetings </w:t>
            </w:r>
            <w:r w:rsidRPr="00BD3F98">
              <w:rPr>
                <w:rFonts w:ascii="Times New Roman" w:hAnsi="Times New Roman" w:cs="Times New Roman"/>
                <w:sz w:val="24"/>
                <w:szCs w:val="24"/>
              </w:rPr>
              <w:t>regularly</w:t>
            </w:r>
            <w:r w:rsidRPr="00BD3F98">
              <w:rPr>
                <w:rFonts w:ascii="Times New Roman" w:hAnsi="Times New Roman" w:cs="Times New Roman"/>
                <w:sz w:val="24"/>
                <w:szCs w:val="24"/>
              </w:rPr>
              <w:t xml:space="preserve"> to dynamically adjust individualized treatment plans.</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Previous item 24</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25. </w:t>
            </w:r>
            <w:r w:rsidRPr="00BD3F98">
              <w:rPr>
                <w:rFonts w:ascii="Times New Roman" w:hAnsi="Times New Roman" w:cs="Times New Roman"/>
                <w:sz w:val="24"/>
                <w:szCs w:val="24"/>
              </w:rPr>
              <w:t>Establish an electronic system reminder mechanism to ensure timely verification of key intervention measures (nutritional screening, assessment, and intervention).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Newly added</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Health education and family collaboration</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26. </w:t>
            </w:r>
            <w:r w:rsidRPr="00BD3F98">
              <w:rPr>
                <w:rFonts w:ascii="Times New Roman" w:hAnsi="Times New Roman" w:cs="Times New Roman"/>
                <w:sz w:val="24"/>
                <w:szCs w:val="24"/>
              </w:rPr>
              <w:t>Inform the patient and their family of the risks and preventative measures of POD before the procedure.</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Derived from previous item 25</w:t>
            </w:r>
          </w:p>
        </w:tc>
      </w:tr>
      <w:tr w:rsidR="008B1728" w:rsidRPr="00BD3F98" w:rsidTr="00FB13C4">
        <w:trPr>
          <w:cantSplit/>
        </w:trPr>
        <w:tc>
          <w:tcPr>
            <w:tcW w:w="0" w:type="auto"/>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nil"/>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 xml:space="preserve">27. </w:t>
            </w:r>
            <w:r w:rsidRPr="00BD3F98">
              <w:rPr>
                <w:rFonts w:ascii="Times New Roman" w:hAnsi="Times New Roman" w:cs="Times New Roman"/>
                <w:sz w:val="24"/>
                <w:szCs w:val="24"/>
              </w:rPr>
              <w:t xml:space="preserve">Provide </w:t>
            </w:r>
            <w:proofErr w:type="spellStart"/>
            <w:r w:rsidRPr="00BD3F98">
              <w:rPr>
                <w:rFonts w:ascii="Times New Roman" w:hAnsi="Times New Roman" w:cs="Times New Roman"/>
                <w:sz w:val="24"/>
                <w:szCs w:val="24"/>
              </w:rPr>
              <w:t>caregiving</w:t>
            </w:r>
            <w:proofErr w:type="spellEnd"/>
            <w:r w:rsidRPr="00BD3F98">
              <w:rPr>
                <w:rFonts w:ascii="Times New Roman" w:hAnsi="Times New Roman" w:cs="Times New Roman"/>
                <w:sz w:val="24"/>
                <w:szCs w:val="24"/>
              </w:rPr>
              <w:t xml:space="preserve"> skills training for family members (communication skills, environmental maintenance, cognitive support).</w:t>
            </w:r>
          </w:p>
        </w:tc>
        <w:tc>
          <w:tcPr>
            <w:tcW w:w="0" w:type="auto"/>
            <w:tcBorders>
              <w:top w:val="single" w:sz="6" w:space="0" w:color="auto"/>
              <w:bottom w:val="single" w:sz="6" w:space="0" w:color="auto"/>
            </w:tcBorders>
            <w:shd w:val="clear" w:color="auto" w:fill="auto"/>
            <w:tcMar>
              <w:top w:w="60" w:type="dxa"/>
              <w:left w:w="60" w:type="dxa"/>
              <w:bottom w:w="60" w:type="dxa"/>
              <w:right w:w="60" w:type="dxa"/>
            </w:tcMar>
          </w:tcPr>
          <w:p w:rsidR="008B1728" w:rsidRPr="00BD3F98" w:rsidRDefault="008B1728" w:rsidP="00FB13C4">
            <w:pPr>
              <w:widowControl w:val="0"/>
              <w:adjustRightInd w:val="0"/>
              <w:snapToGrid w:val="0"/>
              <w:spacing w:after="0" w:line="240" w:lineRule="auto"/>
              <w:rPr>
                <w:rFonts w:ascii="Times New Roman" w:hAnsi="Times New Roman" w:cs="Times New Roman"/>
                <w:kern w:val="2"/>
                <w:sz w:val="24"/>
                <w:szCs w:val="24"/>
              </w:rPr>
            </w:pPr>
            <w:r w:rsidRPr="00BD3F98">
              <w:rPr>
                <w:rFonts w:ascii="Times New Roman" w:hAnsi="Times New Roman" w:cs="Times New Roman"/>
                <w:kern w:val="2"/>
                <w:sz w:val="24"/>
                <w:szCs w:val="24"/>
              </w:rPr>
              <w:t>Derived from previous item 25</w:t>
            </w:r>
          </w:p>
        </w:tc>
      </w:tr>
    </w:tbl>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adjustRightInd w:val="0"/>
        <w:snapToGrid w:val="0"/>
        <w:rPr>
          <w:rFonts w:ascii="Times New Roman" w:hAnsi="Times New Roman" w:cs="Times New Roman"/>
          <w:sz w:val="24"/>
          <w:szCs w:val="24"/>
        </w:rPr>
      </w:pPr>
      <w:r w:rsidRPr="00BD3F98">
        <w:rPr>
          <w:rFonts w:ascii="Times New Roman" w:hAnsi="Times New Roman" w:cs="Times New Roman"/>
          <w:sz w:val="24"/>
          <w:szCs w:val="24"/>
        </w:rPr>
        <w:t xml:space="preserve">BIS, </w:t>
      </w:r>
      <w:proofErr w:type="spellStart"/>
      <w:r w:rsidRPr="00BD3F98">
        <w:rPr>
          <w:rFonts w:ascii="Times New Roman" w:hAnsi="Times New Roman" w:cs="Times New Roman"/>
          <w:sz w:val="24"/>
          <w:szCs w:val="24"/>
        </w:rPr>
        <w:t>Bispectral</w:t>
      </w:r>
      <w:proofErr w:type="spellEnd"/>
      <w:r w:rsidRPr="00BD3F98">
        <w:rPr>
          <w:rFonts w:ascii="Times New Roman" w:hAnsi="Times New Roman" w:cs="Times New Roman"/>
          <w:sz w:val="24"/>
          <w:szCs w:val="24"/>
        </w:rPr>
        <w:t xml:space="preserve"> index; BMI, body mass index; CAM, confusion assessment method; CONUT, controlling nutritional status; EEG, electroencephalogram; EN, enteral nutrition; GLIM, global leadership initiative on malnutrition; ICU, intensive care unit; M±SD, mean ± standard deviation; NRS 2002, nutrition risk screening 2002; NU-DESC, nursing delirium screening scale; ONS, oral nutrition supplements; PG-SGA, patient-generated subjective global assessment; POD, postoperative delirium; PN, parenteral nutrition; PNI, prognostic nutritional index.</w:t>
      </w: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8B1728" w:rsidRPr="00BD3F98" w:rsidRDefault="008B1728" w:rsidP="008B1728">
      <w:pPr>
        <w:widowControl w:val="0"/>
        <w:adjustRightInd w:val="0"/>
        <w:snapToGrid w:val="0"/>
        <w:spacing w:after="0" w:line="240" w:lineRule="auto"/>
        <w:jc w:val="both"/>
        <w:rPr>
          <w:rFonts w:ascii="Times New Roman" w:hAnsi="Times New Roman" w:cs="Times New Roman"/>
          <w:kern w:val="2"/>
          <w:sz w:val="24"/>
          <w:szCs w:val="24"/>
        </w:rPr>
      </w:pPr>
    </w:p>
    <w:p w:rsidR="002B5AEF" w:rsidRPr="00BD3F98" w:rsidRDefault="002B5AEF" w:rsidP="00A0133F">
      <w:pPr>
        <w:widowControl w:val="0"/>
        <w:adjustRightInd w:val="0"/>
        <w:snapToGrid w:val="0"/>
        <w:spacing w:after="0" w:line="240" w:lineRule="auto"/>
        <w:jc w:val="both"/>
        <w:rPr>
          <w:rFonts w:ascii="Times New Roman" w:hAnsi="Times New Roman" w:cs="Times New Roman"/>
          <w:kern w:val="2"/>
          <w:sz w:val="24"/>
          <w:szCs w:val="24"/>
        </w:rPr>
      </w:pPr>
    </w:p>
    <w:p w:rsidR="00A0133F" w:rsidRPr="00BD3F98" w:rsidRDefault="00BD3F98" w:rsidP="00A0133F">
      <w:pPr>
        <w:widowControl w:val="0"/>
        <w:adjustRightInd w:val="0"/>
        <w:snapToGrid w:val="0"/>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    </w:t>
      </w:r>
      <w:r w:rsidRPr="00BD3F98">
        <w:rPr>
          <w:rFonts w:ascii="Times New Roman" w:hAnsi="Times New Roman" w:cs="Times New Roman"/>
          <w:kern w:val="2"/>
          <w:sz w:val="24"/>
          <w:szCs w:val="24"/>
        </w:rPr>
        <w:t>Table S3 Summary of revisions during the first round of Delphi expert consultation.</w:t>
      </w:r>
    </w:p>
    <w:tbl>
      <w:tblPr>
        <w:tblStyle w:val="TableGrid"/>
        <w:tblpPr w:leftFromText="180" w:rightFromText="180" w:vertAnchor="text" w:horzAnchor="page" w:tblpX="1802" w:tblpY="304"/>
        <w:tblOverlap w:val="never"/>
        <w:tblW w:w="5000" w:type="pct"/>
        <w:tblLook w:val="04A0"/>
      </w:tblPr>
      <w:tblGrid>
        <w:gridCol w:w="799"/>
        <w:gridCol w:w="324"/>
        <w:gridCol w:w="4258"/>
        <w:gridCol w:w="2928"/>
        <w:gridCol w:w="4867"/>
      </w:tblGrid>
      <w:tr w:rsidR="00A0133F" w:rsidRPr="00BD3F98" w:rsidTr="00BD3F98">
        <w:trPr>
          <w:cantSplit/>
          <w:trHeight w:val="283"/>
        </w:trPr>
        <w:tc>
          <w:tcPr>
            <w:tcW w:w="426" w:type="pct"/>
            <w:gridSpan w:val="2"/>
            <w:tcBorders>
              <w:top w:val="single" w:sz="8" w:space="0" w:color="auto"/>
              <w:left w:val="nil"/>
              <w:bottom w:val="single" w:sz="6" w:space="0" w:color="auto"/>
              <w:right w:val="nil"/>
              <w:tl2br w:val="nil"/>
            </w:tcBorders>
            <w:shd w:val="clear" w:color="auto" w:fill="FFFFFF"/>
          </w:tcPr>
          <w:p w:rsidR="00A0133F" w:rsidRPr="00BD3F98" w:rsidRDefault="00FE5DE5" w:rsidP="00FE5DE5">
            <w:pPr>
              <w:adjustRightInd w:val="0"/>
              <w:snapToGrid w:val="0"/>
              <w:jc w:val="left"/>
              <w:rPr>
                <w:kern w:val="2"/>
                <w:sz w:val="24"/>
                <w:szCs w:val="24"/>
              </w:rPr>
            </w:pPr>
            <w:r w:rsidRPr="00BD3F98">
              <w:rPr>
                <w:kern w:val="2"/>
                <w:sz w:val="24"/>
                <w:szCs w:val="24"/>
              </w:rPr>
              <w:t>Item</w:t>
            </w:r>
          </w:p>
        </w:tc>
        <w:tc>
          <w:tcPr>
            <w:tcW w:w="1616" w:type="pct"/>
            <w:tcBorders>
              <w:top w:val="single" w:sz="8" w:space="0" w:color="auto"/>
              <w:left w:val="nil"/>
              <w:bottom w:val="single" w:sz="6" w:space="0" w:color="auto"/>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 xml:space="preserve">Original </w:t>
            </w:r>
            <w:r w:rsidR="00A8371E" w:rsidRPr="00BD3F98">
              <w:rPr>
                <w:kern w:val="2"/>
                <w:sz w:val="24"/>
                <w:szCs w:val="24"/>
              </w:rPr>
              <w:t>recommendations</w:t>
            </w:r>
          </w:p>
        </w:tc>
        <w:tc>
          <w:tcPr>
            <w:tcW w:w="1111" w:type="pct"/>
            <w:tcBorders>
              <w:top w:val="single" w:sz="8" w:space="0" w:color="auto"/>
              <w:left w:val="nil"/>
              <w:bottom w:val="single" w:sz="6" w:space="0" w:color="auto"/>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 xml:space="preserve">Expert </w:t>
            </w:r>
            <w:r w:rsidR="00FE5DE5" w:rsidRPr="00BD3F98">
              <w:rPr>
                <w:kern w:val="2"/>
                <w:sz w:val="24"/>
                <w:szCs w:val="24"/>
              </w:rPr>
              <w:t>o</w:t>
            </w:r>
            <w:r w:rsidRPr="00BD3F98">
              <w:rPr>
                <w:kern w:val="2"/>
                <w:sz w:val="24"/>
                <w:szCs w:val="24"/>
              </w:rPr>
              <w:t>pinions</w:t>
            </w:r>
          </w:p>
        </w:tc>
        <w:tc>
          <w:tcPr>
            <w:tcW w:w="1847" w:type="pct"/>
            <w:tcBorders>
              <w:top w:val="single" w:sz="8" w:space="0" w:color="auto"/>
              <w:left w:val="nil"/>
              <w:bottom w:val="single" w:sz="6" w:space="0" w:color="auto"/>
              <w:right w:val="nil"/>
            </w:tcBorders>
            <w:shd w:val="clear" w:color="auto" w:fill="FFFFFF"/>
          </w:tcPr>
          <w:p w:rsidR="00A0133F" w:rsidRPr="00BD3F98" w:rsidRDefault="00FE5DE5" w:rsidP="00FE5DE5">
            <w:pPr>
              <w:adjustRightInd w:val="0"/>
              <w:snapToGrid w:val="0"/>
              <w:jc w:val="left"/>
              <w:rPr>
                <w:kern w:val="2"/>
                <w:sz w:val="24"/>
                <w:szCs w:val="24"/>
              </w:rPr>
            </w:pPr>
            <w:r w:rsidRPr="00BD3F98">
              <w:rPr>
                <w:kern w:val="2"/>
                <w:sz w:val="24"/>
                <w:szCs w:val="24"/>
              </w:rPr>
              <w:t xml:space="preserve">Revisions </w:t>
            </w:r>
          </w:p>
        </w:tc>
      </w:tr>
      <w:tr w:rsidR="00A0133F" w:rsidRPr="00BD3F98" w:rsidTr="00BD3F98">
        <w:trPr>
          <w:cantSplit/>
        </w:trPr>
        <w:tc>
          <w:tcPr>
            <w:tcW w:w="303" w:type="pct"/>
            <w:tcBorders>
              <w:top w:val="single" w:sz="6" w:space="0" w:color="auto"/>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2</w:t>
            </w:r>
          </w:p>
        </w:tc>
        <w:tc>
          <w:tcPr>
            <w:tcW w:w="1739" w:type="pct"/>
            <w:gridSpan w:val="2"/>
            <w:tcBorders>
              <w:top w:val="single" w:sz="6" w:space="0" w:color="auto"/>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 xml:space="preserve">Nutritional risk screening </w:t>
            </w:r>
            <w:r w:rsidR="00A8371E" w:rsidRPr="00BD3F98">
              <w:rPr>
                <w:kern w:val="2"/>
                <w:sz w:val="24"/>
                <w:szCs w:val="24"/>
              </w:rPr>
              <w:t>is</w:t>
            </w:r>
            <w:r w:rsidRPr="00BD3F98">
              <w:rPr>
                <w:kern w:val="2"/>
                <w:sz w:val="24"/>
                <w:szCs w:val="24"/>
              </w:rPr>
              <w:t xml:space="preserve"> conducted using NRS 2002</w:t>
            </w:r>
            <w:r w:rsidR="00A8371E" w:rsidRPr="00BD3F98">
              <w:rPr>
                <w:kern w:val="2"/>
                <w:sz w:val="24"/>
                <w:szCs w:val="24"/>
              </w:rPr>
              <w:t>. P</w:t>
            </w:r>
            <w:r w:rsidRPr="00BD3F98">
              <w:rPr>
                <w:kern w:val="2"/>
                <w:sz w:val="24"/>
                <w:szCs w:val="24"/>
              </w:rPr>
              <w:t xml:space="preserve">atients at risk </w:t>
            </w:r>
            <w:r w:rsidR="00A8371E" w:rsidRPr="00BD3F98">
              <w:rPr>
                <w:kern w:val="2"/>
                <w:sz w:val="24"/>
                <w:szCs w:val="24"/>
              </w:rPr>
              <w:t>should receive</w:t>
            </w:r>
            <w:r w:rsidRPr="00BD3F98">
              <w:rPr>
                <w:kern w:val="2"/>
                <w:sz w:val="24"/>
                <w:szCs w:val="24"/>
              </w:rPr>
              <w:t xml:space="preserve"> further comprehensive nutritional assessment using PG-SGA/GLIM.</w:t>
            </w:r>
          </w:p>
        </w:tc>
        <w:tc>
          <w:tcPr>
            <w:tcW w:w="1111" w:type="pct"/>
            <w:tcBorders>
              <w:top w:val="single" w:sz="6" w:space="0" w:color="auto"/>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It is best to specify an evaluation period.</w:t>
            </w:r>
          </w:p>
        </w:tc>
        <w:tc>
          <w:tcPr>
            <w:tcW w:w="1847" w:type="pct"/>
            <w:tcBorders>
              <w:top w:val="single" w:sz="6" w:space="0" w:color="auto"/>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 xml:space="preserve">The original entry has been changed to: Nutritional risk screening using NRS 2002 should be conducted within 24 hours. For patients </w:t>
            </w:r>
            <w:r w:rsidR="00A8371E" w:rsidRPr="00BD3F98">
              <w:rPr>
                <w:kern w:val="2"/>
                <w:sz w:val="24"/>
                <w:szCs w:val="24"/>
              </w:rPr>
              <w:t>at</w:t>
            </w:r>
            <w:r w:rsidRPr="00BD3F98">
              <w:rPr>
                <w:kern w:val="2"/>
                <w:sz w:val="24"/>
                <w:szCs w:val="24"/>
              </w:rPr>
              <w:t xml:space="preserve"> a risk of malnutrition, a comprehensive nutritional assessment using PG-SGA/GLIM should be conducted within 48 hours.</w:t>
            </w:r>
          </w:p>
        </w:tc>
      </w:tr>
      <w:tr w:rsidR="00A0133F" w:rsidRPr="00BD3F98" w:rsidTr="00FE5DE5">
        <w:trPr>
          <w:cantSplit/>
        </w:trPr>
        <w:tc>
          <w:tcPr>
            <w:tcW w:w="303" w:type="pct"/>
            <w:tcBorders>
              <w:top w:val="nil"/>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3</w:t>
            </w:r>
          </w:p>
        </w:tc>
        <w:tc>
          <w:tcPr>
            <w:tcW w:w="1739" w:type="pct"/>
            <w:gridSpan w:val="2"/>
            <w:tcBorders>
              <w:top w:val="nil"/>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 xml:space="preserve">For patients at nutritional risk, basic nutritional assessments are required, including nutrition-related medical history, dietary surveys, physical examinations, laboratory tests, body composition analysis, physical fitness tests, and comprehensive nutritional assessment scales, which </w:t>
            </w:r>
            <w:r w:rsidR="00A8371E" w:rsidRPr="00BD3F98">
              <w:rPr>
                <w:kern w:val="2"/>
                <w:sz w:val="24"/>
                <w:szCs w:val="24"/>
              </w:rPr>
              <w:t xml:space="preserve">can </w:t>
            </w:r>
            <w:r w:rsidRPr="00BD3F98">
              <w:rPr>
                <w:kern w:val="2"/>
                <w:sz w:val="24"/>
                <w:szCs w:val="24"/>
              </w:rPr>
              <w:t>serve as baseline indicators for developing treatment plans, prescribing nutritional prescriptions, and implementing monitoring.</w:t>
            </w:r>
          </w:p>
        </w:tc>
        <w:tc>
          <w:tcPr>
            <w:tcW w:w="1111" w:type="pct"/>
            <w:tcBorders>
              <w:top w:val="nil"/>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There is a lack of indicators for monitoring the effectiveness of nutritional therapy.</w:t>
            </w:r>
          </w:p>
        </w:tc>
        <w:tc>
          <w:tcPr>
            <w:tcW w:w="1847" w:type="pct"/>
            <w:tcBorders>
              <w:top w:val="nil"/>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Monitor serum albumin and lymphocyte count weekly.</w:t>
            </w:r>
          </w:p>
        </w:tc>
      </w:tr>
      <w:tr w:rsidR="00A0133F" w:rsidRPr="00BD3F98" w:rsidTr="00FE5DE5">
        <w:trPr>
          <w:cantSplit/>
        </w:trPr>
        <w:tc>
          <w:tcPr>
            <w:tcW w:w="303" w:type="pct"/>
            <w:tcBorders>
              <w:top w:val="nil"/>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4</w:t>
            </w:r>
          </w:p>
        </w:tc>
        <w:tc>
          <w:tcPr>
            <w:tcW w:w="1739" w:type="pct"/>
            <w:gridSpan w:val="2"/>
            <w:tcBorders>
              <w:top w:val="nil"/>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If any of the following conditions are met</w:t>
            </w:r>
            <w:r w:rsidR="00A8371E" w:rsidRPr="00BD3F98">
              <w:rPr>
                <w:kern w:val="2"/>
                <w:sz w:val="24"/>
                <w:szCs w:val="24"/>
              </w:rPr>
              <w:t xml:space="preserve"> (</w:t>
            </w:r>
            <w:r w:rsidRPr="00BD3F98">
              <w:rPr>
                <w:kern w:val="2"/>
                <w:sz w:val="24"/>
                <w:szCs w:val="24"/>
              </w:rPr>
              <w:t>weight loss &gt;10%-15% within 6 months; body mass index &lt;18.5; PG-SGA grade C or NRS 2002 score &gt;5; serum albumin &lt;30g/L</w:t>
            </w:r>
            <w:r w:rsidR="00A8371E" w:rsidRPr="00BD3F98">
              <w:rPr>
                <w:kern w:val="2"/>
                <w:sz w:val="24"/>
                <w:szCs w:val="24"/>
              </w:rPr>
              <w:t>)</w:t>
            </w:r>
            <w:r w:rsidRPr="00BD3F98">
              <w:rPr>
                <w:kern w:val="2"/>
                <w:sz w:val="24"/>
                <w:szCs w:val="24"/>
              </w:rPr>
              <w:t xml:space="preserve"> in the absence of renal dysfunction, surgery should be postponed for 7-14 days for preoperative nutritional therapy.</w:t>
            </w:r>
          </w:p>
        </w:tc>
        <w:tc>
          <w:tcPr>
            <w:tcW w:w="1111" w:type="pct"/>
            <w:tcBorders>
              <w:top w:val="nil"/>
              <w:left w:val="nil"/>
              <w:bottom w:val="nil"/>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t>It is difficult to implement in actual clinical practice.</w:t>
            </w:r>
          </w:p>
        </w:tc>
        <w:tc>
          <w:tcPr>
            <w:tcW w:w="1847" w:type="pct"/>
            <w:tcBorders>
              <w:top w:val="nil"/>
              <w:left w:val="nil"/>
              <w:bottom w:val="nil"/>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 xml:space="preserve">In clinical practice, the specific circumstances of the patient and the surgery </w:t>
            </w:r>
            <w:r w:rsidR="00A8371E" w:rsidRPr="00BD3F98">
              <w:rPr>
                <w:kern w:val="2"/>
                <w:sz w:val="24"/>
                <w:szCs w:val="24"/>
              </w:rPr>
              <w:t>should be</w:t>
            </w:r>
            <w:r w:rsidRPr="00BD3F98">
              <w:rPr>
                <w:kern w:val="2"/>
                <w:sz w:val="24"/>
                <w:szCs w:val="24"/>
              </w:rPr>
              <w:t xml:space="preserve"> taken into account.</w:t>
            </w:r>
          </w:p>
        </w:tc>
      </w:tr>
      <w:tr w:rsidR="00A0133F" w:rsidRPr="00BD3F98" w:rsidTr="008A27F9">
        <w:trPr>
          <w:cantSplit/>
        </w:trPr>
        <w:tc>
          <w:tcPr>
            <w:tcW w:w="303" w:type="pct"/>
            <w:tcBorders>
              <w:top w:val="nil"/>
              <w:left w:val="nil"/>
              <w:bottom w:val="single" w:sz="8" w:space="0" w:color="auto"/>
              <w:right w:val="nil"/>
            </w:tcBorders>
            <w:shd w:val="clear" w:color="auto" w:fill="FFFFFF"/>
          </w:tcPr>
          <w:p w:rsidR="00A0133F" w:rsidRPr="00BD3F98" w:rsidRDefault="00A0133F" w:rsidP="00FE5DE5">
            <w:pPr>
              <w:adjustRightInd w:val="0"/>
              <w:snapToGrid w:val="0"/>
              <w:jc w:val="left"/>
              <w:rPr>
                <w:kern w:val="2"/>
                <w:sz w:val="24"/>
                <w:szCs w:val="24"/>
              </w:rPr>
            </w:pPr>
            <w:r w:rsidRPr="00BD3F98">
              <w:rPr>
                <w:kern w:val="2"/>
                <w:sz w:val="24"/>
                <w:szCs w:val="24"/>
              </w:rPr>
              <w:lastRenderedPageBreak/>
              <w:t>9</w:t>
            </w:r>
          </w:p>
        </w:tc>
        <w:tc>
          <w:tcPr>
            <w:tcW w:w="1739" w:type="pct"/>
            <w:gridSpan w:val="2"/>
            <w:tcBorders>
              <w:top w:val="nil"/>
              <w:left w:val="nil"/>
              <w:bottom w:val="single" w:sz="8" w:space="0" w:color="auto"/>
              <w:right w:val="nil"/>
            </w:tcBorders>
            <w:shd w:val="clear" w:color="auto" w:fill="FFFFFF"/>
          </w:tcPr>
          <w:p w:rsidR="00A0133F" w:rsidRPr="00BD3F98" w:rsidRDefault="00A0133F" w:rsidP="00A8371E">
            <w:pPr>
              <w:adjustRightInd w:val="0"/>
              <w:snapToGrid w:val="0"/>
              <w:jc w:val="left"/>
              <w:rPr>
                <w:kern w:val="2"/>
                <w:sz w:val="24"/>
                <w:szCs w:val="24"/>
              </w:rPr>
            </w:pPr>
            <w:r w:rsidRPr="00BD3F98">
              <w:rPr>
                <w:kern w:val="2"/>
                <w:sz w:val="24"/>
                <w:szCs w:val="24"/>
              </w:rPr>
              <w:t>Actively treat pre-existing nutritional and metabolic disorders, such as anemia, folic acid, vitamin B1, B12 deficiency, hypoglycemia, dehydration, electrolyte imbalance, and acidosis, as these are all triggering factors for delirium.</w:t>
            </w:r>
          </w:p>
        </w:tc>
        <w:tc>
          <w:tcPr>
            <w:tcW w:w="1111" w:type="pct"/>
            <w:tcBorders>
              <w:top w:val="nil"/>
              <w:left w:val="nil"/>
              <w:bottom w:val="single" w:sz="8" w:space="0" w:color="auto"/>
              <w:right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There is a lack of standardized preoperative delirium risk assessment tools</w:t>
            </w:r>
            <w:r w:rsidR="00F83E5E" w:rsidRPr="00BD3F98">
              <w:rPr>
                <w:kern w:val="2"/>
                <w:sz w:val="24"/>
                <w:szCs w:val="24"/>
              </w:rPr>
              <w:t>. N</w:t>
            </w:r>
            <w:r w:rsidRPr="00BD3F98">
              <w:rPr>
                <w:kern w:val="2"/>
                <w:sz w:val="24"/>
                <w:szCs w:val="24"/>
              </w:rPr>
              <w:t>o prevention strategies to differentiate between different types of delirium (hyperactive/inhibitory)</w:t>
            </w:r>
            <w:r w:rsidR="00F83E5E" w:rsidRPr="00BD3F98">
              <w:rPr>
                <w:kern w:val="2"/>
                <w:sz w:val="24"/>
                <w:szCs w:val="24"/>
              </w:rPr>
              <w:t>. U</w:t>
            </w:r>
            <w:r w:rsidRPr="00BD3F98">
              <w:rPr>
                <w:kern w:val="2"/>
                <w:sz w:val="24"/>
                <w:szCs w:val="24"/>
              </w:rPr>
              <w:t>nclear criteria for identifying high-risk patients.</w:t>
            </w:r>
          </w:p>
        </w:tc>
        <w:tc>
          <w:tcPr>
            <w:tcW w:w="1847" w:type="pct"/>
            <w:tcBorders>
              <w:top w:val="nil"/>
              <w:left w:val="nil"/>
              <w:bottom w:val="single" w:sz="8" w:space="0" w:color="auto"/>
              <w:right w:val="nil"/>
            </w:tcBorders>
            <w:shd w:val="clear" w:color="auto" w:fill="FFFFFF"/>
          </w:tcPr>
          <w:p w:rsidR="00A0133F" w:rsidRPr="00BD3F98" w:rsidRDefault="00A0133F" w:rsidP="005D10F6">
            <w:pPr>
              <w:adjustRightInd w:val="0"/>
              <w:snapToGrid w:val="0"/>
              <w:jc w:val="left"/>
              <w:rPr>
                <w:kern w:val="2"/>
                <w:sz w:val="24"/>
                <w:szCs w:val="24"/>
              </w:rPr>
            </w:pPr>
            <w:r w:rsidRPr="00BD3F98">
              <w:rPr>
                <w:kern w:val="2"/>
                <w:sz w:val="24"/>
                <w:szCs w:val="24"/>
              </w:rPr>
              <w:t xml:space="preserve">Based on the patient's basic information (age, </w:t>
            </w:r>
            <w:r w:rsidR="00F83E5E" w:rsidRPr="00BD3F98">
              <w:rPr>
                <w:kern w:val="2"/>
                <w:sz w:val="24"/>
                <w:szCs w:val="24"/>
              </w:rPr>
              <w:t>sex</w:t>
            </w:r>
            <w:r w:rsidRPr="00BD3F98">
              <w:rPr>
                <w:kern w:val="2"/>
                <w:sz w:val="24"/>
                <w:szCs w:val="24"/>
              </w:rPr>
              <w:t>), medical history (cancer type, stage, history of neurological diseases), nutritional status (NRS 2002 score, serum albumin level), cognitive function (Mini Mental State Examination score), comorbidities (hypertension and diabetes), and medication use</w:t>
            </w:r>
            <w:r w:rsidR="00F83E5E" w:rsidRPr="00BD3F98">
              <w:rPr>
                <w:kern w:val="2"/>
                <w:sz w:val="24"/>
                <w:szCs w:val="24"/>
              </w:rPr>
              <w:t xml:space="preserve"> (</w:t>
            </w:r>
            <w:proofErr w:type="spellStart"/>
            <w:r w:rsidR="00F83E5E" w:rsidRPr="00BD3F98">
              <w:rPr>
                <w:kern w:val="2"/>
                <w:sz w:val="24"/>
                <w:szCs w:val="24"/>
              </w:rPr>
              <w:t>anticholinergics</w:t>
            </w:r>
            <w:proofErr w:type="spellEnd"/>
            <w:r w:rsidR="00F83E5E" w:rsidRPr="00BD3F98">
              <w:rPr>
                <w:kern w:val="2"/>
                <w:sz w:val="24"/>
                <w:szCs w:val="24"/>
              </w:rPr>
              <w:t xml:space="preserve"> or </w:t>
            </w:r>
            <w:proofErr w:type="spellStart"/>
            <w:r w:rsidR="00F83E5E" w:rsidRPr="00BD3F98">
              <w:rPr>
                <w:kern w:val="2"/>
                <w:sz w:val="24"/>
                <w:szCs w:val="24"/>
              </w:rPr>
              <w:t>opioids</w:t>
            </w:r>
            <w:proofErr w:type="spellEnd"/>
            <w:r w:rsidR="00F83E5E" w:rsidRPr="00BD3F98">
              <w:rPr>
                <w:kern w:val="2"/>
                <w:sz w:val="24"/>
                <w:szCs w:val="24"/>
              </w:rPr>
              <w:t xml:space="preserve">) to assess the risk of POD. </w:t>
            </w:r>
          </w:p>
        </w:tc>
      </w:tr>
    </w:tbl>
    <w:tbl>
      <w:tblPr>
        <w:tblStyle w:val="TableGrid"/>
        <w:tblpPr w:leftFromText="180" w:rightFromText="180" w:vertAnchor="text" w:horzAnchor="page" w:tblpX="1802" w:tblpY="1"/>
        <w:tblOverlap w:val="never"/>
        <w:tblW w:w="5078" w:type="pct"/>
        <w:tblBorders>
          <w:top w:val="none" w:sz="0" w:space="0" w:color="auto"/>
          <w:left w:val="none" w:sz="0" w:space="0" w:color="auto"/>
          <w:bottom w:val="none" w:sz="0" w:space="0" w:color="auto"/>
          <w:right w:val="none" w:sz="0" w:space="0" w:color="auto"/>
          <w:insideH w:val="single" w:sz="8" w:space="0" w:color="000000"/>
          <w:insideV w:val="none" w:sz="0" w:space="0" w:color="auto"/>
        </w:tblBorders>
        <w:tblLook w:val="04A0"/>
      </w:tblPr>
      <w:tblGrid>
        <w:gridCol w:w="1009"/>
        <w:gridCol w:w="4579"/>
        <w:gridCol w:w="2928"/>
        <w:gridCol w:w="4866"/>
      </w:tblGrid>
      <w:tr w:rsidR="00A0133F" w:rsidRPr="00BD3F98" w:rsidTr="007B5CDA">
        <w:tc>
          <w:tcPr>
            <w:tcW w:w="377"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13 and 14</w:t>
            </w:r>
          </w:p>
        </w:tc>
        <w:tc>
          <w:tcPr>
            <w:tcW w:w="1711"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 xml:space="preserve">Oral feeding should be resumed in the early postoperative period (&lt;24 hours). If oral feeding is not possible or oral intake is less than 50% of nutritional requirements, enteral nutrition should be started early. Start </w:t>
            </w:r>
            <w:r w:rsidR="00F83E5E" w:rsidRPr="00BD3F98">
              <w:rPr>
                <w:kern w:val="2"/>
                <w:sz w:val="24"/>
                <w:szCs w:val="24"/>
              </w:rPr>
              <w:t>at</w:t>
            </w:r>
            <w:r w:rsidRPr="00BD3F98">
              <w:rPr>
                <w:kern w:val="2"/>
                <w:sz w:val="24"/>
                <w:szCs w:val="24"/>
              </w:rPr>
              <w:t xml:space="preserve"> a low rate (10-20 ml/h) and small dose, gradually increasing the dose according to the patient's tolerance, generally adjusting to the target intake in 5-7 days. If the energy and protein intake from enteral nutrition is less than 50% of the target intake for more than 7 days, parenteral nutrition should be used in conjunction.</w:t>
            </w:r>
          </w:p>
        </w:tc>
        <w:tc>
          <w:tcPr>
            <w:tcW w:w="1094"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Not all surgeries allow patients to eat within 24 hours after the procedure.</w:t>
            </w:r>
          </w:p>
        </w:tc>
        <w:tc>
          <w:tcPr>
            <w:tcW w:w="1818"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Remove (&lt;24h).</w:t>
            </w:r>
          </w:p>
        </w:tc>
      </w:tr>
      <w:tr w:rsidR="00A0133F" w:rsidRPr="00BD3F98" w:rsidTr="0059780D">
        <w:tc>
          <w:tcPr>
            <w:tcW w:w="377"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17</w:t>
            </w:r>
          </w:p>
        </w:tc>
        <w:tc>
          <w:tcPr>
            <w:tcW w:w="1711"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 xml:space="preserve">Provide comfort </w:t>
            </w:r>
            <w:r w:rsidR="00F83E5E" w:rsidRPr="00BD3F98">
              <w:rPr>
                <w:kern w:val="2"/>
                <w:sz w:val="24"/>
                <w:szCs w:val="24"/>
              </w:rPr>
              <w:t xml:space="preserve">care </w:t>
            </w:r>
            <w:r w:rsidRPr="00BD3F98">
              <w:rPr>
                <w:kern w:val="2"/>
                <w:sz w:val="24"/>
                <w:szCs w:val="24"/>
              </w:rPr>
              <w:t>and reorientation through cognitive stimulation, such as talking to the patient about people, things, and events they are familiar with, to help them regain their orientation.</w:t>
            </w:r>
          </w:p>
        </w:tc>
        <w:tc>
          <w:tcPr>
            <w:tcW w:w="1094"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The specific operational details of cognitive stimulation are not detailed enough.</w:t>
            </w:r>
          </w:p>
        </w:tc>
        <w:tc>
          <w:tcPr>
            <w:tcW w:w="1818" w:type="pct"/>
            <w:tcBorders>
              <w:top w:val="nil"/>
              <w:bottom w:val="nil"/>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Three "3 Questions" training sessions daily (time/location/person).</w:t>
            </w:r>
          </w:p>
        </w:tc>
      </w:tr>
      <w:tr w:rsidR="00A0133F" w:rsidRPr="00BD3F98" w:rsidTr="0059780D">
        <w:tc>
          <w:tcPr>
            <w:tcW w:w="377" w:type="pct"/>
            <w:tcBorders>
              <w:top w:val="nil"/>
              <w:bottom w:val="single" w:sz="6" w:space="0" w:color="000000"/>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23, 24, and 25</w:t>
            </w:r>
          </w:p>
        </w:tc>
        <w:tc>
          <w:tcPr>
            <w:tcW w:w="1711" w:type="pct"/>
            <w:tcBorders>
              <w:top w:val="nil"/>
              <w:bottom w:val="single" w:sz="6" w:space="0" w:color="000000"/>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Establish a nutrition support team (physician, nurse, nutritionist) and a delirium management team to develop individualized plans.</w:t>
            </w:r>
          </w:p>
        </w:tc>
        <w:tc>
          <w:tcPr>
            <w:tcW w:w="1094" w:type="pct"/>
            <w:tcBorders>
              <w:top w:val="nil"/>
              <w:bottom w:val="single" w:sz="6" w:space="0" w:color="000000"/>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t>The team's roles and responsibilities are not clearly defined</w:t>
            </w:r>
            <w:r w:rsidR="00F83E5E" w:rsidRPr="00BD3F98">
              <w:rPr>
                <w:kern w:val="2"/>
                <w:sz w:val="24"/>
                <w:szCs w:val="24"/>
              </w:rPr>
              <w:t>. T</w:t>
            </w:r>
            <w:r w:rsidRPr="00BD3F98">
              <w:rPr>
                <w:kern w:val="2"/>
                <w:sz w:val="24"/>
                <w:szCs w:val="24"/>
              </w:rPr>
              <w:t xml:space="preserve">here is a lack of standardized </w:t>
            </w:r>
            <w:r w:rsidRPr="00BD3F98">
              <w:rPr>
                <w:kern w:val="2"/>
                <w:sz w:val="24"/>
                <w:szCs w:val="24"/>
              </w:rPr>
              <w:lastRenderedPageBreak/>
              <w:t>communication mechanisms; and the timing of intervention measures is vague.</w:t>
            </w:r>
          </w:p>
        </w:tc>
        <w:tc>
          <w:tcPr>
            <w:tcW w:w="1818" w:type="pct"/>
            <w:tcBorders>
              <w:top w:val="nil"/>
              <w:bottom w:val="single" w:sz="6" w:space="0" w:color="000000"/>
            </w:tcBorders>
            <w:shd w:val="clear" w:color="auto" w:fill="FFFFFF"/>
          </w:tcPr>
          <w:p w:rsidR="00A0133F" w:rsidRPr="00BD3F98" w:rsidRDefault="00A0133F" w:rsidP="00F83E5E">
            <w:pPr>
              <w:adjustRightInd w:val="0"/>
              <w:snapToGrid w:val="0"/>
              <w:jc w:val="left"/>
              <w:rPr>
                <w:kern w:val="2"/>
                <w:sz w:val="24"/>
                <w:szCs w:val="24"/>
              </w:rPr>
            </w:pPr>
            <w:r w:rsidRPr="00BD3F98">
              <w:rPr>
                <w:kern w:val="2"/>
                <w:sz w:val="24"/>
                <w:szCs w:val="24"/>
              </w:rPr>
              <w:lastRenderedPageBreak/>
              <w:t>Preope</w:t>
            </w:r>
            <w:r w:rsidR="00F83E5E" w:rsidRPr="00BD3F98">
              <w:rPr>
                <w:kern w:val="2"/>
                <w:sz w:val="24"/>
                <w:szCs w:val="24"/>
              </w:rPr>
              <w:t>rative nutritional screening should be</w:t>
            </w:r>
            <w:r w:rsidRPr="00BD3F98">
              <w:rPr>
                <w:kern w:val="2"/>
                <w:sz w:val="24"/>
                <w:szCs w:val="24"/>
              </w:rPr>
              <w:t xml:space="preserve"> completed within 24 hours of patient admission</w:t>
            </w:r>
            <w:r w:rsidR="00F83E5E" w:rsidRPr="00BD3F98">
              <w:rPr>
                <w:kern w:val="2"/>
                <w:sz w:val="24"/>
                <w:szCs w:val="24"/>
              </w:rPr>
              <w:t>. F</w:t>
            </w:r>
            <w:r w:rsidRPr="00BD3F98">
              <w:rPr>
                <w:kern w:val="2"/>
                <w:sz w:val="24"/>
                <w:szCs w:val="24"/>
              </w:rPr>
              <w:t xml:space="preserve">or patients </w:t>
            </w:r>
            <w:r w:rsidR="00F83E5E" w:rsidRPr="00BD3F98">
              <w:rPr>
                <w:kern w:val="2"/>
                <w:sz w:val="24"/>
                <w:szCs w:val="24"/>
              </w:rPr>
              <w:t>at</w:t>
            </w:r>
            <w:r w:rsidRPr="00BD3F98">
              <w:rPr>
                <w:kern w:val="2"/>
                <w:sz w:val="24"/>
                <w:szCs w:val="24"/>
              </w:rPr>
              <w:t xml:space="preserve"> nutritional risks, a comprehensive nutritional assessment and </w:t>
            </w:r>
            <w:r w:rsidRPr="00BD3F98">
              <w:rPr>
                <w:kern w:val="2"/>
                <w:sz w:val="24"/>
                <w:szCs w:val="24"/>
              </w:rPr>
              <w:lastRenderedPageBreak/>
              <w:t xml:space="preserve">treatment plan </w:t>
            </w:r>
            <w:r w:rsidR="00F83E5E" w:rsidRPr="00BD3F98">
              <w:rPr>
                <w:kern w:val="2"/>
                <w:sz w:val="24"/>
                <w:szCs w:val="24"/>
              </w:rPr>
              <w:t>should be developed within 48 hours. A</w:t>
            </w:r>
            <w:r w:rsidRPr="00BD3F98">
              <w:rPr>
                <w:kern w:val="2"/>
                <w:sz w:val="24"/>
                <w:szCs w:val="24"/>
              </w:rPr>
              <w:t xml:space="preserve">nesthesia risk assessment and medication adjustments </w:t>
            </w:r>
            <w:r w:rsidR="00F83E5E" w:rsidRPr="00BD3F98">
              <w:rPr>
                <w:kern w:val="2"/>
                <w:sz w:val="24"/>
                <w:szCs w:val="24"/>
              </w:rPr>
              <w:t>should be</w:t>
            </w:r>
            <w:r w:rsidRPr="00BD3F98">
              <w:rPr>
                <w:kern w:val="2"/>
                <w:sz w:val="24"/>
                <w:szCs w:val="24"/>
              </w:rPr>
              <w:t xml:space="preserve"> completed before anesthesia induction</w:t>
            </w:r>
            <w:r w:rsidR="00F83E5E" w:rsidRPr="00BD3F98">
              <w:rPr>
                <w:kern w:val="2"/>
                <w:sz w:val="24"/>
                <w:szCs w:val="24"/>
              </w:rPr>
              <w:t>. P</w:t>
            </w:r>
            <w:r w:rsidRPr="00BD3F98">
              <w:rPr>
                <w:kern w:val="2"/>
                <w:sz w:val="24"/>
                <w:szCs w:val="24"/>
              </w:rPr>
              <w:t xml:space="preserve">atient consciousness </w:t>
            </w:r>
            <w:r w:rsidR="00F83E5E" w:rsidRPr="00BD3F98">
              <w:rPr>
                <w:kern w:val="2"/>
                <w:sz w:val="24"/>
                <w:szCs w:val="24"/>
              </w:rPr>
              <w:t>i</w:t>
            </w:r>
            <w:r w:rsidRPr="00BD3F98">
              <w:rPr>
                <w:kern w:val="2"/>
                <w:sz w:val="24"/>
                <w:szCs w:val="24"/>
              </w:rPr>
              <w:t>s assessed within 2 hours postoperatively</w:t>
            </w:r>
            <w:r w:rsidR="00F83E5E" w:rsidRPr="00BD3F98">
              <w:rPr>
                <w:kern w:val="2"/>
                <w:sz w:val="24"/>
                <w:szCs w:val="24"/>
              </w:rPr>
              <w:t>. E</w:t>
            </w:r>
            <w:r w:rsidRPr="00BD3F98">
              <w:rPr>
                <w:kern w:val="2"/>
                <w:sz w:val="24"/>
                <w:szCs w:val="24"/>
              </w:rPr>
              <w:t xml:space="preserve">arly nutritional support </w:t>
            </w:r>
            <w:r w:rsidR="00F83E5E" w:rsidRPr="00BD3F98">
              <w:rPr>
                <w:kern w:val="2"/>
                <w:sz w:val="24"/>
                <w:szCs w:val="24"/>
              </w:rPr>
              <w:t>i</w:t>
            </w:r>
            <w:r w:rsidRPr="00BD3F98">
              <w:rPr>
                <w:kern w:val="2"/>
                <w:sz w:val="24"/>
                <w:szCs w:val="24"/>
              </w:rPr>
              <w:t xml:space="preserve">s initiated within 6 hours (for eligible patients). An electronic system </w:t>
            </w:r>
            <w:r w:rsidR="00F83E5E" w:rsidRPr="00BD3F98">
              <w:rPr>
                <w:kern w:val="2"/>
                <w:sz w:val="24"/>
                <w:szCs w:val="24"/>
              </w:rPr>
              <w:t>i</w:t>
            </w:r>
            <w:r w:rsidRPr="00BD3F98">
              <w:rPr>
                <w:kern w:val="2"/>
                <w:sz w:val="24"/>
                <w:szCs w:val="24"/>
              </w:rPr>
              <w:t>s used to set reminders for key interventions. The monitoring team regularly check</w:t>
            </w:r>
            <w:r w:rsidR="00F83E5E" w:rsidRPr="00BD3F98">
              <w:rPr>
                <w:kern w:val="2"/>
                <w:sz w:val="24"/>
                <w:szCs w:val="24"/>
              </w:rPr>
              <w:t>s</w:t>
            </w:r>
            <w:r w:rsidRPr="00BD3F98">
              <w:rPr>
                <w:kern w:val="2"/>
                <w:sz w:val="24"/>
                <w:szCs w:val="24"/>
              </w:rPr>
              <w:t xml:space="preserve"> the implementation time of interventions, promptly identifying and addressing any delays to ensure timely implementation.</w:t>
            </w:r>
          </w:p>
        </w:tc>
      </w:tr>
    </w:tbl>
    <w:p w:rsidR="00A0133F" w:rsidRPr="00BD3F98" w:rsidRDefault="00A0133F" w:rsidP="00A0133F">
      <w:pPr>
        <w:widowControl w:val="0"/>
        <w:adjustRightInd w:val="0"/>
        <w:snapToGrid w:val="0"/>
        <w:spacing w:after="0" w:line="240" w:lineRule="auto"/>
        <w:jc w:val="both"/>
        <w:rPr>
          <w:rFonts w:ascii="Times New Roman" w:hAnsi="Times New Roman" w:cs="Times New Roman"/>
          <w:kern w:val="2"/>
          <w:sz w:val="24"/>
          <w:szCs w:val="24"/>
        </w:rPr>
      </w:pPr>
      <w:r w:rsidRPr="00BD3F98">
        <w:rPr>
          <w:rFonts w:ascii="Times New Roman" w:hAnsi="Times New Roman" w:cs="Times New Roman"/>
          <w:kern w:val="2"/>
          <w:sz w:val="24"/>
          <w:szCs w:val="24"/>
        </w:rPr>
        <w:lastRenderedPageBreak/>
        <w:t xml:space="preserve">                                        </w:t>
      </w:r>
    </w:p>
    <w:p w:rsidR="00A0133F" w:rsidRPr="00BD3F98" w:rsidRDefault="00A0133F">
      <w:pPr>
        <w:rPr>
          <w:rFonts w:ascii="Times New Roman" w:hAnsi="Times New Roman" w:cs="Times New Roman"/>
          <w:kern w:val="2"/>
          <w:sz w:val="24"/>
          <w:szCs w:val="24"/>
        </w:rPr>
      </w:pPr>
      <w:r w:rsidRPr="00BD3F98">
        <w:rPr>
          <w:rFonts w:ascii="Times New Roman" w:hAnsi="Times New Roman" w:cs="Times New Roman"/>
          <w:kern w:val="2"/>
          <w:sz w:val="24"/>
          <w:szCs w:val="24"/>
        </w:rPr>
        <w:t xml:space="preserve">  </w:t>
      </w:r>
      <w:r w:rsidR="002F0076" w:rsidRPr="00BD3F98">
        <w:rPr>
          <w:rFonts w:ascii="Times New Roman" w:hAnsi="Times New Roman" w:cs="Times New Roman"/>
          <w:sz w:val="24"/>
          <w:szCs w:val="24"/>
        </w:rPr>
        <w:t xml:space="preserve">GLIM, global leadership initiative on malnutrition; </w:t>
      </w:r>
      <w:r w:rsidR="00BF5C05" w:rsidRPr="00BD3F98">
        <w:rPr>
          <w:rFonts w:ascii="Times New Roman" w:hAnsi="Times New Roman" w:cs="Times New Roman"/>
          <w:sz w:val="24"/>
          <w:szCs w:val="24"/>
        </w:rPr>
        <w:t>NRS 2002, nutrition risk screening 2002; PG-SGA, patient-generated subjective global assessment;</w:t>
      </w:r>
      <w:r w:rsidR="002F0076" w:rsidRPr="00BD3F98">
        <w:rPr>
          <w:rFonts w:ascii="Times New Roman" w:hAnsi="Times New Roman" w:cs="Times New Roman"/>
          <w:sz w:val="24"/>
          <w:szCs w:val="24"/>
        </w:rPr>
        <w:t xml:space="preserve"> POD, </w:t>
      </w:r>
      <w:r w:rsidRPr="00BD3F98">
        <w:rPr>
          <w:rFonts w:ascii="Times New Roman" w:hAnsi="Times New Roman" w:cs="Times New Roman"/>
          <w:kern w:val="2"/>
          <w:sz w:val="24"/>
          <w:szCs w:val="24"/>
        </w:rPr>
        <w:t xml:space="preserve"> </w:t>
      </w:r>
      <w:r w:rsidR="002F0076" w:rsidRPr="00BD3F98">
        <w:rPr>
          <w:rFonts w:ascii="Times New Roman" w:hAnsi="Times New Roman" w:cs="Times New Roman"/>
          <w:sz w:val="24"/>
          <w:szCs w:val="24"/>
        </w:rPr>
        <w:t>postoperative delirium</w:t>
      </w:r>
      <w:r w:rsidR="002F0076" w:rsidRPr="00BD3F98">
        <w:rPr>
          <w:rFonts w:ascii="Times New Roman" w:hAnsi="Times New Roman" w:cs="Times New Roman"/>
          <w:sz w:val="24"/>
          <w:szCs w:val="24"/>
        </w:rPr>
        <w:t>.</w:t>
      </w:r>
      <w:r w:rsidRPr="00BD3F98">
        <w:rPr>
          <w:rFonts w:ascii="Times New Roman" w:hAnsi="Times New Roman" w:cs="Times New Roman"/>
          <w:kern w:val="2"/>
          <w:sz w:val="24"/>
          <w:szCs w:val="24"/>
        </w:rPr>
        <w:t xml:space="preserve">                                            </w:t>
      </w:r>
      <w:r w:rsidRPr="00BD3F98">
        <w:rPr>
          <w:rFonts w:ascii="Times New Roman" w:hAnsi="Times New Roman" w:cs="Times New Roman"/>
          <w:kern w:val="2"/>
          <w:sz w:val="24"/>
          <w:szCs w:val="24"/>
        </w:rPr>
        <w:br w:type="page"/>
      </w:r>
    </w:p>
    <w:p w:rsidR="00A0133F" w:rsidRPr="00BD3F98" w:rsidRDefault="00A0133F" w:rsidP="00A0133F">
      <w:pPr>
        <w:widowControl w:val="0"/>
        <w:adjustRightInd w:val="0"/>
        <w:snapToGrid w:val="0"/>
        <w:spacing w:after="0" w:line="240" w:lineRule="auto"/>
        <w:jc w:val="both"/>
        <w:rPr>
          <w:rFonts w:ascii="Times New Roman" w:hAnsi="Times New Roman" w:cs="Times New Roman"/>
          <w:kern w:val="2"/>
          <w:sz w:val="24"/>
          <w:szCs w:val="24"/>
        </w:rPr>
      </w:pPr>
      <w:r w:rsidRPr="00BD3F98">
        <w:rPr>
          <w:rFonts w:ascii="Times New Roman" w:hAnsi="Times New Roman" w:cs="Times New Roman"/>
          <w:kern w:val="2"/>
          <w:sz w:val="24"/>
          <w:szCs w:val="24"/>
        </w:rPr>
        <w:lastRenderedPageBreak/>
        <w:t xml:space="preserve">  </w:t>
      </w:r>
      <w:r w:rsidR="00F83E5E" w:rsidRPr="00BD3F98">
        <w:rPr>
          <w:rFonts w:ascii="Times New Roman" w:hAnsi="Times New Roman" w:cs="Times New Roman"/>
          <w:kern w:val="2"/>
          <w:sz w:val="24"/>
          <w:szCs w:val="24"/>
        </w:rPr>
        <w:t>Table S</w:t>
      </w:r>
      <w:r w:rsidR="00363A31" w:rsidRPr="00BD3F98">
        <w:rPr>
          <w:rFonts w:ascii="Times New Roman" w:hAnsi="Times New Roman" w:cs="Times New Roman"/>
          <w:kern w:val="2"/>
          <w:sz w:val="24"/>
          <w:szCs w:val="24"/>
        </w:rPr>
        <w:t>4</w:t>
      </w:r>
      <w:r w:rsidR="00F83E5E" w:rsidRPr="00BD3F98">
        <w:rPr>
          <w:rFonts w:ascii="Times New Roman" w:hAnsi="Times New Roman" w:cs="Times New Roman"/>
          <w:kern w:val="2"/>
          <w:sz w:val="24"/>
          <w:szCs w:val="24"/>
        </w:rPr>
        <w:t xml:space="preserve">. </w:t>
      </w:r>
      <w:r w:rsidRPr="00BD3F98">
        <w:rPr>
          <w:rFonts w:ascii="Times New Roman" w:hAnsi="Times New Roman" w:cs="Times New Roman"/>
          <w:kern w:val="2"/>
          <w:sz w:val="24"/>
          <w:szCs w:val="24"/>
        </w:rPr>
        <w:t xml:space="preserve">Summary of </w:t>
      </w:r>
      <w:r w:rsidR="00E11F8A" w:rsidRPr="00BD3F98">
        <w:rPr>
          <w:rFonts w:ascii="Times New Roman" w:hAnsi="Times New Roman" w:cs="Times New Roman"/>
          <w:kern w:val="2"/>
          <w:sz w:val="24"/>
          <w:szCs w:val="24"/>
        </w:rPr>
        <w:t>revisions during the second round of Delphi expert consultation.</w:t>
      </w:r>
    </w:p>
    <w:tbl>
      <w:tblPr>
        <w:tblStyle w:val="TableGrid"/>
        <w:tblW w:w="5000" w:type="pct"/>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tblPr>
      <w:tblGrid>
        <w:gridCol w:w="678"/>
        <w:gridCol w:w="198"/>
        <w:gridCol w:w="4857"/>
        <w:gridCol w:w="1670"/>
        <w:gridCol w:w="5773"/>
      </w:tblGrid>
      <w:tr w:rsidR="00E11F8A" w:rsidRPr="00BD3F98" w:rsidTr="008A27F9">
        <w:trPr>
          <w:trHeight w:val="283"/>
          <w:tblHeader/>
        </w:trPr>
        <w:tc>
          <w:tcPr>
            <w:tcW w:w="344" w:type="pct"/>
            <w:gridSpan w:val="2"/>
            <w:tcBorders>
              <w:bottom w:val="single" w:sz="6" w:space="0" w:color="auto"/>
            </w:tcBorders>
            <w:shd w:val="clear" w:color="auto" w:fill="FFFFFF"/>
          </w:tcPr>
          <w:p w:rsidR="00E11F8A" w:rsidRPr="00BD3F98" w:rsidRDefault="00E11F8A" w:rsidP="00E11F8A">
            <w:pPr>
              <w:adjustRightInd w:val="0"/>
              <w:snapToGrid w:val="0"/>
              <w:jc w:val="left"/>
              <w:rPr>
                <w:kern w:val="2"/>
                <w:sz w:val="24"/>
                <w:szCs w:val="24"/>
              </w:rPr>
            </w:pPr>
            <w:bookmarkStart w:id="0" w:name="_GoBack"/>
            <w:r w:rsidRPr="00BD3F98">
              <w:rPr>
                <w:kern w:val="2"/>
                <w:sz w:val="24"/>
                <w:szCs w:val="24"/>
              </w:rPr>
              <w:t>Item</w:t>
            </w:r>
          </w:p>
        </w:tc>
        <w:tc>
          <w:tcPr>
            <w:tcW w:w="1849" w:type="pct"/>
            <w:tcBorders>
              <w:bottom w:val="single" w:sz="6" w:space="0" w:color="auto"/>
            </w:tcBorders>
            <w:shd w:val="clear" w:color="auto" w:fill="FFFFFF"/>
          </w:tcPr>
          <w:p w:rsidR="00E11F8A" w:rsidRPr="00BD3F98" w:rsidRDefault="00E11F8A" w:rsidP="00E11F8A">
            <w:pPr>
              <w:adjustRightInd w:val="0"/>
              <w:snapToGrid w:val="0"/>
              <w:jc w:val="left"/>
              <w:rPr>
                <w:kern w:val="2"/>
                <w:sz w:val="24"/>
                <w:szCs w:val="24"/>
              </w:rPr>
            </w:pPr>
            <w:r w:rsidRPr="00BD3F98">
              <w:rPr>
                <w:kern w:val="2"/>
                <w:sz w:val="24"/>
                <w:szCs w:val="24"/>
              </w:rPr>
              <w:t>Original plan content</w:t>
            </w:r>
          </w:p>
        </w:tc>
        <w:tc>
          <w:tcPr>
            <w:tcW w:w="611" w:type="pct"/>
            <w:tcBorders>
              <w:bottom w:val="single" w:sz="6" w:space="0" w:color="auto"/>
            </w:tcBorders>
            <w:shd w:val="clear" w:color="auto" w:fill="FFFFFF"/>
          </w:tcPr>
          <w:p w:rsidR="00E11F8A" w:rsidRPr="00BD3F98" w:rsidRDefault="00E11F8A" w:rsidP="00E11F8A">
            <w:pPr>
              <w:adjustRightInd w:val="0"/>
              <w:snapToGrid w:val="0"/>
              <w:jc w:val="left"/>
              <w:rPr>
                <w:kern w:val="2"/>
                <w:sz w:val="24"/>
                <w:szCs w:val="24"/>
              </w:rPr>
            </w:pPr>
            <w:r w:rsidRPr="00BD3F98">
              <w:rPr>
                <w:kern w:val="2"/>
                <w:sz w:val="24"/>
                <w:szCs w:val="24"/>
              </w:rPr>
              <w:t>Expert opinions</w:t>
            </w:r>
          </w:p>
        </w:tc>
        <w:tc>
          <w:tcPr>
            <w:tcW w:w="2196" w:type="pct"/>
            <w:tcBorders>
              <w:bottom w:val="single" w:sz="6" w:space="0" w:color="auto"/>
            </w:tcBorders>
            <w:shd w:val="clear" w:color="auto" w:fill="FFFFFF"/>
          </w:tcPr>
          <w:p w:rsidR="00E11F8A" w:rsidRPr="00BD3F98" w:rsidRDefault="00E11F8A" w:rsidP="00E11F8A">
            <w:pPr>
              <w:adjustRightInd w:val="0"/>
              <w:snapToGrid w:val="0"/>
              <w:jc w:val="left"/>
              <w:rPr>
                <w:kern w:val="2"/>
                <w:sz w:val="24"/>
                <w:szCs w:val="24"/>
              </w:rPr>
            </w:pPr>
            <w:r w:rsidRPr="00BD3F98">
              <w:rPr>
                <w:kern w:val="2"/>
                <w:sz w:val="24"/>
                <w:szCs w:val="24"/>
              </w:rPr>
              <w:t>Revisions</w:t>
            </w:r>
          </w:p>
        </w:tc>
      </w:tr>
      <w:tr w:rsidR="00A0133F" w:rsidRPr="00BD3F98" w:rsidTr="008A27F9">
        <w:tc>
          <w:tcPr>
            <w:tcW w:w="263" w:type="pct"/>
            <w:tcBorders>
              <w:top w:val="single" w:sz="6" w:space="0" w:color="auto"/>
              <w:bottom w:val="nil"/>
            </w:tcBorders>
            <w:shd w:val="clear" w:color="auto" w:fill="FFFFFF"/>
          </w:tcPr>
          <w:p w:rsidR="00A0133F" w:rsidRPr="00BD3F98" w:rsidRDefault="00A0133F" w:rsidP="00E11F8A">
            <w:pPr>
              <w:adjustRightInd w:val="0"/>
              <w:snapToGrid w:val="0"/>
              <w:jc w:val="left"/>
              <w:rPr>
                <w:kern w:val="2"/>
                <w:sz w:val="24"/>
                <w:szCs w:val="24"/>
              </w:rPr>
            </w:pPr>
            <w:r w:rsidRPr="00BD3F98">
              <w:rPr>
                <w:kern w:val="2"/>
                <w:sz w:val="24"/>
                <w:szCs w:val="24"/>
              </w:rPr>
              <w:t>6</w:t>
            </w:r>
          </w:p>
        </w:tc>
        <w:tc>
          <w:tcPr>
            <w:tcW w:w="1929" w:type="pct"/>
            <w:gridSpan w:val="2"/>
            <w:tcBorders>
              <w:top w:val="single" w:sz="6" w:space="0" w:color="auto"/>
              <w:bottom w:val="nil"/>
            </w:tcBorders>
            <w:shd w:val="clear" w:color="auto" w:fill="FFFFFF"/>
          </w:tcPr>
          <w:p w:rsidR="00A0133F" w:rsidRPr="00BD3F98" w:rsidRDefault="00A0133F" w:rsidP="00E11F8A">
            <w:pPr>
              <w:adjustRightInd w:val="0"/>
              <w:snapToGrid w:val="0"/>
              <w:jc w:val="left"/>
              <w:rPr>
                <w:kern w:val="2"/>
                <w:sz w:val="24"/>
                <w:szCs w:val="24"/>
              </w:rPr>
            </w:pPr>
            <w:r w:rsidRPr="00BD3F98">
              <w:rPr>
                <w:kern w:val="2"/>
                <w:sz w:val="24"/>
                <w:szCs w:val="24"/>
              </w:rPr>
              <w:t xml:space="preserve">Patients without gastrointestinal motility disorders are advised to fast from solid foods for 6 hours before surgery and from clear liquids for 2 hours before surgery. If the patient has no history of diabetes, it is recommended to drink 400 </w:t>
            </w:r>
            <w:proofErr w:type="spellStart"/>
            <w:r w:rsidRPr="00BD3F98">
              <w:rPr>
                <w:kern w:val="2"/>
                <w:sz w:val="24"/>
                <w:szCs w:val="24"/>
              </w:rPr>
              <w:t>mL</w:t>
            </w:r>
            <w:proofErr w:type="spellEnd"/>
            <w:r w:rsidRPr="00BD3F98">
              <w:rPr>
                <w:kern w:val="2"/>
                <w:sz w:val="24"/>
                <w:szCs w:val="24"/>
              </w:rPr>
              <w:t xml:space="preserve"> of a beverage containing 12.5% ​​carbohydrates 2 hours before surgery, which can alleviate hunger, thirst, and anxiety, and reduce the incidence of postoperative insulin resistance and hyperglycemia.</w:t>
            </w:r>
          </w:p>
        </w:tc>
        <w:tc>
          <w:tcPr>
            <w:tcW w:w="611" w:type="pct"/>
            <w:tcBorders>
              <w:top w:val="single" w:sz="6" w:space="0" w:color="auto"/>
              <w:bottom w:val="nil"/>
            </w:tcBorders>
            <w:shd w:val="clear" w:color="auto" w:fill="FFFFFF"/>
          </w:tcPr>
          <w:p w:rsidR="00A0133F" w:rsidRPr="00BD3F98" w:rsidRDefault="00A0133F" w:rsidP="00E11F8A">
            <w:pPr>
              <w:adjustRightInd w:val="0"/>
              <w:snapToGrid w:val="0"/>
              <w:jc w:val="left"/>
              <w:rPr>
                <w:kern w:val="2"/>
                <w:sz w:val="24"/>
                <w:szCs w:val="24"/>
              </w:rPr>
            </w:pPr>
            <w:r w:rsidRPr="00BD3F98">
              <w:rPr>
                <w:kern w:val="2"/>
                <w:sz w:val="24"/>
                <w:szCs w:val="24"/>
              </w:rPr>
              <w:t>In clinical practice, the individual circumstances of patients must be taken into account.</w:t>
            </w:r>
          </w:p>
        </w:tc>
        <w:tc>
          <w:tcPr>
            <w:tcW w:w="2195" w:type="pct"/>
            <w:tcBorders>
              <w:top w:val="single" w:sz="6" w:space="0" w:color="auto"/>
              <w:bottom w:val="nil"/>
            </w:tcBorders>
            <w:shd w:val="clear" w:color="auto" w:fill="FFFFFF"/>
          </w:tcPr>
          <w:p w:rsidR="00A0133F" w:rsidRPr="00BD3F98" w:rsidRDefault="00A0133F" w:rsidP="008A27F9">
            <w:pPr>
              <w:adjustRightInd w:val="0"/>
              <w:snapToGrid w:val="0"/>
              <w:jc w:val="left"/>
              <w:rPr>
                <w:kern w:val="2"/>
                <w:sz w:val="24"/>
                <w:szCs w:val="24"/>
              </w:rPr>
            </w:pPr>
            <w:r w:rsidRPr="00BD3F98">
              <w:rPr>
                <w:kern w:val="2"/>
                <w:sz w:val="24"/>
                <w:szCs w:val="24"/>
              </w:rPr>
              <w:t xml:space="preserve">For patients without gastrointestinal motility disorders, it is recommended to fast from solid food for 6 hours before surgery and from clear liquids for 2 hours before surgery. If there is no history of diabetes, it is recommended to drink 400 </w:t>
            </w:r>
            <w:proofErr w:type="spellStart"/>
            <w:r w:rsidRPr="00BD3F98">
              <w:rPr>
                <w:kern w:val="2"/>
                <w:sz w:val="24"/>
                <w:szCs w:val="24"/>
              </w:rPr>
              <w:t>mL</w:t>
            </w:r>
            <w:proofErr w:type="spellEnd"/>
            <w:r w:rsidRPr="00BD3F98">
              <w:rPr>
                <w:kern w:val="2"/>
                <w:sz w:val="24"/>
                <w:szCs w:val="24"/>
              </w:rPr>
              <w:t xml:space="preserve"> of a beverage containing 12.5% ​​carbohydrates 2 hours before surgery to alleviate discomfort and reduce postoperative risks.</w:t>
            </w:r>
            <w:r w:rsidR="008A27F9" w:rsidRPr="00BD3F98">
              <w:rPr>
                <w:kern w:val="2"/>
                <w:sz w:val="24"/>
                <w:szCs w:val="24"/>
              </w:rPr>
              <w:t xml:space="preserve"> </w:t>
            </w:r>
            <w:r w:rsidRPr="00BD3F98">
              <w:rPr>
                <w:kern w:val="2"/>
                <w:sz w:val="24"/>
                <w:szCs w:val="24"/>
              </w:rPr>
              <w:t>In clinical practice, adjustments should be made flexibly based on individual differences such as patient age, underlying diseases, and nutritional status.</w:t>
            </w:r>
          </w:p>
        </w:tc>
      </w:tr>
      <w:tr w:rsidR="00A0133F" w:rsidRPr="00BD3F98" w:rsidTr="008A27F9">
        <w:tc>
          <w:tcPr>
            <w:tcW w:w="263" w:type="pct"/>
            <w:tcBorders>
              <w:top w:val="nil"/>
            </w:tcBorders>
            <w:shd w:val="clear" w:color="auto" w:fill="FFFFFF"/>
          </w:tcPr>
          <w:p w:rsidR="00A0133F" w:rsidRPr="00BD3F98" w:rsidRDefault="00A0133F" w:rsidP="00E11F8A">
            <w:pPr>
              <w:adjustRightInd w:val="0"/>
              <w:snapToGrid w:val="0"/>
              <w:jc w:val="left"/>
              <w:rPr>
                <w:kern w:val="2"/>
                <w:sz w:val="24"/>
                <w:szCs w:val="24"/>
              </w:rPr>
            </w:pPr>
            <w:r w:rsidRPr="00BD3F98">
              <w:rPr>
                <w:kern w:val="2"/>
                <w:sz w:val="24"/>
                <w:szCs w:val="24"/>
              </w:rPr>
              <w:t>23</w:t>
            </w:r>
          </w:p>
        </w:tc>
        <w:tc>
          <w:tcPr>
            <w:tcW w:w="1929" w:type="pct"/>
            <w:gridSpan w:val="2"/>
            <w:tcBorders>
              <w:top w:val="nil"/>
            </w:tcBorders>
            <w:shd w:val="clear" w:color="auto" w:fill="FFFFFF"/>
          </w:tcPr>
          <w:p w:rsidR="00A0133F" w:rsidRPr="00BD3F98" w:rsidRDefault="00A0133F" w:rsidP="00E11F8A">
            <w:pPr>
              <w:adjustRightInd w:val="0"/>
              <w:snapToGrid w:val="0"/>
              <w:jc w:val="left"/>
              <w:rPr>
                <w:kern w:val="2"/>
                <w:sz w:val="24"/>
                <w:szCs w:val="24"/>
              </w:rPr>
            </w:pPr>
            <w:r w:rsidRPr="00BD3F98">
              <w:rPr>
                <w:kern w:val="2"/>
                <w:sz w:val="24"/>
                <w:szCs w:val="24"/>
              </w:rPr>
              <w:t>Establish a nutrition support team (physician, nurse, nutritionist) and a delirium management team to develop individualized plans.</w:t>
            </w:r>
          </w:p>
        </w:tc>
        <w:tc>
          <w:tcPr>
            <w:tcW w:w="611" w:type="pct"/>
            <w:tcBorders>
              <w:top w:val="nil"/>
            </w:tcBorders>
            <w:shd w:val="clear" w:color="auto" w:fill="FFFFFF"/>
          </w:tcPr>
          <w:p w:rsidR="00A0133F" w:rsidRPr="00BD3F98" w:rsidRDefault="00A0133F" w:rsidP="00E11F8A">
            <w:pPr>
              <w:adjustRightInd w:val="0"/>
              <w:snapToGrid w:val="0"/>
              <w:jc w:val="left"/>
              <w:rPr>
                <w:kern w:val="2"/>
                <w:sz w:val="24"/>
                <w:szCs w:val="24"/>
              </w:rPr>
            </w:pPr>
            <w:r w:rsidRPr="00BD3F98">
              <w:rPr>
                <w:rFonts w:eastAsiaTheme="minorEastAsia"/>
                <w:kern w:val="2"/>
                <w:sz w:val="24"/>
                <w:szCs w:val="24"/>
              </w:rPr>
              <w:t>The team collaboration process is unclear, and the responsibilities of each role are not defined.</w:t>
            </w:r>
          </w:p>
        </w:tc>
        <w:tc>
          <w:tcPr>
            <w:tcW w:w="2195" w:type="pct"/>
            <w:tcBorders>
              <w:top w:val="nil"/>
            </w:tcBorders>
            <w:shd w:val="clear" w:color="auto" w:fill="FFFFFF"/>
          </w:tcPr>
          <w:p w:rsidR="00A0133F" w:rsidRPr="00BD3F98" w:rsidRDefault="002F0076" w:rsidP="008A27F9">
            <w:pPr>
              <w:adjustRightInd w:val="0"/>
              <w:snapToGrid w:val="0"/>
              <w:jc w:val="left"/>
              <w:rPr>
                <w:kern w:val="2"/>
                <w:sz w:val="24"/>
                <w:szCs w:val="24"/>
              </w:rPr>
            </w:pPr>
            <w:r w:rsidRPr="00BD3F98">
              <w:rPr>
                <w:rFonts w:eastAsiaTheme="minorEastAsia"/>
                <w:kern w:val="2"/>
                <w:sz w:val="24"/>
                <w:szCs w:val="24"/>
              </w:rPr>
              <w:t>Physician</w:t>
            </w:r>
            <w:r w:rsidR="00A0133F" w:rsidRPr="00BD3F98">
              <w:rPr>
                <w:rFonts w:eastAsiaTheme="minorEastAsia"/>
                <w:kern w:val="2"/>
                <w:sz w:val="24"/>
                <w:szCs w:val="24"/>
              </w:rPr>
              <w:t xml:space="preserve">s develop surgical and treatment plans, nutritionists assess nutritional status, nurses implement screening and daily monitoring, anesthesiologists manage </w:t>
            </w:r>
            <w:proofErr w:type="spellStart"/>
            <w:r w:rsidR="00A0133F" w:rsidRPr="00BD3F98">
              <w:rPr>
                <w:rFonts w:eastAsiaTheme="minorEastAsia"/>
                <w:kern w:val="2"/>
                <w:sz w:val="24"/>
                <w:szCs w:val="24"/>
              </w:rPr>
              <w:t>intraoperative</w:t>
            </w:r>
            <w:proofErr w:type="spellEnd"/>
            <w:r w:rsidR="00A0133F" w:rsidRPr="00BD3F98">
              <w:rPr>
                <w:rFonts w:eastAsiaTheme="minorEastAsia"/>
                <w:kern w:val="2"/>
                <w:sz w:val="24"/>
                <w:szCs w:val="24"/>
              </w:rPr>
              <w:t xml:space="preserve"> procedures, and rehabilitation specialists provide early mobilization guidance. Increase the frequency of regular multidisciplinary meetings (e.g., weekly case discussion).</w:t>
            </w:r>
          </w:p>
        </w:tc>
      </w:tr>
      <w:bookmarkEnd w:id="0"/>
    </w:tbl>
    <w:p w:rsidR="00A0133F" w:rsidRPr="00BD3F98" w:rsidRDefault="00A0133F" w:rsidP="00A0133F">
      <w:pPr>
        <w:widowControl w:val="0"/>
        <w:adjustRightInd w:val="0"/>
        <w:snapToGrid w:val="0"/>
        <w:spacing w:after="0" w:line="240" w:lineRule="auto"/>
        <w:jc w:val="both"/>
        <w:rPr>
          <w:rFonts w:ascii="Times New Roman" w:hAnsi="Times New Roman" w:cs="Times New Roman"/>
          <w:kern w:val="2"/>
          <w:sz w:val="24"/>
          <w:szCs w:val="24"/>
        </w:rPr>
      </w:pPr>
    </w:p>
    <w:p w:rsidR="00A0133F" w:rsidRPr="00BD3F98" w:rsidRDefault="00A0133F" w:rsidP="00A0133F">
      <w:pPr>
        <w:widowControl w:val="0"/>
        <w:adjustRightInd w:val="0"/>
        <w:snapToGrid w:val="0"/>
        <w:spacing w:after="0" w:line="240" w:lineRule="auto"/>
        <w:jc w:val="both"/>
        <w:rPr>
          <w:rFonts w:ascii="Times New Roman" w:hAnsi="Times New Roman" w:cs="Times New Roman"/>
          <w:kern w:val="2"/>
          <w:sz w:val="24"/>
          <w:szCs w:val="24"/>
        </w:rPr>
      </w:pPr>
    </w:p>
    <w:sectPr w:rsidR="00A0133F" w:rsidRPr="00BD3F98" w:rsidSect="00A0133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等线">
    <w:altName w:val="HYZhongHei 197"/>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宋体">
    <w:altName w:val="Arial Unicode MS"/>
    <w:charset w:val="7A"/>
    <w:family w:val="auto"/>
    <w:pitch w:val="default"/>
    <w:sig w:usb0="00000000" w:usb1="288F0000" w:usb2="0000000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HYZhongHei 197"/>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drawingGridHorizontalSpacing w:val="110"/>
  <w:displayHorizontalDrawingGridEvery w:val="2"/>
  <w:characterSpacingControl w:val="doNotCompress"/>
  <w:compat>
    <w:useFELayout/>
  </w:compat>
  <w:rsids>
    <w:rsidRoot w:val="002B5AEF"/>
    <w:rsid w:val="000C6997"/>
    <w:rsid w:val="001264F3"/>
    <w:rsid w:val="00155EC2"/>
    <w:rsid w:val="00172F77"/>
    <w:rsid w:val="00184EE6"/>
    <w:rsid w:val="00257AB4"/>
    <w:rsid w:val="00276314"/>
    <w:rsid w:val="00284FF3"/>
    <w:rsid w:val="002B15B8"/>
    <w:rsid w:val="002B5AEF"/>
    <w:rsid w:val="002F0076"/>
    <w:rsid w:val="00306EE7"/>
    <w:rsid w:val="00341B1C"/>
    <w:rsid w:val="00363A31"/>
    <w:rsid w:val="00385A4A"/>
    <w:rsid w:val="00422733"/>
    <w:rsid w:val="004B7E22"/>
    <w:rsid w:val="00511368"/>
    <w:rsid w:val="00535E2D"/>
    <w:rsid w:val="0059780D"/>
    <w:rsid w:val="005B7E21"/>
    <w:rsid w:val="005D10F6"/>
    <w:rsid w:val="00633061"/>
    <w:rsid w:val="00646575"/>
    <w:rsid w:val="00651E22"/>
    <w:rsid w:val="006F14FB"/>
    <w:rsid w:val="007407B8"/>
    <w:rsid w:val="007443E1"/>
    <w:rsid w:val="00770A6A"/>
    <w:rsid w:val="00791187"/>
    <w:rsid w:val="0079722F"/>
    <w:rsid w:val="007B5CDA"/>
    <w:rsid w:val="007C4444"/>
    <w:rsid w:val="008A27F9"/>
    <w:rsid w:val="008B1728"/>
    <w:rsid w:val="0091492A"/>
    <w:rsid w:val="00960439"/>
    <w:rsid w:val="00A0133F"/>
    <w:rsid w:val="00A57E58"/>
    <w:rsid w:val="00A8371E"/>
    <w:rsid w:val="00A87C5D"/>
    <w:rsid w:val="00B61E30"/>
    <w:rsid w:val="00B77911"/>
    <w:rsid w:val="00BD3F98"/>
    <w:rsid w:val="00BF5C05"/>
    <w:rsid w:val="00C07E8A"/>
    <w:rsid w:val="00C60F33"/>
    <w:rsid w:val="00CB2C4A"/>
    <w:rsid w:val="00DB42B4"/>
    <w:rsid w:val="00DE7FED"/>
    <w:rsid w:val="00E11F8A"/>
    <w:rsid w:val="00E45ABA"/>
    <w:rsid w:val="00F4192C"/>
    <w:rsid w:val="00F83E5E"/>
    <w:rsid w:val="00FE5D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A0133F"/>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2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7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Word</cp:lastModifiedBy>
  <cp:revision>65</cp:revision>
  <dcterms:created xsi:type="dcterms:W3CDTF">2026-05-28T02:06:00Z</dcterms:created>
  <dcterms:modified xsi:type="dcterms:W3CDTF">2026-05-29T01:35:00Z</dcterms:modified>
</cp:coreProperties>
</file>