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51051">
      <w:pPr>
        <w:framePr w:w="9815" w:hSpace="180" w:wrap="around" w:vAnchor="page" w:hAnchor="page" w:x="978" w:y="1049"/>
      </w:pPr>
    </w:p>
    <w:p w14:paraId="43563B75">
      <w:pPr>
        <w:framePr w:w="9815" w:hSpace="180" w:wrap="around" w:vAnchor="page" w:hAnchor="page" w:x="978" w:y="1049"/>
        <w:rPr>
          <w:rFonts w:hint="default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</w:rPr>
        <w:t>Supplementary Table 1.</w:t>
      </w:r>
      <w:r>
        <w:rPr>
          <w:rFonts w:hint="default" w:ascii="Times New Roman" w:hAnsi="Times New Roman" w:cs="Times New Roman"/>
          <w:b w:val="0"/>
          <w:color w:val="000000"/>
          <w:sz w:val="24"/>
          <w:szCs w:val="24"/>
        </w:rPr>
        <w:t xml:space="preserve"> Summary of key findings from previous studies on the association between CFICB/FICB and postoperative delirium</w:t>
      </w:r>
    </w:p>
    <w:tbl>
      <w:tblPr>
        <w:tblStyle w:val="3"/>
        <w:tblpPr w:leftFromText="180" w:rightFromText="180" w:vertAnchor="page" w:horzAnchor="page" w:tblpX="978" w:tblpY="1389"/>
        <w:tblOverlap w:val="never"/>
        <w:tblW w:w="9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638"/>
        <w:gridCol w:w="1359"/>
        <w:gridCol w:w="853"/>
        <w:gridCol w:w="1060"/>
        <w:gridCol w:w="2999"/>
        <w:gridCol w:w="1285"/>
      </w:tblGrid>
      <w:tr w14:paraId="6EE4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top"/>
          </w:tcPr>
          <w:p w14:paraId="3134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Study</w:t>
            </w:r>
          </w:p>
        </w:tc>
        <w:tc>
          <w:tcPr>
            <w:tcW w:w="638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2F7A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Year</w:t>
            </w:r>
          </w:p>
        </w:tc>
        <w:tc>
          <w:tcPr>
            <w:tcW w:w="135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3C4C7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Design</w:t>
            </w:r>
          </w:p>
        </w:tc>
        <w:tc>
          <w:tcPr>
            <w:tcW w:w="853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1D6EC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Sample Size</w:t>
            </w:r>
          </w:p>
        </w:tc>
        <w:tc>
          <w:tcPr>
            <w:tcW w:w="1060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459AA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/>
                <w:sz w:val="20"/>
                <w:szCs w:val="20"/>
                <w:highlight w:val="none"/>
                <w:lang w:val="en-US" w:eastAsia="zh-CN"/>
              </w:rPr>
              <w:t>opioid</w:t>
            </w:r>
          </w:p>
        </w:tc>
        <w:tc>
          <w:tcPr>
            <w:tcW w:w="2999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2026E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shd w:val="clear" w:fill="FFFFFF"/>
              </w:rPr>
              <w:t>Key Finding</w:t>
            </w:r>
          </w:p>
        </w:tc>
        <w:tc>
          <w:tcPr>
            <w:tcW w:w="1285" w:type="dxa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top"/>
          </w:tcPr>
          <w:p w14:paraId="6EE7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000000"/>
                <w:sz w:val="20"/>
                <w:szCs w:val="20"/>
                <w:vertAlign w:val="baseline"/>
                <w:lang w:val="en-US" w:eastAsia="zh-CN"/>
              </w:rPr>
              <w:t>Consistency</w:t>
            </w:r>
          </w:p>
        </w:tc>
      </w:tr>
      <w:tr w14:paraId="35DF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B89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  <w:t xml:space="preserve">Mitchell 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0"/>
                <w:szCs w:val="20"/>
              </w:rPr>
              <w:t>et al.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23</w:t>
            </w:r>
          </w:p>
        </w:tc>
        <w:tc>
          <w:tcPr>
            <w:tcW w:w="638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9E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2025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7B5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Retrospective cohort</w:t>
            </w:r>
          </w:p>
        </w:tc>
        <w:tc>
          <w:tcPr>
            <w:tcW w:w="85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5023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209</w:t>
            </w:r>
          </w:p>
        </w:tc>
        <w:tc>
          <w:tcPr>
            <w:tcW w:w="106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BB0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None</w:t>
            </w:r>
          </w:p>
        </w:tc>
        <w:tc>
          <w:tcPr>
            <w:tcW w:w="2999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87A8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CFICB improved pain and reduced opioid use, but delirium rate similar to control</w:t>
            </w:r>
          </w:p>
        </w:tc>
        <w:tc>
          <w:tcPr>
            <w:tcW w:w="128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82B6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Yes</w:t>
            </w:r>
          </w:p>
        </w:tc>
      </w:tr>
      <w:tr w14:paraId="29B6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8A12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Libos Zabala </w:t>
            </w:r>
          </w:p>
          <w:p w14:paraId="32C4F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et al.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24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B834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2025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077D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Multicenter retrospective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1DD9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69D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Not Reported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E63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No significant association between FICB and delirium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= 0.442)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4504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Yes</w:t>
            </w:r>
          </w:p>
        </w:tc>
      </w:tr>
      <w:tr w14:paraId="5545B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09D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b w:val="0"/>
                <w:color w:val="000000"/>
                <w:sz w:val="20"/>
                <w:szCs w:val="20"/>
              </w:rPr>
              <w:t>Salottolo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et al.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25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A2A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2022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5C67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Prospective observational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3CB4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517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A5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None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A71E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POD rate: 5.8% (FICB) vs 4.4% (control)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 w:eastAsia="zh-CN"/>
              </w:rPr>
              <w:t>OR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= 1.2,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= 0.65)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1883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Yes</w:t>
            </w:r>
          </w:p>
        </w:tc>
      </w:tr>
      <w:tr w14:paraId="5AE4F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7C20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Mouzopoulos et al.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</w:p>
          <w:p w14:paraId="391AF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(high-risk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subgroup)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BE9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2009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9343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RCT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9B01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207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0CB79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None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800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FICB not superior to placebo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 w:eastAsia="zh-CN"/>
              </w:rPr>
              <w:t>RR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= 0.84, 95%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 w:eastAsia="zh-CN"/>
              </w:rPr>
              <w:t>CI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: 0.47–1.52)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1530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Yes</w:t>
            </w:r>
          </w:p>
        </w:tc>
      </w:tr>
      <w:tr w14:paraId="2AC1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2157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等线" w:cs="Times New Roman"/>
                <w:b w:val="0"/>
                <w:color w:val="000000"/>
                <w:sz w:val="20"/>
                <w:szCs w:val="20"/>
              </w:rPr>
              <w:t>Corbella-Giménez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 xml:space="preserve"> </w:t>
            </w:r>
          </w:p>
          <w:p w14:paraId="79BCE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et al.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27</w:t>
            </w: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E76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2025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41FC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Before-after study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1296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261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59C7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None</w:t>
            </w: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2A91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Optimized pathway including FICB reduced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POD (44%→29%,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= 0.017)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32BEA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Partial</w:t>
            </w:r>
          </w:p>
        </w:tc>
      </w:tr>
      <w:tr w14:paraId="1EDAA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31482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Finch et al.</w:t>
            </w: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superscript"/>
                <w:lang w:val="en-US" w:eastAsia="zh-CN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43CA4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2026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67196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Systematic review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1E847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1205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61EAB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eastAsia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Not Reported</w:t>
            </w:r>
          </w:p>
        </w:tc>
        <w:tc>
          <w:tcPr>
            <w:tcW w:w="2999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0BF3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>Meta-analysis: FICB reduces delirium (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 w:eastAsia="zh-CN"/>
              </w:rPr>
              <w:t>OR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0.46, 95%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 w:eastAsia="zh-CN"/>
              </w:rPr>
              <w:t>CI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0.30-0.69). RCT: no reduction (16% vs 17%,</w:t>
            </w:r>
            <w:r>
              <w:rPr>
                <w:rFonts w:hint="default" w:ascii="Times New Roman" w:hAnsi="Times New Roman" w:eastAsia="宋体" w:cs="Times New Roman"/>
                <w:b w:val="0"/>
                <w:i/>
                <w:iCs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18"/>
                <w:szCs w:val="18"/>
                <w:vertAlign w:val="baseline"/>
                <w:lang w:val="en-US" w:eastAsia="zh-CN"/>
              </w:rPr>
              <w:t xml:space="preserve"> = 0.83)</w:t>
            </w:r>
          </w:p>
        </w:tc>
        <w:tc>
          <w:tcPr>
            <w:tcW w:w="1285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top"/>
          </w:tcPr>
          <w:p w14:paraId="52E67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textAlignment w:val="auto"/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color w:val="000000"/>
                <w:sz w:val="20"/>
                <w:szCs w:val="20"/>
                <w:vertAlign w:val="baseline"/>
                <w:lang w:val="en-US" w:eastAsia="zh-CN"/>
              </w:rPr>
              <w:t>Mixed</w:t>
            </w:r>
          </w:p>
        </w:tc>
      </w:tr>
    </w:tbl>
    <w:p w14:paraId="2930DE6A">
      <w:pPr>
        <w:keepNext w:val="0"/>
        <w:keepLines w:val="0"/>
        <w:pageBreakBefore w:val="0"/>
        <w:widowControl w:val="0"/>
        <w:tabs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ind w:left="-840" w:leftChars="-400" w:firstLine="0" w:firstLineChars="0"/>
        <w:textAlignment w:val="auto"/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</w:rPr>
        <w:t>Abbreviations:</w:t>
      </w:r>
      <w:r>
        <w:rPr>
          <w:rFonts w:hint="default" w:ascii="Times New Roman" w:hAnsi="Times New Roman" w:cs="Times New Roman"/>
          <w:sz w:val="20"/>
          <w:szCs w:val="20"/>
        </w:rPr>
        <w:t xml:space="preserve"> CFICB, continuous fascia iliaca compartment block; FICB, fascia iliaca compartment block; POD, postoperative delirium; RCT, randomized controlled trial; OR, odds ratio; RR, risk ratio; CI, confidence interval.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"</w:t>
      </w:r>
      <w:r>
        <w:rPr>
          <w:rFonts w:hint="default" w:ascii="Times New Roman" w:hAnsi="Times New Roman" w:cs="Times New Roman"/>
          <w:sz w:val="20"/>
          <w:szCs w:val="20"/>
        </w:rPr>
        <w:t>Yes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"</w:t>
      </w:r>
      <w:r>
        <w:rPr>
          <w:rFonts w:hint="default" w:ascii="Times New Roman" w:hAnsi="Times New Roman" w:cs="Times New Roman"/>
          <w:sz w:val="20"/>
          <w:szCs w:val="20"/>
        </w:rPr>
        <w:t xml:space="preserve"> indicates the study reported no independent association between CFICB/FICB and reduced POD risk, aligning with the present series;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"</w:t>
      </w:r>
      <w:r>
        <w:rPr>
          <w:rFonts w:hint="default" w:ascii="Times New Roman" w:hAnsi="Times New Roman" w:cs="Times New Roman"/>
          <w:sz w:val="20"/>
          <w:szCs w:val="20"/>
        </w:rPr>
        <w:t>Partial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"</w:t>
      </w:r>
      <w:r>
        <w:rPr>
          <w:rFonts w:hint="default" w:ascii="Times New Roman" w:hAnsi="Times New Roman" w:cs="Times New Roman"/>
          <w:sz w:val="20"/>
          <w:szCs w:val="20"/>
        </w:rPr>
        <w:t xml:space="preserve"> indicates the observed benefit was achieved with a multimodal approach rather than FIC</w:t>
      </w:r>
      <w:bookmarkStart w:id="0" w:name="_GoBack"/>
      <w:bookmarkEnd w:id="0"/>
      <w:r>
        <w:rPr>
          <w:rFonts w:hint="default" w:ascii="Times New Roman" w:hAnsi="Times New Roman" w:cs="Times New Roman"/>
          <w:sz w:val="20"/>
          <w:szCs w:val="20"/>
        </w:rPr>
        <w:t xml:space="preserve">B alone;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"</w:t>
      </w:r>
      <w:r>
        <w:rPr>
          <w:rFonts w:hint="default" w:ascii="Times New Roman" w:hAnsi="Times New Roman" w:cs="Times New Roman"/>
          <w:sz w:val="20"/>
          <w:szCs w:val="20"/>
        </w:rPr>
        <w:t>Mixed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"</w:t>
      </w:r>
      <w:r>
        <w:rPr>
          <w:rFonts w:hint="default" w:ascii="Times New Roman" w:hAnsi="Times New Roman" w:cs="Times New Roman"/>
          <w:sz w:val="20"/>
          <w:szCs w:val="20"/>
        </w:rPr>
        <w:t xml:space="preserve"> reflects inconsistent evidence (meta-analysis positive, RCT negative).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62CA4"/>
    <w:rsid w:val="03116552"/>
    <w:rsid w:val="122B7495"/>
    <w:rsid w:val="167E47F5"/>
    <w:rsid w:val="16A04880"/>
    <w:rsid w:val="16FB7141"/>
    <w:rsid w:val="22282507"/>
    <w:rsid w:val="27193CE6"/>
    <w:rsid w:val="2A59559A"/>
    <w:rsid w:val="301A1810"/>
    <w:rsid w:val="306861A9"/>
    <w:rsid w:val="396B2D85"/>
    <w:rsid w:val="4F162D7E"/>
    <w:rsid w:val="55897BE2"/>
    <w:rsid w:val="79111BD3"/>
    <w:rsid w:val="7F06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1338</Characters>
  <Lines>0</Lines>
  <Paragraphs>0</Paragraphs>
  <TotalTime>16</TotalTime>
  <ScaleCrop>false</ScaleCrop>
  <LinksUpToDate>false</LinksUpToDate>
  <CharactersWithSpaces>1517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2026-05-04T06:18:00Z</dcterms:created>
  <dc:creator>曹蕾</dc:creator>
  <cp:lastModifiedBy>曹蕾</cp:lastModifiedBy>
  <dcterms:modified xsi:type="dcterms:W3CDTF">2026-06-10T13:38:06Z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7DE30377998C4BEFA78EC699EC932D42_13</vt:lpwstr>
  </property>
  <property fmtid="{D5CDD505-2E9C-101B-9397-08002B2CF9AE}" pid="4" name="KSOTemplateDocerSaveRecord">
    <vt:lpwstr>eyJoZGlkIjoiYzhhYzdhMjIwZWJkMzQ4ZGE3YjQzNTk3ZGZlODVkN2QiLCJ1c2VySWQiOiI0Mzk3NTc2ODYifQ==</vt:lpwstr>
  </property>
</Properties>
</file>