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B0229" w14:textId="22F13B26" w:rsidR="7CC021C9" w:rsidRDefault="7CC021C9" w:rsidP="1CFE082A">
      <w:pPr>
        <w:spacing w:line="480" w:lineRule="auto"/>
        <w:jc w:val="both"/>
        <w:rPr>
          <w:rFonts w:ascii="Times New Roman" w:eastAsia="Times New Roman" w:hAnsi="Times New Roman" w:cs="Times New Roman"/>
          <w:color w:val="000000" w:themeColor="text1"/>
          <w:sz w:val="28"/>
          <w:szCs w:val="28"/>
          <w:lang w:val="en-US"/>
        </w:rPr>
      </w:pPr>
      <w:r w:rsidRPr="1CFE082A">
        <w:rPr>
          <w:rFonts w:ascii="Times New Roman" w:eastAsia="Times New Roman" w:hAnsi="Times New Roman" w:cs="Times New Roman"/>
          <w:b/>
          <w:bCs/>
          <w:color w:val="000000" w:themeColor="text1"/>
          <w:sz w:val="28"/>
          <w:szCs w:val="28"/>
          <w:lang w:val="en-US"/>
        </w:rPr>
        <w:t>Physicochemical Stability and Cross-Context Validation of PEGylated Human Serum Albumin Nanoparticles for Dual Neurotrophin Delivery in the Rabbit Eye and Oxidative Stress Models</w:t>
      </w:r>
    </w:p>
    <w:p w14:paraId="394FFD96" w14:textId="2B66EA7A" w:rsidR="362557B2" w:rsidRDefault="362557B2" w:rsidP="1CFE082A">
      <w:pPr>
        <w:spacing w:after="0" w:line="240" w:lineRule="auto"/>
        <w:jc w:val="both"/>
        <w:rPr>
          <w:rFonts w:ascii="Times New Roman" w:eastAsia="Times New Roman" w:hAnsi="Times New Roman" w:cs="Times New Roman"/>
          <w:color w:val="000000" w:themeColor="text1"/>
          <w:sz w:val="20"/>
          <w:szCs w:val="20"/>
        </w:rPr>
      </w:pPr>
      <w:r w:rsidRPr="1CFE082A">
        <w:rPr>
          <w:rFonts w:ascii="Times New Roman" w:eastAsia="Times New Roman" w:hAnsi="Times New Roman" w:cs="Times New Roman"/>
          <w:color w:val="000000" w:themeColor="text1"/>
          <w:sz w:val="20"/>
          <w:szCs w:val="20"/>
        </w:rPr>
        <w:t>Iga Stukan</w:t>
      </w:r>
      <w:r w:rsidRPr="1CFE082A">
        <w:rPr>
          <w:rFonts w:ascii="Times New Roman" w:eastAsia="Times New Roman" w:hAnsi="Times New Roman" w:cs="Times New Roman"/>
          <w:color w:val="000000" w:themeColor="text1"/>
          <w:sz w:val="20"/>
          <w:szCs w:val="20"/>
          <w:vertAlign w:val="superscript"/>
        </w:rPr>
        <w:t>1,*,</w:t>
      </w:r>
      <w:r w:rsidR="3C8E32CF" w:rsidRPr="1CFE082A">
        <w:rPr>
          <w:rFonts w:ascii="Times New Roman" w:eastAsia="Times New Roman" w:hAnsi="Times New Roman" w:cs="Times New Roman"/>
          <w:color w:val="000000" w:themeColor="text1"/>
          <w:sz w:val="20"/>
          <w:szCs w:val="20"/>
        </w:rPr>
        <w:t xml:space="preserve">, </w:t>
      </w:r>
      <w:r w:rsidRPr="1CFE082A">
        <w:rPr>
          <w:rFonts w:ascii="Times New Roman" w:eastAsia="Times New Roman" w:hAnsi="Times New Roman" w:cs="Times New Roman"/>
          <w:color w:val="000000" w:themeColor="text1"/>
          <w:sz w:val="20"/>
          <w:szCs w:val="20"/>
        </w:rPr>
        <w:t>Maria Dąbkowska</w:t>
      </w:r>
      <w:r w:rsidRPr="1CFE082A">
        <w:rPr>
          <w:rFonts w:ascii="Times New Roman" w:eastAsia="Times New Roman" w:hAnsi="Times New Roman" w:cs="Times New Roman"/>
          <w:color w:val="000000" w:themeColor="text1"/>
          <w:sz w:val="20"/>
          <w:szCs w:val="20"/>
          <w:vertAlign w:val="superscript"/>
        </w:rPr>
        <w:t>2,*</w:t>
      </w:r>
      <w:r w:rsidR="74919DD8" w:rsidRPr="1CFE082A">
        <w:rPr>
          <w:rFonts w:ascii="Times New Roman" w:eastAsia="Times New Roman" w:hAnsi="Times New Roman" w:cs="Times New Roman"/>
          <w:color w:val="000000" w:themeColor="text1"/>
          <w:sz w:val="20"/>
          <w:szCs w:val="20"/>
        </w:rPr>
        <w:t xml:space="preserve">, </w:t>
      </w:r>
      <w:r w:rsidRPr="1CFE082A">
        <w:rPr>
          <w:rFonts w:ascii="Times New Roman" w:eastAsia="Times New Roman" w:hAnsi="Times New Roman" w:cs="Times New Roman"/>
          <w:color w:val="000000" w:themeColor="text1"/>
          <w:sz w:val="20"/>
          <w:szCs w:val="20"/>
        </w:rPr>
        <w:t>Anna Machalińska</w:t>
      </w:r>
      <w:r w:rsidRPr="1CFE082A">
        <w:rPr>
          <w:rFonts w:ascii="Times New Roman" w:eastAsia="Times New Roman" w:hAnsi="Times New Roman" w:cs="Times New Roman"/>
          <w:color w:val="000000" w:themeColor="text1"/>
          <w:sz w:val="20"/>
          <w:szCs w:val="20"/>
          <w:vertAlign w:val="superscript"/>
        </w:rPr>
        <w:t>3</w:t>
      </w:r>
      <w:r w:rsidRPr="1CFE082A">
        <w:rPr>
          <w:rFonts w:ascii="Times New Roman" w:eastAsia="Times New Roman" w:hAnsi="Times New Roman" w:cs="Times New Roman"/>
          <w:color w:val="000000" w:themeColor="text1"/>
          <w:sz w:val="20"/>
          <w:szCs w:val="20"/>
        </w:rPr>
        <w:t xml:space="preserve"> </w:t>
      </w:r>
      <w:r w:rsidR="451D68B8" w:rsidRPr="1CFE082A">
        <w:rPr>
          <w:rFonts w:ascii="Times New Roman" w:eastAsia="Times New Roman" w:hAnsi="Times New Roman" w:cs="Times New Roman"/>
          <w:color w:val="000000" w:themeColor="text1"/>
          <w:sz w:val="20"/>
          <w:szCs w:val="20"/>
        </w:rPr>
        <w:t xml:space="preserve">, </w:t>
      </w:r>
      <w:r w:rsidRPr="1CFE082A">
        <w:rPr>
          <w:rFonts w:ascii="Times New Roman" w:eastAsia="Times New Roman" w:hAnsi="Times New Roman" w:cs="Times New Roman"/>
          <w:color w:val="000000" w:themeColor="text1"/>
          <w:sz w:val="20"/>
          <w:szCs w:val="20"/>
        </w:rPr>
        <w:t>Karolina Łuczkowska</w:t>
      </w:r>
      <w:r w:rsidRPr="1CFE082A">
        <w:rPr>
          <w:rFonts w:ascii="Times New Roman" w:eastAsia="Times New Roman" w:hAnsi="Times New Roman" w:cs="Times New Roman"/>
          <w:color w:val="000000" w:themeColor="text1"/>
          <w:sz w:val="20"/>
          <w:szCs w:val="20"/>
          <w:vertAlign w:val="superscript"/>
        </w:rPr>
        <w:t>1</w:t>
      </w:r>
      <w:r w:rsidR="7A1A0146" w:rsidRPr="1CFE082A">
        <w:rPr>
          <w:rFonts w:ascii="Times New Roman" w:eastAsia="Times New Roman" w:hAnsi="Times New Roman" w:cs="Times New Roman"/>
          <w:color w:val="000000" w:themeColor="text1"/>
          <w:sz w:val="20"/>
          <w:szCs w:val="20"/>
        </w:rPr>
        <w:t xml:space="preserve">, </w:t>
      </w:r>
      <w:r w:rsidRPr="1CFE082A">
        <w:rPr>
          <w:rFonts w:ascii="Times New Roman" w:eastAsia="Times New Roman" w:hAnsi="Times New Roman" w:cs="Times New Roman"/>
          <w:color w:val="000000" w:themeColor="text1"/>
          <w:sz w:val="20"/>
          <w:szCs w:val="20"/>
        </w:rPr>
        <w:t>Kamila Pukacka</w:t>
      </w:r>
      <w:r w:rsidRPr="1CFE082A">
        <w:rPr>
          <w:rFonts w:ascii="Times New Roman" w:eastAsia="Times New Roman" w:hAnsi="Times New Roman" w:cs="Times New Roman"/>
          <w:color w:val="000000" w:themeColor="text1"/>
          <w:sz w:val="20"/>
          <w:szCs w:val="20"/>
          <w:vertAlign w:val="superscript"/>
        </w:rPr>
        <w:t>2</w:t>
      </w:r>
      <w:r w:rsidR="0CBC8CBB" w:rsidRPr="1CFE082A">
        <w:rPr>
          <w:rFonts w:ascii="Times New Roman" w:eastAsia="Times New Roman" w:hAnsi="Times New Roman" w:cs="Times New Roman"/>
          <w:color w:val="000000" w:themeColor="text1"/>
          <w:sz w:val="20"/>
          <w:szCs w:val="20"/>
        </w:rPr>
        <w:t xml:space="preserve">, </w:t>
      </w:r>
      <w:r w:rsidRPr="1CFE082A">
        <w:rPr>
          <w:rFonts w:ascii="Times New Roman" w:eastAsia="Times New Roman" w:hAnsi="Times New Roman" w:cs="Times New Roman"/>
          <w:color w:val="000000" w:themeColor="text1"/>
          <w:sz w:val="20"/>
          <w:szCs w:val="20"/>
        </w:rPr>
        <w:t>Monika Wasilewska</w:t>
      </w:r>
      <w:r w:rsidRPr="1CFE082A">
        <w:rPr>
          <w:rFonts w:ascii="Times New Roman" w:eastAsia="Times New Roman" w:hAnsi="Times New Roman" w:cs="Times New Roman"/>
          <w:color w:val="000000" w:themeColor="text1"/>
          <w:sz w:val="20"/>
          <w:szCs w:val="20"/>
          <w:vertAlign w:val="superscript"/>
        </w:rPr>
        <w:t>4</w:t>
      </w:r>
      <w:r w:rsidR="686DD13C" w:rsidRPr="1CFE082A">
        <w:rPr>
          <w:rFonts w:ascii="Times New Roman" w:eastAsia="Times New Roman" w:hAnsi="Times New Roman" w:cs="Times New Roman"/>
          <w:color w:val="000000" w:themeColor="text1"/>
          <w:sz w:val="20"/>
          <w:szCs w:val="20"/>
        </w:rPr>
        <w:t xml:space="preserve">, </w:t>
      </w:r>
      <w:r w:rsidRPr="1CFE082A">
        <w:rPr>
          <w:rFonts w:ascii="Times New Roman" w:eastAsia="Times New Roman" w:hAnsi="Times New Roman" w:cs="Times New Roman"/>
          <w:color w:val="000000" w:themeColor="text1"/>
          <w:sz w:val="20"/>
          <w:szCs w:val="20"/>
        </w:rPr>
        <w:t>Patrycja Stodolak</w:t>
      </w:r>
      <w:r w:rsidRPr="1CFE082A">
        <w:rPr>
          <w:rFonts w:ascii="Times New Roman" w:eastAsia="Times New Roman" w:hAnsi="Times New Roman" w:cs="Times New Roman"/>
          <w:color w:val="000000" w:themeColor="text1"/>
          <w:sz w:val="20"/>
          <w:szCs w:val="20"/>
          <w:vertAlign w:val="superscript"/>
        </w:rPr>
        <w:t>1</w:t>
      </w:r>
      <w:r w:rsidR="7FB15C89" w:rsidRPr="1CFE082A">
        <w:rPr>
          <w:rFonts w:ascii="Times New Roman" w:eastAsia="Times New Roman" w:hAnsi="Times New Roman" w:cs="Times New Roman"/>
          <w:color w:val="000000" w:themeColor="text1"/>
          <w:sz w:val="20"/>
          <w:szCs w:val="20"/>
        </w:rPr>
        <w:t xml:space="preserve">, </w:t>
      </w:r>
      <w:r w:rsidRPr="1CFE082A">
        <w:rPr>
          <w:rFonts w:ascii="Times New Roman" w:eastAsia="Times New Roman" w:hAnsi="Times New Roman" w:cs="Times New Roman"/>
          <w:color w:val="000000" w:themeColor="text1"/>
          <w:sz w:val="20"/>
          <w:szCs w:val="20"/>
        </w:rPr>
        <w:t>Mateusz Winiarczyk</w:t>
      </w:r>
      <w:r w:rsidRPr="1CFE082A">
        <w:rPr>
          <w:rFonts w:ascii="Times New Roman" w:eastAsia="Times New Roman" w:hAnsi="Times New Roman" w:cs="Times New Roman"/>
          <w:color w:val="000000" w:themeColor="text1"/>
          <w:sz w:val="20"/>
          <w:szCs w:val="20"/>
          <w:vertAlign w:val="superscript"/>
        </w:rPr>
        <w:t>5</w:t>
      </w:r>
      <w:r w:rsidR="2BE2B1A6" w:rsidRPr="1CFE082A">
        <w:rPr>
          <w:rFonts w:ascii="Times New Roman" w:eastAsia="Times New Roman" w:hAnsi="Times New Roman" w:cs="Times New Roman"/>
          <w:color w:val="000000" w:themeColor="text1"/>
          <w:sz w:val="20"/>
          <w:szCs w:val="20"/>
        </w:rPr>
        <w:t xml:space="preserve">, </w:t>
      </w:r>
      <w:r w:rsidRPr="1CFE082A">
        <w:rPr>
          <w:rFonts w:ascii="Times New Roman" w:eastAsia="Times New Roman" w:hAnsi="Times New Roman" w:cs="Times New Roman"/>
          <w:color w:val="000000" w:themeColor="text1"/>
          <w:sz w:val="20"/>
          <w:szCs w:val="20"/>
        </w:rPr>
        <w:t>Dagmara Winiarczyk</w:t>
      </w:r>
      <w:r w:rsidRPr="1CFE082A">
        <w:rPr>
          <w:rFonts w:ascii="Times New Roman" w:eastAsia="Times New Roman" w:hAnsi="Times New Roman" w:cs="Times New Roman"/>
          <w:color w:val="000000" w:themeColor="text1"/>
          <w:sz w:val="20"/>
          <w:szCs w:val="20"/>
          <w:vertAlign w:val="superscript"/>
        </w:rPr>
        <w:t>6</w:t>
      </w:r>
      <w:r w:rsidRPr="1CFE082A">
        <w:rPr>
          <w:rFonts w:ascii="Times New Roman" w:eastAsia="Times New Roman" w:hAnsi="Times New Roman" w:cs="Times New Roman"/>
          <w:color w:val="000000" w:themeColor="text1"/>
          <w:sz w:val="20"/>
          <w:szCs w:val="20"/>
        </w:rPr>
        <w:t>,</w:t>
      </w:r>
      <w:r w:rsidR="2E63FD69" w:rsidRPr="1CFE082A">
        <w:rPr>
          <w:rFonts w:ascii="Times New Roman" w:eastAsia="Times New Roman" w:hAnsi="Times New Roman" w:cs="Times New Roman"/>
          <w:color w:val="000000" w:themeColor="text1"/>
          <w:sz w:val="20"/>
          <w:szCs w:val="20"/>
        </w:rPr>
        <w:t xml:space="preserve"> </w:t>
      </w:r>
      <w:r w:rsidRPr="1CFE082A">
        <w:rPr>
          <w:rFonts w:ascii="Times New Roman" w:eastAsia="Times New Roman" w:hAnsi="Times New Roman" w:cs="Times New Roman"/>
          <w:color w:val="000000" w:themeColor="text1"/>
          <w:sz w:val="20"/>
          <w:szCs w:val="20"/>
        </w:rPr>
        <w:t>Jowita Zwolska</w:t>
      </w:r>
      <w:r w:rsidRPr="1CFE082A">
        <w:rPr>
          <w:rFonts w:ascii="Times New Roman" w:eastAsia="Times New Roman" w:hAnsi="Times New Roman" w:cs="Times New Roman"/>
          <w:color w:val="000000" w:themeColor="text1"/>
          <w:sz w:val="20"/>
          <w:szCs w:val="20"/>
          <w:vertAlign w:val="superscript"/>
        </w:rPr>
        <w:t>7</w:t>
      </w:r>
      <w:r w:rsidRPr="1CFE082A">
        <w:rPr>
          <w:rFonts w:ascii="Times New Roman" w:eastAsia="Times New Roman" w:hAnsi="Times New Roman" w:cs="Times New Roman"/>
          <w:color w:val="000000" w:themeColor="text1"/>
          <w:sz w:val="20"/>
          <w:szCs w:val="20"/>
        </w:rPr>
        <w:t>,</w:t>
      </w:r>
      <w:r w:rsidR="40AD34B1" w:rsidRPr="1CFE082A">
        <w:rPr>
          <w:rFonts w:ascii="Times New Roman" w:eastAsia="Times New Roman" w:hAnsi="Times New Roman" w:cs="Times New Roman"/>
          <w:color w:val="000000" w:themeColor="text1"/>
          <w:sz w:val="20"/>
          <w:szCs w:val="20"/>
        </w:rPr>
        <w:t xml:space="preserve"> </w:t>
      </w:r>
      <w:r w:rsidRPr="1CFE082A">
        <w:rPr>
          <w:rFonts w:ascii="Times New Roman" w:eastAsia="Times New Roman" w:hAnsi="Times New Roman" w:cs="Times New Roman"/>
          <w:color w:val="000000" w:themeColor="text1"/>
          <w:sz w:val="20"/>
          <w:szCs w:val="20"/>
        </w:rPr>
        <w:t>Barbara Kuduk</w:t>
      </w:r>
      <w:r w:rsidRPr="1CFE082A">
        <w:rPr>
          <w:rFonts w:ascii="Times New Roman" w:eastAsia="Times New Roman" w:hAnsi="Times New Roman" w:cs="Times New Roman"/>
          <w:color w:val="000000" w:themeColor="text1"/>
          <w:sz w:val="20"/>
          <w:szCs w:val="20"/>
          <w:vertAlign w:val="superscript"/>
        </w:rPr>
        <w:t>7</w:t>
      </w:r>
      <w:r w:rsidRPr="1CFE082A">
        <w:rPr>
          <w:rFonts w:ascii="Times New Roman" w:eastAsia="Times New Roman" w:hAnsi="Times New Roman" w:cs="Times New Roman"/>
          <w:color w:val="000000" w:themeColor="text1"/>
          <w:sz w:val="20"/>
          <w:szCs w:val="20"/>
        </w:rPr>
        <w:t>,</w:t>
      </w:r>
      <w:r w:rsidR="51A45362" w:rsidRPr="1CFE082A">
        <w:rPr>
          <w:rFonts w:ascii="Times New Roman" w:eastAsia="Times New Roman" w:hAnsi="Times New Roman" w:cs="Times New Roman"/>
          <w:color w:val="000000" w:themeColor="text1"/>
          <w:sz w:val="20"/>
          <w:szCs w:val="20"/>
        </w:rPr>
        <w:t xml:space="preserve"> </w:t>
      </w:r>
      <w:r w:rsidRPr="1CFE082A">
        <w:rPr>
          <w:rFonts w:ascii="Times New Roman" w:eastAsia="Times New Roman" w:hAnsi="Times New Roman" w:cs="Times New Roman"/>
          <w:color w:val="000000" w:themeColor="text1"/>
          <w:sz w:val="20"/>
          <w:szCs w:val="20"/>
        </w:rPr>
        <w:t>Mateusz Szadkowski</w:t>
      </w:r>
      <w:r w:rsidRPr="1CFE082A">
        <w:rPr>
          <w:rFonts w:ascii="Times New Roman" w:eastAsia="Times New Roman" w:hAnsi="Times New Roman" w:cs="Times New Roman"/>
          <w:color w:val="000000" w:themeColor="text1"/>
          <w:sz w:val="20"/>
          <w:szCs w:val="20"/>
          <w:vertAlign w:val="superscript"/>
        </w:rPr>
        <w:t>7</w:t>
      </w:r>
      <w:r w:rsidRPr="1CFE082A">
        <w:rPr>
          <w:rFonts w:ascii="Times New Roman" w:eastAsia="Times New Roman" w:hAnsi="Times New Roman" w:cs="Times New Roman"/>
          <w:color w:val="000000" w:themeColor="text1"/>
          <w:sz w:val="20"/>
          <w:szCs w:val="20"/>
        </w:rPr>
        <w:t>,</w:t>
      </w:r>
      <w:r w:rsidR="072BA165" w:rsidRPr="1CFE082A">
        <w:rPr>
          <w:rFonts w:ascii="Times New Roman" w:eastAsia="Times New Roman" w:hAnsi="Times New Roman" w:cs="Times New Roman"/>
          <w:color w:val="000000" w:themeColor="text1"/>
          <w:sz w:val="20"/>
          <w:szCs w:val="20"/>
        </w:rPr>
        <w:t xml:space="preserve"> </w:t>
      </w:r>
      <w:r w:rsidRPr="1CFE082A">
        <w:rPr>
          <w:rFonts w:ascii="Times New Roman" w:eastAsia="Times New Roman" w:hAnsi="Times New Roman" w:cs="Times New Roman"/>
          <w:color w:val="000000" w:themeColor="text1"/>
          <w:sz w:val="20"/>
          <w:szCs w:val="20"/>
        </w:rPr>
        <w:t>Ireneusz Balicki</w:t>
      </w:r>
      <w:r w:rsidRPr="1CFE082A">
        <w:rPr>
          <w:rFonts w:ascii="Times New Roman" w:eastAsia="Times New Roman" w:hAnsi="Times New Roman" w:cs="Times New Roman"/>
          <w:color w:val="000000" w:themeColor="text1"/>
          <w:sz w:val="20"/>
          <w:szCs w:val="20"/>
          <w:vertAlign w:val="superscript"/>
        </w:rPr>
        <w:t>7</w:t>
      </w:r>
      <w:r w:rsidRPr="1CFE082A">
        <w:rPr>
          <w:rFonts w:ascii="Times New Roman" w:eastAsia="Times New Roman" w:hAnsi="Times New Roman" w:cs="Times New Roman"/>
          <w:color w:val="000000" w:themeColor="text1"/>
          <w:sz w:val="20"/>
          <w:szCs w:val="20"/>
        </w:rPr>
        <w:t>, Miłosz Kawa</w:t>
      </w:r>
      <w:r w:rsidRPr="1CFE082A">
        <w:rPr>
          <w:rFonts w:ascii="Times New Roman" w:eastAsia="Times New Roman" w:hAnsi="Times New Roman" w:cs="Times New Roman"/>
          <w:color w:val="000000" w:themeColor="text1"/>
          <w:sz w:val="20"/>
          <w:szCs w:val="20"/>
          <w:vertAlign w:val="superscript"/>
        </w:rPr>
        <w:t>1</w:t>
      </w:r>
      <w:r w:rsidR="76073F88" w:rsidRPr="1CFE082A">
        <w:rPr>
          <w:rFonts w:ascii="Times New Roman" w:eastAsia="Times New Roman" w:hAnsi="Times New Roman" w:cs="Times New Roman"/>
          <w:color w:val="000000" w:themeColor="text1"/>
          <w:sz w:val="20"/>
          <w:szCs w:val="20"/>
        </w:rPr>
        <w:t xml:space="preserve">, </w:t>
      </w:r>
      <w:r w:rsidRPr="1CFE082A">
        <w:rPr>
          <w:rFonts w:ascii="Times New Roman" w:eastAsia="Times New Roman" w:hAnsi="Times New Roman" w:cs="Times New Roman"/>
          <w:color w:val="000000" w:themeColor="text1"/>
          <w:sz w:val="20"/>
          <w:szCs w:val="20"/>
        </w:rPr>
        <w:t>Bogusław Machaliński</w:t>
      </w:r>
      <w:r w:rsidRPr="1CFE082A">
        <w:rPr>
          <w:rFonts w:ascii="Times New Roman" w:eastAsia="Times New Roman" w:hAnsi="Times New Roman" w:cs="Times New Roman"/>
          <w:color w:val="000000" w:themeColor="text1"/>
          <w:sz w:val="20"/>
          <w:szCs w:val="20"/>
          <w:vertAlign w:val="superscript"/>
        </w:rPr>
        <w:t>1</w:t>
      </w:r>
    </w:p>
    <w:p w14:paraId="2202B2E8" w14:textId="6C518AD4" w:rsidR="6BE14F1D" w:rsidRDefault="6BE14F1D" w:rsidP="1CFE082A">
      <w:pPr>
        <w:jc w:val="both"/>
        <w:rPr>
          <w:rFonts w:ascii="Times New Roman" w:eastAsia="Times New Roman" w:hAnsi="Times New Roman" w:cs="Times New Roman"/>
          <w:color w:val="000000" w:themeColor="text1"/>
        </w:rPr>
      </w:pPr>
    </w:p>
    <w:p w14:paraId="5BE5A63A" w14:textId="292D76E9" w:rsidR="3AECEE51" w:rsidRDefault="5CA31432" w:rsidP="1CFE082A">
      <w:pPr>
        <w:jc w:val="center"/>
        <w:rPr>
          <w:rFonts w:ascii="Times New Roman" w:eastAsia="Times New Roman" w:hAnsi="Times New Roman" w:cs="Times New Roman"/>
          <w:b/>
          <w:bCs/>
          <w:color w:val="000000" w:themeColor="text1"/>
          <w:sz w:val="28"/>
          <w:szCs w:val="28"/>
        </w:rPr>
      </w:pPr>
      <w:r w:rsidRPr="1CFE082A">
        <w:rPr>
          <w:rFonts w:ascii="Times New Roman" w:eastAsia="Times New Roman" w:hAnsi="Times New Roman" w:cs="Times New Roman"/>
          <w:b/>
          <w:bCs/>
          <w:color w:val="000000" w:themeColor="text1"/>
          <w:sz w:val="28"/>
          <w:szCs w:val="28"/>
        </w:rPr>
        <w:t xml:space="preserve">Supplementary </w:t>
      </w:r>
      <w:r w:rsidR="7F378BB4" w:rsidRPr="1CFE082A">
        <w:rPr>
          <w:rFonts w:ascii="Times New Roman" w:eastAsia="Times New Roman" w:hAnsi="Times New Roman" w:cs="Times New Roman"/>
          <w:b/>
          <w:bCs/>
          <w:color w:val="000000" w:themeColor="text1"/>
          <w:sz w:val="28"/>
          <w:szCs w:val="28"/>
        </w:rPr>
        <w:t>Information</w:t>
      </w:r>
    </w:p>
    <w:p w14:paraId="5F693E1C" w14:textId="0858AC07" w:rsidR="1CFE082A" w:rsidRDefault="1CFE082A" w:rsidP="1CFE082A">
      <w:pPr>
        <w:jc w:val="both"/>
        <w:rPr>
          <w:rFonts w:ascii="Times New Roman" w:eastAsia="Times New Roman" w:hAnsi="Times New Roman" w:cs="Times New Roman"/>
          <w:color w:val="000000" w:themeColor="text1"/>
          <w:lang w:val="en-US"/>
        </w:rPr>
      </w:pPr>
    </w:p>
    <w:tbl>
      <w:tblPr>
        <w:tblStyle w:val="Tabela-Siatka"/>
        <w:tblW w:w="0" w:type="auto"/>
        <w:tblLook w:val="06A0" w:firstRow="1" w:lastRow="0" w:firstColumn="1" w:lastColumn="0" w:noHBand="1" w:noVBand="1"/>
      </w:tblPr>
      <w:tblGrid>
        <w:gridCol w:w="4508"/>
        <w:gridCol w:w="4508"/>
      </w:tblGrid>
      <w:tr w:rsidR="1CFE082A" w14:paraId="1D63A4F4" w14:textId="77777777" w:rsidTr="1CFE082A">
        <w:trPr>
          <w:trHeight w:val="300"/>
        </w:trPr>
        <w:tc>
          <w:tcPr>
            <w:tcW w:w="4508" w:type="dxa"/>
          </w:tcPr>
          <w:p w14:paraId="39B8E5B4" w14:textId="2056F9B6" w:rsidR="1CFE082A" w:rsidRDefault="1CFE082A" w:rsidP="1CFE082A">
            <w:pPr>
              <w:jc w:val="both"/>
              <w:rPr>
                <w:rFonts w:ascii="Times New Roman" w:eastAsia="Times New Roman" w:hAnsi="Times New Roman" w:cs="Times New Roman"/>
                <w:b/>
                <w:bCs/>
                <w:color w:val="000000" w:themeColor="text1"/>
              </w:rPr>
            </w:pPr>
            <w:r w:rsidRPr="1CFE082A">
              <w:rPr>
                <w:rFonts w:ascii="Times New Roman" w:eastAsia="Times New Roman" w:hAnsi="Times New Roman" w:cs="Times New Roman"/>
                <w:b/>
                <w:bCs/>
                <w:color w:val="000000" w:themeColor="text1"/>
              </w:rPr>
              <w:t>6-OHDA</w:t>
            </w:r>
          </w:p>
        </w:tc>
        <w:tc>
          <w:tcPr>
            <w:tcW w:w="4508" w:type="dxa"/>
          </w:tcPr>
          <w:p w14:paraId="40C916DE" w14:textId="1C8D2AD6" w:rsidR="1CFE082A" w:rsidRDefault="1CFE082A" w:rsidP="1CFE082A">
            <w:pPr>
              <w:jc w:val="both"/>
              <w:rPr>
                <w:rFonts w:ascii="Times New Roman" w:eastAsia="Times New Roman" w:hAnsi="Times New Roman" w:cs="Times New Roman"/>
                <w:b/>
                <w:bCs/>
                <w:color w:val="000000" w:themeColor="text1"/>
                <w:vertAlign w:val="subscript"/>
              </w:rPr>
            </w:pPr>
            <w:r w:rsidRPr="1CFE082A">
              <w:rPr>
                <w:rFonts w:ascii="Times New Roman" w:eastAsia="Times New Roman" w:hAnsi="Times New Roman" w:cs="Times New Roman"/>
                <w:b/>
                <w:bCs/>
                <w:color w:val="000000" w:themeColor="text1"/>
              </w:rPr>
              <w:t>NaIO</w:t>
            </w:r>
            <w:r w:rsidRPr="1CFE082A">
              <w:rPr>
                <w:rFonts w:ascii="Times New Roman" w:eastAsia="Times New Roman" w:hAnsi="Times New Roman" w:cs="Times New Roman"/>
                <w:b/>
                <w:bCs/>
                <w:color w:val="000000" w:themeColor="text1"/>
                <w:vertAlign w:val="subscript"/>
              </w:rPr>
              <w:t>3</w:t>
            </w:r>
          </w:p>
        </w:tc>
      </w:tr>
      <w:tr w:rsidR="1CFE082A" w14:paraId="2EB6927B" w14:textId="77777777" w:rsidTr="1CFE082A">
        <w:trPr>
          <w:trHeight w:val="300"/>
        </w:trPr>
        <w:tc>
          <w:tcPr>
            <w:tcW w:w="4508" w:type="dxa"/>
          </w:tcPr>
          <w:p w14:paraId="581C9273" w14:textId="192D1304" w:rsidR="1CFE082A" w:rsidRDefault="1CFE082A" w:rsidP="1CFE082A">
            <w:pPr>
              <w:jc w:val="both"/>
              <w:rPr>
                <w:rFonts w:ascii="Times New Roman" w:eastAsia="Times New Roman" w:hAnsi="Times New Roman" w:cs="Times New Roman"/>
                <w:color w:val="000000" w:themeColor="text1"/>
                <w:lang w:val="en-US"/>
              </w:rPr>
            </w:pPr>
            <w:r>
              <w:rPr>
                <w:noProof/>
              </w:rPr>
              <w:drawing>
                <wp:inline distT="0" distB="0" distL="0" distR="0" wp14:anchorId="19775D97" wp14:editId="64E36132">
                  <wp:extent cx="2552725" cy="1839710"/>
                  <wp:effectExtent l="0" t="0" r="0" b="0"/>
                  <wp:docPr id="13698368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51440" name=""/>
                          <pic:cNvPicPr/>
                        </pic:nvPicPr>
                        <pic:blipFill>
                          <a:blip r:embed="rId4">
                            <a:extLst>
                              <a:ext uri="{28A0092B-C50C-407E-A947-70E740481C1C}">
                                <a14:useLocalDpi xmlns:a14="http://schemas.microsoft.com/office/drawing/2010/main"/>
                              </a:ext>
                            </a:extLst>
                          </a:blip>
                          <a:srcRect t="7623" r="5964" b="5829"/>
                          <a:stretch>
                            <a:fillRect/>
                          </a:stretch>
                        </pic:blipFill>
                        <pic:spPr>
                          <a:xfrm>
                            <a:off x="0" y="0"/>
                            <a:ext cx="2552725" cy="1839710"/>
                          </a:xfrm>
                          <a:prstGeom prst="rect">
                            <a:avLst/>
                          </a:prstGeom>
                        </pic:spPr>
                      </pic:pic>
                    </a:graphicData>
                  </a:graphic>
                </wp:inline>
              </w:drawing>
            </w:r>
          </w:p>
        </w:tc>
        <w:tc>
          <w:tcPr>
            <w:tcW w:w="4508" w:type="dxa"/>
          </w:tcPr>
          <w:p w14:paraId="45BD848B" w14:textId="262C2F61" w:rsidR="1CFE082A" w:rsidRDefault="1CFE082A" w:rsidP="1CFE082A">
            <w:pPr>
              <w:jc w:val="both"/>
              <w:rPr>
                <w:rFonts w:ascii="Times New Roman" w:eastAsia="Times New Roman" w:hAnsi="Times New Roman" w:cs="Times New Roman"/>
                <w:color w:val="000000" w:themeColor="text1"/>
                <w:lang w:val="en-US"/>
              </w:rPr>
            </w:pPr>
            <w:r>
              <w:rPr>
                <w:noProof/>
              </w:rPr>
              <w:drawing>
                <wp:inline distT="0" distB="0" distL="0" distR="0" wp14:anchorId="7F49697F" wp14:editId="53557FC6">
                  <wp:extent cx="2400326" cy="1876436"/>
                  <wp:effectExtent l="0" t="0" r="0" b="0"/>
                  <wp:docPr id="19415715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67798" name=""/>
                          <pic:cNvPicPr/>
                        </pic:nvPicPr>
                        <pic:blipFill>
                          <a:blip r:embed="rId5">
                            <a:extLst>
                              <a:ext uri="{28A0092B-C50C-407E-A947-70E740481C1C}">
                                <a14:useLocalDpi xmlns:a14="http://schemas.microsoft.com/office/drawing/2010/main"/>
                              </a:ext>
                            </a:extLst>
                          </a:blip>
                          <a:srcRect l="4210" t="5000" r="7368" b="5454"/>
                          <a:stretch>
                            <a:fillRect/>
                          </a:stretch>
                        </pic:blipFill>
                        <pic:spPr>
                          <a:xfrm>
                            <a:off x="0" y="0"/>
                            <a:ext cx="2400326" cy="1876436"/>
                          </a:xfrm>
                          <a:prstGeom prst="rect">
                            <a:avLst/>
                          </a:prstGeom>
                        </pic:spPr>
                      </pic:pic>
                    </a:graphicData>
                  </a:graphic>
                </wp:inline>
              </w:drawing>
            </w:r>
          </w:p>
        </w:tc>
      </w:tr>
      <w:tr w:rsidR="1CFE082A" w14:paraId="14DED8E1" w14:textId="77777777" w:rsidTr="1CFE082A">
        <w:trPr>
          <w:trHeight w:val="300"/>
        </w:trPr>
        <w:tc>
          <w:tcPr>
            <w:tcW w:w="4508" w:type="dxa"/>
          </w:tcPr>
          <w:p w14:paraId="13A7A0A9" w14:textId="28208DD2" w:rsidR="1CFE082A" w:rsidRDefault="1CFE082A" w:rsidP="1CFE082A">
            <w:pPr>
              <w:jc w:val="both"/>
              <w:rPr>
                <w:rFonts w:ascii="Times New Roman" w:eastAsia="Times New Roman" w:hAnsi="Times New Roman" w:cs="Times New Roman"/>
                <w:color w:val="000000" w:themeColor="text1"/>
                <w:lang w:val="en-US"/>
              </w:rPr>
            </w:pPr>
          </w:p>
          <w:tbl>
            <w:tblPr>
              <w:tblStyle w:val="Tabela-Siatka"/>
              <w:tblW w:w="0" w:type="auto"/>
              <w:tblLook w:val="06A0" w:firstRow="1" w:lastRow="0" w:firstColumn="1" w:lastColumn="0" w:noHBand="1" w:noVBand="1"/>
            </w:tblPr>
            <w:tblGrid>
              <w:gridCol w:w="1731"/>
              <w:gridCol w:w="1732"/>
              <w:gridCol w:w="819"/>
            </w:tblGrid>
            <w:tr w:rsidR="1CFE082A" w14:paraId="44576793" w14:textId="77777777" w:rsidTr="1CFE082A">
              <w:trPr>
                <w:trHeight w:val="300"/>
              </w:trPr>
              <w:tc>
                <w:tcPr>
                  <w:tcW w:w="1739" w:type="dxa"/>
                  <w:vAlign w:val="center"/>
                </w:tcPr>
                <w:p w14:paraId="3E7C553D" w14:textId="44923D0E"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6-OHDA [µM]</w:t>
                  </w:r>
                </w:p>
              </w:tc>
              <w:tc>
                <w:tcPr>
                  <w:tcW w:w="1739" w:type="dxa"/>
                  <w:vAlign w:val="center"/>
                </w:tcPr>
                <w:p w14:paraId="21A706A5" w14:textId="6DBF0843"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Mean viability (in relation to control) [%]</w:t>
                  </w:r>
                </w:p>
              </w:tc>
              <w:tc>
                <w:tcPr>
                  <w:tcW w:w="821" w:type="dxa"/>
                  <w:vAlign w:val="center"/>
                </w:tcPr>
                <w:p w14:paraId="0EC70A8B" w14:textId="2DBD8696"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SD</w:t>
                  </w:r>
                </w:p>
                <w:p w14:paraId="2AFD7824" w14:textId="3B9DA4E2"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w:t>
                  </w:r>
                </w:p>
              </w:tc>
            </w:tr>
            <w:tr w:rsidR="1CFE082A" w14:paraId="73298BCA" w14:textId="77777777" w:rsidTr="1CFE082A">
              <w:trPr>
                <w:trHeight w:val="300"/>
              </w:trPr>
              <w:tc>
                <w:tcPr>
                  <w:tcW w:w="1739" w:type="dxa"/>
                </w:tcPr>
                <w:p w14:paraId="55C42A56" w14:textId="3E6BCAB3"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0</w:t>
                  </w:r>
                </w:p>
              </w:tc>
              <w:tc>
                <w:tcPr>
                  <w:tcW w:w="1739" w:type="dxa"/>
                </w:tcPr>
                <w:p w14:paraId="7825D687" w14:textId="4D97C169"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100</w:t>
                  </w:r>
                </w:p>
              </w:tc>
              <w:tc>
                <w:tcPr>
                  <w:tcW w:w="821" w:type="dxa"/>
                </w:tcPr>
                <w:p w14:paraId="71DA615F" w14:textId="001391F9"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0</w:t>
                  </w:r>
                </w:p>
              </w:tc>
            </w:tr>
            <w:tr w:rsidR="1CFE082A" w14:paraId="3DE85839" w14:textId="77777777" w:rsidTr="1CFE082A">
              <w:trPr>
                <w:trHeight w:val="300"/>
              </w:trPr>
              <w:tc>
                <w:tcPr>
                  <w:tcW w:w="1739" w:type="dxa"/>
                </w:tcPr>
                <w:p w14:paraId="7C96D2BA" w14:textId="2F6CE281"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10</w:t>
                  </w:r>
                </w:p>
              </w:tc>
              <w:tc>
                <w:tcPr>
                  <w:tcW w:w="1739" w:type="dxa"/>
                </w:tcPr>
                <w:p w14:paraId="45374F8B" w14:textId="59004A0B"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56</w:t>
                  </w:r>
                </w:p>
              </w:tc>
              <w:tc>
                <w:tcPr>
                  <w:tcW w:w="821" w:type="dxa"/>
                </w:tcPr>
                <w:p w14:paraId="4F5F43BF" w14:textId="6B44F85D"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1</w:t>
                  </w:r>
                </w:p>
              </w:tc>
            </w:tr>
            <w:tr w:rsidR="1CFE082A" w14:paraId="48200D42" w14:textId="77777777" w:rsidTr="1CFE082A">
              <w:trPr>
                <w:trHeight w:val="300"/>
              </w:trPr>
              <w:tc>
                <w:tcPr>
                  <w:tcW w:w="1739" w:type="dxa"/>
                </w:tcPr>
                <w:p w14:paraId="53494A0B" w14:textId="7D27A4A1"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25</w:t>
                  </w:r>
                </w:p>
              </w:tc>
              <w:tc>
                <w:tcPr>
                  <w:tcW w:w="1739" w:type="dxa"/>
                </w:tcPr>
                <w:p w14:paraId="03914940" w14:textId="7DE9BFF1"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31</w:t>
                  </w:r>
                </w:p>
              </w:tc>
              <w:tc>
                <w:tcPr>
                  <w:tcW w:w="821" w:type="dxa"/>
                </w:tcPr>
                <w:p w14:paraId="7CE85CB5" w14:textId="62A5BCA1"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1</w:t>
                  </w:r>
                </w:p>
              </w:tc>
            </w:tr>
            <w:tr w:rsidR="1CFE082A" w14:paraId="39D2931E" w14:textId="77777777" w:rsidTr="1CFE082A">
              <w:trPr>
                <w:trHeight w:val="300"/>
              </w:trPr>
              <w:tc>
                <w:tcPr>
                  <w:tcW w:w="1739" w:type="dxa"/>
                </w:tcPr>
                <w:p w14:paraId="3AE22D7D" w14:textId="371DBD22"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50</w:t>
                  </w:r>
                </w:p>
              </w:tc>
              <w:tc>
                <w:tcPr>
                  <w:tcW w:w="1739" w:type="dxa"/>
                </w:tcPr>
                <w:p w14:paraId="3E37E620" w14:textId="5BAFE4B5"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24</w:t>
                  </w:r>
                </w:p>
              </w:tc>
              <w:tc>
                <w:tcPr>
                  <w:tcW w:w="821" w:type="dxa"/>
                </w:tcPr>
                <w:p w14:paraId="28A54488" w14:textId="60882A9F"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3</w:t>
                  </w:r>
                </w:p>
              </w:tc>
            </w:tr>
            <w:tr w:rsidR="1CFE082A" w14:paraId="42D19DF7" w14:textId="77777777" w:rsidTr="1CFE082A">
              <w:trPr>
                <w:trHeight w:val="300"/>
              </w:trPr>
              <w:tc>
                <w:tcPr>
                  <w:tcW w:w="1739" w:type="dxa"/>
                </w:tcPr>
                <w:p w14:paraId="0420EAA6" w14:textId="5456299D"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100</w:t>
                  </w:r>
                </w:p>
              </w:tc>
              <w:tc>
                <w:tcPr>
                  <w:tcW w:w="1739" w:type="dxa"/>
                </w:tcPr>
                <w:p w14:paraId="75F9E788" w14:textId="5772945E"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22</w:t>
                  </w:r>
                </w:p>
              </w:tc>
              <w:tc>
                <w:tcPr>
                  <w:tcW w:w="821" w:type="dxa"/>
                </w:tcPr>
                <w:p w14:paraId="062147E4" w14:textId="75043C10"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2</w:t>
                  </w:r>
                </w:p>
              </w:tc>
            </w:tr>
          </w:tbl>
          <w:p w14:paraId="0036F009" w14:textId="2206B3D5" w:rsidR="1CFE082A" w:rsidRDefault="1CFE082A" w:rsidP="1CFE082A">
            <w:pPr>
              <w:jc w:val="both"/>
              <w:rPr>
                <w:rFonts w:ascii="Times New Roman" w:eastAsia="Times New Roman" w:hAnsi="Times New Roman" w:cs="Times New Roman"/>
                <w:color w:val="000000" w:themeColor="text1"/>
                <w:lang w:val="en-US"/>
              </w:rPr>
            </w:pPr>
          </w:p>
        </w:tc>
        <w:tc>
          <w:tcPr>
            <w:tcW w:w="4508" w:type="dxa"/>
          </w:tcPr>
          <w:p w14:paraId="1B2462DA" w14:textId="486175E2" w:rsidR="1CFE082A" w:rsidRDefault="1CFE082A" w:rsidP="1CFE082A">
            <w:pPr>
              <w:jc w:val="both"/>
              <w:rPr>
                <w:rFonts w:ascii="Times New Roman" w:eastAsia="Times New Roman" w:hAnsi="Times New Roman" w:cs="Times New Roman"/>
                <w:color w:val="000000" w:themeColor="text1"/>
                <w:lang w:val="en-US"/>
              </w:rPr>
            </w:pPr>
          </w:p>
          <w:tbl>
            <w:tblPr>
              <w:tblStyle w:val="Tabela-Siatka"/>
              <w:tblW w:w="0" w:type="auto"/>
              <w:tblLook w:val="06A0" w:firstRow="1" w:lastRow="0" w:firstColumn="1" w:lastColumn="0" w:noHBand="1" w:noVBand="1"/>
            </w:tblPr>
            <w:tblGrid>
              <w:gridCol w:w="1791"/>
              <w:gridCol w:w="1793"/>
              <w:gridCol w:w="698"/>
            </w:tblGrid>
            <w:tr w:rsidR="1CFE082A" w14:paraId="482B192F" w14:textId="77777777" w:rsidTr="1CFE082A">
              <w:trPr>
                <w:trHeight w:val="300"/>
              </w:trPr>
              <w:tc>
                <w:tcPr>
                  <w:tcW w:w="1800" w:type="dxa"/>
                  <w:vAlign w:val="center"/>
                </w:tcPr>
                <w:p w14:paraId="5E219537" w14:textId="0C7FE999"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NaIO</w:t>
                  </w:r>
                  <w:r w:rsidRPr="1CFE082A">
                    <w:rPr>
                      <w:rFonts w:ascii="Times New Roman" w:eastAsia="Times New Roman" w:hAnsi="Times New Roman" w:cs="Times New Roman"/>
                      <w:color w:val="000000" w:themeColor="text1"/>
                      <w:vertAlign w:val="subscript"/>
                      <w:lang w:val="en-US"/>
                    </w:rPr>
                    <w:t>3</w:t>
                  </w:r>
                  <w:r w:rsidRPr="1CFE082A">
                    <w:rPr>
                      <w:rFonts w:ascii="Times New Roman" w:eastAsia="Times New Roman" w:hAnsi="Times New Roman" w:cs="Times New Roman"/>
                      <w:color w:val="000000" w:themeColor="text1"/>
                      <w:lang w:val="en-US"/>
                    </w:rPr>
                    <w:t xml:space="preserve"> [mM]</w:t>
                  </w:r>
                </w:p>
              </w:tc>
              <w:tc>
                <w:tcPr>
                  <w:tcW w:w="1800" w:type="dxa"/>
                  <w:vAlign w:val="center"/>
                </w:tcPr>
                <w:p w14:paraId="51FEAC7B" w14:textId="6DBF0843"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Mean viability (in relation to control) [%]</w:t>
                  </w:r>
                </w:p>
              </w:tc>
              <w:tc>
                <w:tcPr>
                  <w:tcW w:w="699" w:type="dxa"/>
                  <w:vAlign w:val="center"/>
                </w:tcPr>
                <w:p w14:paraId="5F22F764" w14:textId="2DBD8696"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SD</w:t>
                  </w:r>
                </w:p>
                <w:p w14:paraId="4577D67B" w14:textId="3B9DA4E2"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w:t>
                  </w:r>
                </w:p>
              </w:tc>
            </w:tr>
            <w:tr w:rsidR="1CFE082A" w14:paraId="67323E77" w14:textId="77777777" w:rsidTr="1CFE082A">
              <w:trPr>
                <w:trHeight w:val="300"/>
              </w:trPr>
              <w:tc>
                <w:tcPr>
                  <w:tcW w:w="1800" w:type="dxa"/>
                </w:tcPr>
                <w:p w14:paraId="7B9DBD7F" w14:textId="14BF2983"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0</w:t>
                  </w:r>
                </w:p>
              </w:tc>
              <w:tc>
                <w:tcPr>
                  <w:tcW w:w="1800" w:type="dxa"/>
                </w:tcPr>
                <w:p w14:paraId="3B8BE91B" w14:textId="0E280C37"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100</w:t>
                  </w:r>
                </w:p>
              </w:tc>
              <w:tc>
                <w:tcPr>
                  <w:tcW w:w="699" w:type="dxa"/>
                </w:tcPr>
                <w:p w14:paraId="1C55692C" w14:textId="0AADAEFA"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7</w:t>
                  </w:r>
                </w:p>
              </w:tc>
            </w:tr>
            <w:tr w:rsidR="1CFE082A" w14:paraId="586896CA" w14:textId="77777777" w:rsidTr="1CFE082A">
              <w:trPr>
                <w:trHeight w:val="300"/>
              </w:trPr>
              <w:tc>
                <w:tcPr>
                  <w:tcW w:w="1800" w:type="dxa"/>
                </w:tcPr>
                <w:p w14:paraId="696B5E6A" w14:textId="14B04B4B"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1</w:t>
                  </w:r>
                </w:p>
              </w:tc>
              <w:tc>
                <w:tcPr>
                  <w:tcW w:w="1800" w:type="dxa"/>
                </w:tcPr>
                <w:p w14:paraId="00121B28" w14:textId="41536870"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83</w:t>
                  </w:r>
                </w:p>
              </w:tc>
              <w:tc>
                <w:tcPr>
                  <w:tcW w:w="699" w:type="dxa"/>
                </w:tcPr>
                <w:p w14:paraId="08D876F9" w14:textId="60D3D021"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13</w:t>
                  </w:r>
                </w:p>
              </w:tc>
            </w:tr>
            <w:tr w:rsidR="1CFE082A" w14:paraId="6CE872E7" w14:textId="77777777" w:rsidTr="1CFE082A">
              <w:trPr>
                <w:trHeight w:val="300"/>
              </w:trPr>
              <w:tc>
                <w:tcPr>
                  <w:tcW w:w="1800" w:type="dxa"/>
                </w:tcPr>
                <w:p w14:paraId="0F52A058" w14:textId="383AE2FC"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5</w:t>
                  </w:r>
                </w:p>
              </w:tc>
              <w:tc>
                <w:tcPr>
                  <w:tcW w:w="1800" w:type="dxa"/>
                </w:tcPr>
                <w:p w14:paraId="7B352C3B" w14:textId="4077D4CA"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59</w:t>
                  </w:r>
                </w:p>
              </w:tc>
              <w:tc>
                <w:tcPr>
                  <w:tcW w:w="699" w:type="dxa"/>
                </w:tcPr>
                <w:p w14:paraId="74ED5020" w14:textId="4BEC48E4"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7</w:t>
                  </w:r>
                </w:p>
              </w:tc>
            </w:tr>
            <w:tr w:rsidR="1CFE082A" w14:paraId="08F19E66" w14:textId="77777777" w:rsidTr="1CFE082A">
              <w:trPr>
                <w:trHeight w:val="300"/>
              </w:trPr>
              <w:tc>
                <w:tcPr>
                  <w:tcW w:w="1800" w:type="dxa"/>
                </w:tcPr>
                <w:p w14:paraId="6EFEA027" w14:textId="7321303D"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10</w:t>
                  </w:r>
                </w:p>
              </w:tc>
              <w:tc>
                <w:tcPr>
                  <w:tcW w:w="1800" w:type="dxa"/>
                </w:tcPr>
                <w:p w14:paraId="6C535B87" w14:textId="1C8AB9C9"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47</w:t>
                  </w:r>
                </w:p>
              </w:tc>
              <w:tc>
                <w:tcPr>
                  <w:tcW w:w="699" w:type="dxa"/>
                </w:tcPr>
                <w:p w14:paraId="71FA6BE6" w14:textId="63D2EF75"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11</w:t>
                  </w:r>
                </w:p>
              </w:tc>
            </w:tr>
            <w:tr w:rsidR="1CFE082A" w14:paraId="18830904" w14:textId="77777777" w:rsidTr="1CFE082A">
              <w:trPr>
                <w:trHeight w:val="300"/>
              </w:trPr>
              <w:tc>
                <w:tcPr>
                  <w:tcW w:w="1800" w:type="dxa"/>
                </w:tcPr>
                <w:p w14:paraId="39613CB2" w14:textId="7CEFCD45"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50</w:t>
                  </w:r>
                </w:p>
              </w:tc>
              <w:tc>
                <w:tcPr>
                  <w:tcW w:w="1800" w:type="dxa"/>
                </w:tcPr>
                <w:p w14:paraId="54925984" w14:textId="3CFD7E5C"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11</w:t>
                  </w:r>
                </w:p>
              </w:tc>
              <w:tc>
                <w:tcPr>
                  <w:tcW w:w="699" w:type="dxa"/>
                </w:tcPr>
                <w:p w14:paraId="00E93F29" w14:textId="2ED95870"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1</w:t>
                  </w:r>
                </w:p>
              </w:tc>
            </w:tr>
            <w:tr w:rsidR="1CFE082A" w14:paraId="7A03486C" w14:textId="77777777" w:rsidTr="1CFE082A">
              <w:trPr>
                <w:trHeight w:val="300"/>
              </w:trPr>
              <w:tc>
                <w:tcPr>
                  <w:tcW w:w="1800" w:type="dxa"/>
                </w:tcPr>
                <w:p w14:paraId="100BF255" w14:textId="4F516E3A"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100</w:t>
                  </w:r>
                </w:p>
              </w:tc>
              <w:tc>
                <w:tcPr>
                  <w:tcW w:w="1800" w:type="dxa"/>
                </w:tcPr>
                <w:p w14:paraId="02197D87" w14:textId="10D1DC3E"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4</w:t>
                  </w:r>
                </w:p>
              </w:tc>
              <w:tc>
                <w:tcPr>
                  <w:tcW w:w="699" w:type="dxa"/>
                </w:tcPr>
                <w:p w14:paraId="05E591C2" w14:textId="394C47B6"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0</w:t>
                  </w:r>
                </w:p>
              </w:tc>
            </w:tr>
          </w:tbl>
          <w:p w14:paraId="5E2B3F48" w14:textId="4B0855B0" w:rsidR="1CFE082A" w:rsidRDefault="1CFE082A" w:rsidP="1CFE082A">
            <w:pPr>
              <w:jc w:val="both"/>
              <w:rPr>
                <w:rFonts w:ascii="Times New Roman" w:eastAsia="Times New Roman" w:hAnsi="Times New Roman" w:cs="Times New Roman"/>
                <w:color w:val="000000" w:themeColor="text1"/>
                <w:lang w:val="en-US"/>
              </w:rPr>
            </w:pPr>
          </w:p>
        </w:tc>
      </w:tr>
    </w:tbl>
    <w:p w14:paraId="38967B87" w14:textId="68529052" w:rsidR="1CFE082A" w:rsidRDefault="1CFE082A" w:rsidP="1CFE082A">
      <w:pPr>
        <w:jc w:val="both"/>
        <w:rPr>
          <w:rFonts w:ascii="Times New Roman" w:eastAsia="Times New Roman" w:hAnsi="Times New Roman" w:cs="Times New Roman"/>
          <w:color w:val="000000" w:themeColor="text1"/>
          <w:lang w:val="en-US"/>
        </w:rPr>
      </w:pPr>
    </w:p>
    <w:p w14:paraId="7ECFA90F" w14:textId="02AEF57F" w:rsidR="42CE33E4" w:rsidRDefault="42CE33E4"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b/>
          <w:bCs/>
          <w:color w:val="000000" w:themeColor="text1"/>
          <w:lang w:val="en-US"/>
        </w:rPr>
        <w:t>Supplementary Figure 1.</w:t>
      </w:r>
      <w:r w:rsidRPr="1CFE082A">
        <w:rPr>
          <w:rFonts w:ascii="Times New Roman" w:eastAsia="Times New Roman" w:hAnsi="Times New Roman" w:cs="Times New Roman"/>
          <w:color w:val="000000" w:themeColor="text1"/>
          <w:lang w:val="en-US"/>
        </w:rPr>
        <w:t xml:space="preserve"> Dose–response optimization of oxidative stress induction in ARPE-19 and RA-differentiated SH-SY5Y cells. ARPE-19 cells were exposed to increasing concentrations of NaIO</w:t>
      </w:r>
      <w:r w:rsidRPr="1CFE082A">
        <w:rPr>
          <w:rFonts w:ascii="Times New Roman" w:eastAsia="Times New Roman" w:hAnsi="Times New Roman" w:cs="Times New Roman"/>
          <w:color w:val="000000" w:themeColor="text1"/>
          <w:vertAlign w:val="subscript"/>
          <w:lang w:val="en-US"/>
        </w:rPr>
        <w:t>3</w:t>
      </w:r>
      <w:r w:rsidRPr="1CFE082A">
        <w:rPr>
          <w:rFonts w:ascii="Times New Roman" w:eastAsia="Times New Roman" w:hAnsi="Times New Roman" w:cs="Times New Roman"/>
          <w:color w:val="000000" w:themeColor="text1"/>
          <w:lang w:val="en-US"/>
        </w:rPr>
        <w:t>, whereas RA-differentiated SH-SY5Y cells were exposed to increasing concentrations of 6-OHDA. The selected concentrations, 10 mM NaIO</w:t>
      </w:r>
      <w:r w:rsidRPr="1CFE082A">
        <w:rPr>
          <w:rFonts w:ascii="Times New Roman" w:eastAsia="Times New Roman" w:hAnsi="Times New Roman" w:cs="Times New Roman"/>
          <w:color w:val="000000" w:themeColor="text1"/>
          <w:vertAlign w:val="subscript"/>
          <w:lang w:val="en-US"/>
        </w:rPr>
        <w:t>3</w:t>
      </w:r>
      <w:r w:rsidRPr="1CFE082A">
        <w:rPr>
          <w:rFonts w:ascii="Times New Roman" w:eastAsia="Times New Roman" w:hAnsi="Times New Roman" w:cs="Times New Roman"/>
          <w:color w:val="000000" w:themeColor="text1"/>
          <w:lang w:val="en-US"/>
        </w:rPr>
        <w:t xml:space="preserve"> and 25 µM 6-OHDA, induced robust but incomplete cellular injury and preserved a measurable dynamic range for subsequent nanoparticle treatment experiments. Data are presented as mean ± SD.</w:t>
      </w:r>
    </w:p>
    <w:p w14:paraId="479B171A" w14:textId="4236B0EB" w:rsidR="1CFE082A" w:rsidRDefault="1CFE082A" w:rsidP="1CFE082A">
      <w:pPr>
        <w:jc w:val="both"/>
        <w:rPr>
          <w:rFonts w:ascii="Times New Roman" w:eastAsia="Times New Roman" w:hAnsi="Times New Roman" w:cs="Times New Roman"/>
          <w:color w:val="000000" w:themeColor="text1"/>
          <w:lang w:val="en-US"/>
        </w:rPr>
      </w:pPr>
    </w:p>
    <w:p w14:paraId="5AAA9C8B" w14:textId="39B140DE" w:rsidR="0E7867DF" w:rsidRDefault="0E7867DF"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b/>
          <w:bCs/>
          <w:color w:val="000000" w:themeColor="text1"/>
          <w:lang w:val="en-US"/>
        </w:rPr>
        <w:t>Supplementary table 1.</w:t>
      </w:r>
      <w:r w:rsidRPr="1CFE082A">
        <w:rPr>
          <w:rFonts w:ascii="Times New Roman" w:eastAsia="Times New Roman" w:hAnsi="Times New Roman" w:cs="Times New Roman"/>
          <w:color w:val="000000" w:themeColor="text1"/>
          <w:lang w:val="en-US"/>
        </w:rPr>
        <w:t xml:space="preserve"> The sequences of RT-qPCR primers for the target genes in rabbits.</w:t>
      </w:r>
    </w:p>
    <w:tbl>
      <w:tblPr>
        <w:tblStyle w:val="Tabela-Siatka"/>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381"/>
        <w:gridCol w:w="6629"/>
      </w:tblGrid>
      <w:tr w:rsidR="1CFE082A" w14:paraId="5013CF27"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0FF4D7" w14:textId="598595D6"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lastRenderedPageBreak/>
              <w:t>Gene target</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699104" w14:textId="76436BCC"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Primer sequence 5’ -&gt; 3’</w:t>
            </w:r>
          </w:p>
          <w:p w14:paraId="5AEA67E0" w14:textId="5894C5BD" w:rsidR="1CFE082A" w:rsidRDefault="1CFE082A" w:rsidP="1CFE082A">
            <w:pPr>
              <w:jc w:val="both"/>
              <w:rPr>
                <w:rFonts w:ascii="Times New Roman" w:eastAsia="Times New Roman" w:hAnsi="Times New Roman" w:cs="Times New Roman"/>
                <w:color w:val="000000" w:themeColor="text1"/>
              </w:rPr>
            </w:pPr>
          </w:p>
        </w:tc>
      </w:tr>
      <w:tr w:rsidR="1CFE082A" w14:paraId="3BC5EAFC"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B27BC2" w14:textId="1D1F0E1A"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Oc-AKT1</w:t>
            </w:r>
          </w:p>
          <w:p w14:paraId="0D76575B" w14:textId="69058E19"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 xml:space="preserve"> </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18066B" w14:textId="32D94ADA"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rabAktR ACTCCATGCTGTCATCTGCG</w:t>
            </w:r>
          </w:p>
          <w:p w14:paraId="4A623452" w14:textId="292D0BC4"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rabAktF CAGGACCACGAGAAGCTGTT</w:t>
            </w:r>
          </w:p>
          <w:p w14:paraId="074A8528" w14:textId="33257421"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lang w:val="en-US"/>
              </w:rPr>
              <w:t xml:space="preserve"> </w:t>
            </w:r>
          </w:p>
        </w:tc>
      </w:tr>
      <w:tr w:rsidR="1CFE082A" w14:paraId="7E557577"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579103" w14:textId="3F9B02FA"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Oc-Mknk1</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455EF5" w14:textId="12D35F35"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rabMAPK1R TAAATGAGGGCCACATCTCGG</w:t>
            </w:r>
          </w:p>
          <w:p w14:paraId="27EB8442" w14:textId="6B000376"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rabMAPK1F ATGGACCTGACGCTCTTCGC</w:t>
            </w:r>
          </w:p>
          <w:p w14:paraId="1F9B24A1" w14:textId="3BA1942E"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lang w:val="en-US"/>
              </w:rPr>
              <w:t xml:space="preserve"> </w:t>
            </w:r>
          </w:p>
        </w:tc>
      </w:tr>
      <w:tr w:rsidR="1CFE082A" w14:paraId="3579A4BC"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883B9F" w14:textId="5BED0CF2"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Oc-Mapkapk2</w:t>
            </w:r>
          </w:p>
          <w:p w14:paraId="2B5E64FB" w14:textId="441A416A"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 xml:space="preserve"> </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EFE661" w14:textId="6A942994"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rabMAPK2R TCATAGACGTCCACGATGCG</w:t>
            </w:r>
          </w:p>
          <w:p w14:paraId="15A44B14" w14:textId="61889C5A"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rabMAPK2F AAGATGCTTCAGGACTGCCC</w:t>
            </w:r>
          </w:p>
          <w:p w14:paraId="58C807C3" w14:textId="6AED2829"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lang w:val="en-US"/>
              </w:rPr>
              <w:t xml:space="preserve"> </w:t>
            </w:r>
          </w:p>
        </w:tc>
      </w:tr>
      <w:tr w:rsidR="1CFE082A" w14:paraId="593CD47C"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78D007" w14:textId="69729692"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Oc-Mapkapk3</w:t>
            </w:r>
          </w:p>
          <w:p w14:paraId="42F6167F" w14:textId="12FDE4E7"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 xml:space="preserve"> </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F772E6" w14:textId="0D4A220C"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rabMAPK3R TTGTTGAGGAGCCGGTTGTT</w:t>
            </w:r>
          </w:p>
          <w:p w14:paraId="34BB73B3" w14:textId="048657D2"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rabMAPK3F CGGTGACGGATGACTACCAG</w:t>
            </w:r>
          </w:p>
          <w:p w14:paraId="449AD83F" w14:textId="7AC501D3"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lang w:val="en-US"/>
              </w:rPr>
              <w:t xml:space="preserve"> </w:t>
            </w:r>
          </w:p>
        </w:tc>
      </w:tr>
      <w:tr w:rsidR="1CFE082A" w14:paraId="48833894"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FDB5FD" w14:textId="0D2451D5"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Oc-Tp53</w:t>
            </w:r>
          </w:p>
          <w:p w14:paraId="08D07920" w14:textId="093B618A"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 xml:space="preserve"> </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8C880D" w14:textId="6ED5521A"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rabP53R CACAGGGCAGGTCTTTGCTA</w:t>
            </w:r>
          </w:p>
          <w:p w14:paraId="710E8447" w14:textId="4FD16120"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rabP53F GACACGCTCTCCTGAGGACT</w:t>
            </w:r>
          </w:p>
          <w:p w14:paraId="60DBC295" w14:textId="60740EBC"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lang w:val="en-US"/>
              </w:rPr>
              <w:t xml:space="preserve"> </w:t>
            </w:r>
          </w:p>
        </w:tc>
      </w:tr>
      <w:tr w:rsidR="1CFE082A" w14:paraId="61631A6F"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6D5802" w14:textId="7C102381"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Oc- Nkap</w:t>
            </w:r>
          </w:p>
          <w:p w14:paraId="22AE1B05" w14:textId="2DA26DF6"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 xml:space="preserve"> </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B44A88" w14:textId="16A17684"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rabNFkBR TGACTGAGGCCATTCCGTTC</w:t>
            </w:r>
          </w:p>
          <w:p w14:paraId="0319FAAA" w14:textId="010FF3FB"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rabNFkBF AACGATTCCCAAGGTTCCCC</w:t>
            </w:r>
          </w:p>
          <w:p w14:paraId="513AE5A5" w14:textId="010CC016"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lang w:val="en-US"/>
              </w:rPr>
              <w:t xml:space="preserve"> </w:t>
            </w:r>
          </w:p>
        </w:tc>
      </w:tr>
      <w:tr w:rsidR="1CFE082A" w14:paraId="2CBF9E56"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0BABBE" w14:textId="35F763BA"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Oc-Cnksr2</w:t>
            </w:r>
          </w:p>
          <w:p w14:paraId="2BAA128F" w14:textId="342FFD16"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 xml:space="preserve"> </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F693AE" w14:textId="5C97F352"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rabRASR TTGTGCTGCAGAGAGGACTG</w:t>
            </w:r>
          </w:p>
          <w:p w14:paraId="44AD7024" w14:textId="192138AC"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rabRASF AGAGGACCCGAGTGGTGTTA</w:t>
            </w:r>
          </w:p>
          <w:p w14:paraId="3F0549ED" w14:textId="318F41EB"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lang w:val="en-US"/>
              </w:rPr>
              <w:t xml:space="preserve"> </w:t>
            </w:r>
          </w:p>
        </w:tc>
      </w:tr>
      <w:tr w:rsidR="1CFE082A" w14:paraId="684E35B7"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744649" w14:textId="5C9824FC" w:rsidR="1CFE082A" w:rsidRDefault="1CFE082A" w:rsidP="1CFE082A">
            <w:pPr>
              <w:jc w:val="both"/>
              <w:rPr>
                <w:rFonts w:ascii="Times New Roman" w:eastAsia="Times New Roman" w:hAnsi="Times New Roman" w:cs="Times New Roman"/>
                <w:i/>
                <w:iCs/>
                <w:color w:val="000000" w:themeColor="text1"/>
                <w:lang w:val="en-US"/>
              </w:rPr>
            </w:pPr>
            <w:r w:rsidRPr="1CFE082A">
              <w:rPr>
                <w:rFonts w:ascii="Times New Roman" w:eastAsia="Times New Roman" w:hAnsi="Times New Roman" w:cs="Times New Roman"/>
                <w:i/>
                <w:iCs/>
                <w:color w:val="000000" w:themeColor="text1"/>
                <w:lang w:val="en-US"/>
              </w:rPr>
              <w:t>Oc-crebbp</w:t>
            </w:r>
          </w:p>
          <w:p w14:paraId="0E65F536" w14:textId="0E75262C"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 xml:space="preserve"> </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45D523" w14:textId="430BF621"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rabCREBR CAGGAGCTCCGACAGTTGTT</w:t>
            </w:r>
          </w:p>
          <w:p w14:paraId="496D81DC" w14:textId="59C0B41A"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rabCREBF CCAAACGAGCCAAACTCAGC</w:t>
            </w:r>
          </w:p>
          <w:p w14:paraId="287FEC24" w14:textId="7468DE26"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lang w:val="en-US"/>
              </w:rPr>
              <w:t xml:space="preserve"> </w:t>
            </w:r>
          </w:p>
        </w:tc>
      </w:tr>
      <w:tr w:rsidR="1CFE082A" w14:paraId="36339C2A"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AC08EC" w14:textId="6D651057"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Oc-MTOR</w:t>
            </w:r>
          </w:p>
          <w:p w14:paraId="02E72E04" w14:textId="0329C1A6"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 xml:space="preserve"> </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B11572" w14:textId="02D7BFE2"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rabmTORF CTGCCTGCCGATTGGTCTTC</w:t>
            </w:r>
          </w:p>
          <w:p w14:paraId="628BF214" w14:textId="5913D4A4"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rabmTORR AGCATCTTGCCCTGAGGTTC</w:t>
            </w:r>
          </w:p>
          <w:p w14:paraId="77FA773E" w14:textId="00303F2E"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lang w:val="en-US"/>
              </w:rPr>
              <w:t xml:space="preserve"> </w:t>
            </w:r>
          </w:p>
        </w:tc>
      </w:tr>
      <w:tr w:rsidR="1CFE082A" w14:paraId="7F86C63C"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77CB43" w14:textId="75A1D353"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Oc-PCNA</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C85306" w14:textId="0DDDC870"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rabPCNAF GCACGTATATGCCGAGACCT</w:t>
            </w:r>
          </w:p>
          <w:p w14:paraId="2A37F2F8" w14:textId="0252B960"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rabPCNAR CACTGGCGGAAAACTTCACC</w:t>
            </w:r>
          </w:p>
          <w:p w14:paraId="6CA2CB69" w14:textId="69241522"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lang w:val="en-US"/>
              </w:rPr>
              <w:t xml:space="preserve"> </w:t>
            </w:r>
          </w:p>
        </w:tc>
      </w:tr>
      <w:tr w:rsidR="1CFE082A" w14:paraId="5760C64D"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B30C5F" w14:textId="0735B9C0"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Oc-BCL2</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872C4A" w14:textId="5FDDF22A"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rabBcl2F TTTTTCAACAGAGCGGTGCG</w:t>
            </w:r>
          </w:p>
          <w:p w14:paraId="426A09BB" w14:textId="46D057BA"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rabBcl2R GGCCAAGTCCCACTATTGCT</w:t>
            </w:r>
          </w:p>
          <w:p w14:paraId="3B5E006E" w14:textId="2A1531BE"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lang w:val="en-US"/>
              </w:rPr>
              <w:t xml:space="preserve"> </w:t>
            </w:r>
          </w:p>
        </w:tc>
      </w:tr>
      <w:tr w:rsidR="1CFE082A" w14:paraId="603EF40D"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06E0F4" w14:textId="519DC820"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i/>
                <w:iCs/>
                <w:color w:val="000000" w:themeColor="text1"/>
                <w:lang w:val="en-US"/>
              </w:rPr>
              <w:t>Oc-CASP3</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2C49AE" w14:textId="2AD3AB59" w:rsidR="41B2C18D" w:rsidRDefault="41B2C18D"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w:t>
            </w:r>
            <w:r w:rsidR="1CFE082A" w:rsidRPr="1CFE082A">
              <w:rPr>
                <w:rFonts w:ascii="Times New Roman" w:eastAsia="Times New Roman" w:hAnsi="Times New Roman" w:cs="Times New Roman"/>
                <w:color w:val="000000" w:themeColor="text1"/>
              </w:rPr>
              <w:t>abCasp3FGCAAATCAATGGACTCTGGGAA</w:t>
            </w:r>
          </w:p>
          <w:p w14:paraId="474F876C" w14:textId="191BAC5A"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rabCasp3R CCCCACTGTCTGTCTCGATG</w:t>
            </w:r>
          </w:p>
        </w:tc>
      </w:tr>
      <w:tr w:rsidR="1CFE082A" w14:paraId="6EA2C9C4" w14:textId="77777777" w:rsidTr="1CFE082A">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AF94D8" w14:textId="671844D2" w:rsidR="1CFE082A" w:rsidRDefault="1CFE082A" w:rsidP="1CFE082A">
            <w:pPr>
              <w:jc w:val="both"/>
              <w:rPr>
                <w:rFonts w:ascii="Times New Roman" w:eastAsia="Times New Roman" w:hAnsi="Times New Roman" w:cs="Times New Roman"/>
                <w:i/>
                <w:iCs/>
                <w:color w:val="000000" w:themeColor="text1"/>
                <w:lang w:val="en-US"/>
              </w:rPr>
            </w:pPr>
            <w:r w:rsidRPr="1CFE082A">
              <w:rPr>
                <w:rFonts w:ascii="Times New Roman" w:eastAsia="Times New Roman" w:hAnsi="Times New Roman" w:cs="Times New Roman"/>
                <w:i/>
                <w:iCs/>
                <w:color w:val="000000" w:themeColor="text1"/>
                <w:lang w:val="en-US"/>
              </w:rPr>
              <w:t>Oc-Gapdh</w:t>
            </w:r>
          </w:p>
        </w:tc>
        <w:tc>
          <w:tcPr>
            <w:tcW w:w="66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8B4A3D" w14:textId="5E94CAA1"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rabGapdhF AGGTCGGTGTGAACGGATTTG</w:t>
            </w:r>
          </w:p>
          <w:p w14:paraId="4581277D" w14:textId="4541227A" w:rsidR="1CFE082A" w:rsidRDefault="1CFE082A" w:rsidP="1CFE082A">
            <w:pPr>
              <w:jc w:val="both"/>
              <w:rPr>
                <w:rFonts w:ascii="Times New Roman" w:eastAsia="Times New Roman" w:hAnsi="Times New Roman" w:cs="Times New Roman"/>
                <w:color w:val="000000" w:themeColor="text1"/>
              </w:rPr>
            </w:pPr>
            <w:r w:rsidRPr="1CFE082A">
              <w:rPr>
                <w:rFonts w:ascii="Times New Roman" w:eastAsia="Times New Roman" w:hAnsi="Times New Roman" w:cs="Times New Roman"/>
                <w:color w:val="000000" w:themeColor="text1"/>
              </w:rPr>
              <w:t>rabGapdhR TGTAGACCATGTAGTTGAGGTCA</w:t>
            </w:r>
          </w:p>
        </w:tc>
      </w:tr>
    </w:tbl>
    <w:p w14:paraId="6C46DA8F" w14:textId="329EDDBF" w:rsidR="1CFE082A" w:rsidRDefault="1CFE082A" w:rsidP="1CFE082A">
      <w:pPr>
        <w:jc w:val="both"/>
        <w:rPr>
          <w:rFonts w:ascii="Times New Roman" w:eastAsia="Times New Roman" w:hAnsi="Times New Roman" w:cs="Times New Roman"/>
          <w:color w:val="000000" w:themeColor="text1"/>
        </w:rPr>
      </w:pPr>
    </w:p>
    <w:p w14:paraId="25C272FB" w14:textId="4A0564D9" w:rsidR="1CFE082A" w:rsidRDefault="1CFE082A" w:rsidP="1CFE082A">
      <w:pPr>
        <w:spacing w:after="0" w:line="480" w:lineRule="auto"/>
        <w:jc w:val="both"/>
        <w:rPr>
          <w:rFonts w:ascii="Times New Roman" w:eastAsia="Times New Roman" w:hAnsi="Times New Roman" w:cs="Times New Roman"/>
          <w:color w:val="000000" w:themeColor="text1"/>
          <w:lang w:val="en-US"/>
        </w:rPr>
      </w:pPr>
    </w:p>
    <w:p w14:paraId="1281E22C" w14:textId="46DC6102" w:rsidR="0E7867DF" w:rsidRDefault="0E7867DF" w:rsidP="1CFE082A">
      <w:pPr>
        <w:spacing w:after="0" w:line="480" w:lineRule="auto"/>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b/>
          <w:bCs/>
          <w:color w:val="000000" w:themeColor="text1"/>
          <w:lang w:val="en-US"/>
        </w:rPr>
        <w:t>Supplementary table 2.</w:t>
      </w:r>
      <w:r w:rsidRPr="1CFE082A">
        <w:rPr>
          <w:rFonts w:ascii="Times New Roman" w:eastAsia="Times New Roman" w:hAnsi="Times New Roman" w:cs="Times New Roman"/>
          <w:color w:val="000000" w:themeColor="text1"/>
          <w:lang w:val="en-US"/>
        </w:rPr>
        <w:t xml:space="preserve"> The sequences of RT-qPCR primers for the target genes in humans.</w:t>
      </w:r>
    </w:p>
    <w:tbl>
      <w:tblPr>
        <w:tblStyle w:val="Tabela-Siatka"/>
        <w:tblW w:w="0" w:type="auto"/>
        <w:tblLook w:val="06A0" w:firstRow="1" w:lastRow="0" w:firstColumn="1" w:lastColumn="0" w:noHBand="1" w:noVBand="1"/>
      </w:tblPr>
      <w:tblGrid>
        <w:gridCol w:w="4406"/>
        <w:gridCol w:w="4600"/>
      </w:tblGrid>
      <w:tr w:rsidR="1CFE082A" w14:paraId="4D0BD065" w14:textId="77777777" w:rsidTr="1CFE082A">
        <w:trPr>
          <w:trHeight w:val="300"/>
        </w:trPr>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EB8BE9" w14:textId="78501004" w:rsidR="1CFE082A" w:rsidRDefault="1CFE082A" w:rsidP="1CFE082A">
            <w:pPr>
              <w:spacing w:line="480" w:lineRule="auto"/>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Gene</w:t>
            </w:r>
          </w:p>
        </w:tc>
        <w:tc>
          <w:tcPr>
            <w:tcW w:w="4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7E476E" w14:textId="76436BCC"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Primer sequence 5’ -&gt; 3’</w:t>
            </w:r>
          </w:p>
        </w:tc>
      </w:tr>
      <w:tr w:rsidR="1CFE082A" w14:paraId="793D570E" w14:textId="77777777" w:rsidTr="1CFE082A">
        <w:trPr>
          <w:trHeight w:val="300"/>
        </w:trPr>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D389C3" w14:textId="111D5C6E" w:rsidR="1CFE082A" w:rsidRDefault="1CFE082A" w:rsidP="1CFE082A">
            <w:pPr>
              <w:spacing w:line="480" w:lineRule="auto"/>
              <w:jc w:val="both"/>
              <w:rPr>
                <w:rFonts w:ascii="Times New Roman" w:eastAsia="Times New Roman" w:hAnsi="Times New Roman" w:cs="Times New Roman"/>
                <w:i/>
                <w:iCs/>
                <w:color w:val="000000" w:themeColor="text1"/>
                <w:lang w:val="en-US"/>
              </w:rPr>
            </w:pPr>
            <w:r w:rsidRPr="1CFE082A">
              <w:rPr>
                <w:rFonts w:ascii="Times New Roman" w:eastAsia="Times New Roman" w:hAnsi="Times New Roman" w:cs="Times New Roman"/>
                <w:i/>
                <w:iCs/>
                <w:color w:val="000000" w:themeColor="text1"/>
                <w:lang w:val="en-US"/>
              </w:rPr>
              <w:t>FCGRT</w:t>
            </w:r>
          </w:p>
        </w:tc>
        <w:tc>
          <w:tcPr>
            <w:tcW w:w="4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F77578" w14:textId="11C41E42"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AAACCTGGAGTGGAAGGAGC</w:t>
            </w:r>
          </w:p>
          <w:p w14:paraId="57D47CEF" w14:textId="03259071"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GGTAGAAGGAGAAGGCGCTG</w:t>
            </w:r>
          </w:p>
        </w:tc>
      </w:tr>
      <w:tr w:rsidR="1CFE082A" w14:paraId="72260906" w14:textId="77777777" w:rsidTr="1CFE082A">
        <w:trPr>
          <w:trHeight w:val="300"/>
        </w:trPr>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452125" w14:textId="25586499" w:rsidR="1CFE082A" w:rsidRDefault="1CFE082A" w:rsidP="1CFE082A">
            <w:pPr>
              <w:spacing w:line="480" w:lineRule="auto"/>
              <w:jc w:val="both"/>
              <w:rPr>
                <w:rFonts w:ascii="Times New Roman" w:eastAsia="Times New Roman" w:hAnsi="Times New Roman" w:cs="Times New Roman"/>
                <w:i/>
                <w:iCs/>
                <w:color w:val="000000" w:themeColor="text1"/>
                <w:lang w:val="en-US"/>
              </w:rPr>
            </w:pPr>
            <w:r w:rsidRPr="1CFE082A">
              <w:rPr>
                <w:rFonts w:ascii="Times New Roman" w:eastAsia="Times New Roman" w:hAnsi="Times New Roman" w:cs="Times New Roman"/>
                <w:i/>
                <w:iCs/>
                <w:color w:val="000000" w:themeColor="text1"/>
                <w:lang w:val="en-US"/>
              </w:rPr>
              <w:lastRenderedPageBreak/>
              <w:t>SPARC</w:t>
            </w:r>
          </w:p>
        </w:tc>
        <w:tc>
          <w:tcPr>
            <w:tcW w:w="4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C6FA6" w14:textId="1AF76D88"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 xml:space="preserve">AAGAAGGGCCACAAGCTCCA  </w:t>
            </w:r>
          </w:p>
          <w:p w14:paraId="507EF6D2" w14:textId="29E686DB"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TTCTTGAGCCAGTCCCGCAT</w:t>
            </w:r>
          </w:p>
        </w:tc>
      </w:tr>
      <w:tr w:rsidR="1CFE082A" w14:paraId="5792E6DF" w14:textId="77777777" w:rsidTr="1CFE082A">
        <w:trPr>
          <w:trHeight w:val="300"/>
        </w:trPr>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F5D3F7" w14:textId="360219B0" w:rsidR="1CFE082A" w:rsidRDefault="1CFE082A" w:rsidP="1CFE082A">
            <w:pPr>
              <w:spacing w:line="480" w:lineRule="auto"/>
              <w:jc w:val="both"/>
              <w:rPr>
                <w:rFonts w:ascii="Times New Roman" w:eastAsia="Times New Roman" w:hAnsi="Times New Roman" w:cs="Times New Roman"/>
                <w:i/>
                <w:iCs/>
                <w:color w:val="000000" w:themeColor="text1"/>
                <w:lang w:val="en-US"/>
              </w:rPr>
            </w:pPr>
            <w:r w:rsidRPr="1CFE082A">
              <w:rPr>
                <w:rFonts w:ascii="Times New Roman" w:eastAsia="Times New Roman" w:hAnsi="Times New Roman" w:cs="Times New Roman"/>
                <w:i/>
                <w:iCs/>
                <w:color w:val="000000" w:themeColor="text1"/>
                <w:lang w:val="en-US"/>
              </w:rPr>
              <w:t>CREB</w:t>
            </w:r>
          </w:p>
        </w:tc>
        <w:tc>
          <w:tcPr>
            <w:tcW w:w="4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223CBD" w14:textId="2A4BFCB1"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TGGGAGAAGCGGAGTGTTGG</w:t>
            </w:r>
          </w:p>
          <w:p w14:paraId="352EC9B9" w14:textId="37EB499F"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CCCGGATCTCGCTGGAGTTT</w:t>
            </w:r>
          </w:p>
        </w:tc>
      </w:tr>
      <w:tr w:rsidR="1CFE082A" w14:paraId="6E8EFD45" w14:textId="77777777" w:rsidTr="1CFE082A">
        <w:trPr>
          <w:trHeight w:val="300"/>
        </w:trPr>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44D87B" w14:textId="6889FC53" w:rsidR="1CFE082A" w:rsidRDefault="1CFE082A" w:rsidP="1CFE082A">
            <w:pPr>
              <w:spacing w:line="480" w:lineRule="auto"/>
              <w:jc w:val="both"/>
              <w:rPr>
                <w:rFonts w:ascii="Times New Roman" w:eastAsia="Times New Roman" w:hAnsi="Times New Roman" w:cs="Times New Roman"/>
                <w:i/>
                <w:iCs/>
                <w:color w:val="000000" w:themeColor="text1"/>
                <w:lang w:val="en-US"/>
              </w:rPr>
            </w:pPr>
            <w:r w:rsidRPr="1CFE082A">
              <w:rPr>
                <w:rFonts w:ascii="Times New Roman" w:eastAsia="Times New Roman" w:hAnsi="Times New Roman" w:cs="Times New Roman"/>
                <w:i/>
                <w:iCs/>
                <w:color w:val="000000" w:themeColor="text1"/>
                <w:lang w:val="en-US"/>
              </w:rPr>
              <w:t>TRKB</w:t>
            </w:r>
          </w:p>
        </w:tc>
        <w:tc>
          <w:tcPr>
            <w:tcW w:w="4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00EDBE" w14:textId="601209AD"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CTGGTGCATTCCATTCACTG</w:t>
            </w:r>
          </w:p>
          <w:p w14:paraId="4923DF65" w14:textId="010E9786"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CGTGGTACTCCGTGTGATTG</w:t>
            </w:r>
          </w:p>
        </w:tc>
      </w:tr>
      <w:tr w:rsidR="1CFE082A" w14:paraId="0B946154" w14:textId="77777777" w:rsidTr="1CFE082A">
        <w:trPr>
          <w:trHeight w:val="300"/>
        </w:trPr>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54011F" w14:textId="493819C2" w:rsidR="1CFE082A" w:rsidRDefault="1CFE082A" w:rsidP="1CFE082A">
            <w:pPr>
              <w:spacing w:line="480" w:lineRule="auto"/>
              <w:jc w:val="both"/>
              <w:rPr>
                <w:rFonts w:ascii="Times New Roman" w:eastAsia="Times New Roman" w:hAnsi="Times New Roman" w:cs="Times New Roman"/>
                <w:i/>
                <w:iCs/>
                <w:color w:val="000000" w:themeColor="text1"/>
                <w:lang w:val="en-US"/>
              </w:rPr>
            </w:pPr>
            <w:r w:rsidRPr="1CFE082A">
              <w:rPr>
                <w:rFonts w:ascii="Times New Roman" w:eastAsia="Times New Roman" w:hAnsi="Times New Roman" w:cs="Times New Roman"/>
                <w:i/>
                <w:iCs/>
                <w:color w:val="000000" w:themeColor="text1"/>
                <w:lang w:val="en-US"/>
              </w:rPr>
              <w:t>TRKC</w:t>
            </w:r>
          </w:p>
        </w:tc>
        <w:tc>
          <w:tcPr>
            <w:tcW w:w="4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305180" w14:textId="49F3AE38"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TGGCTGGACTATGTGGGCT</w:t>
            </w:r>
          </w:p>
          <w:p w14:paraId="7C70C60A" w14:textId="7CBCF924"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CCCATTGCTGTTCCCTGAATC</w:t>
            </w:r>
          </w:p>
        </w:tc>
      </w:tr>
      <w:tr w:rsidR="1CFE082A" w14:paraId="6F98329E" w14:textId="77777777" w:rsidTr="1CFE082A">
        <w:trPr>
          <w:trHeight w:val="645"/>
        </w:trPr>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3FA930" w14:textId="26A82090" w:rsidR="1CFE082A" w:rsidRDefault="1CFE082A" w:rsidP="1CFE082A">
            <w:pPr>
              <w:jc w:val="both"/>
              <w:rPr>
                <w:rFonts w:ascii="Times New Roman" w:eastAsia="Times New Roman" w:hAnsi="Times New Roman" w:cs="Times New Roman"/>
                <w:i/>
                <w:iCs/>
                <w:color w:val="000000" w:themeColor="text1"/>
                <w:vertAlign w:val="superscript"/>
                <w:lang w:val="en-US"/>
              </w:rPr>
            </w:pPr>
            <w:r w:rsidRPr="1CFE082A">
              <w:rPr>
                <w:rFonts w:ascii="Times New Roman" w:eastAsia="Times New Roman" w:hAnsi="Times New Roman" w:cs="Times New Roman"/>
                <w:i/>
                <w:iCs/>
                <w:color w:val="000000" w:themeColor="text1"/>
                <w:lang w:val="en-US"/>
              </w:rPr>
              <w:t>P75</w:t>
            </w:r>
            <w:r w:rsidRPr="1CFE082A">
              <w:rPr>
                <w:rFonts w:ascii="Times New Roman" w:eastAsia="Times New Roman" w:hAnsi="Times New Roman" w:cs="Times New Roman"/>
                <w:i/>
                <w:iCs/>
                <w:color w:val="000000" w:themeColor="text1"/>
                <w:vertAlign w:val="superscript"/>
                <w:lang w:val="en-US"/>
              </w:rPr>
              <w:t>NTR</w:t>
            </w:r>
          </w:p>
        </w:tc>
        <w:tc>
          <w:tcPr>
            <w:tcW w:w="4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D2B4BE" w14:textId="3FD94133"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CCTACGGCTACTACCAGGATG</w:t>
            </w:r>
          </w:p>
          <w:p w14:paraId="31145510" w14:textId="4613B1B0"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CACACGGTGTTCTGCTTGTC</w:t>
            </w:r>
          </w:p>
        </w:tc>
      </w:tr>
      <w:tr w:rsidR="1CFE082A" w14:paraId="5FEFC862" w14:textId="77777777" w:rsidTr="1CFE082A">
        <w:trPr>
          <w:trHeight w:val="300"/>
        </w:trPr>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EAE1C4" w14:textId="39700657" w:rsidR="1CFE082A" w:rsidRDefault="1CFE082A" w:rsidP="1CFE082A">
            <w:pPr>
              <w:spacing w:line="480" w:lineRule="auto"/>
              <w:jc w:val="both"/>
              <w:rPr>
                <w:rFonts w:ascii="Times New Roman" w:eastAsia="Times New Roman" w:hAnsi="Times New Roman" w:cs="Times New Roman"/>
                <w:i/>
                <w:iCs/>
                <w:color w:val="000000" w:themeColor="text1"/>
                <w:lang w:val="en-US"/>
              </w:rPr>
            </w:pPr>
            <w:r w:rsidRPr="1CFE082A">
              <w:rPr>
                <w:rFonts w:ascii="Times New Roman" w:eastAsia="Times New Roman" w:hAnsi="Times New Roman" w:cs="Times New Roman"/>
                <w:i/>
                <w:iCs/>
                <w:color w:val="000000" w:themeColor="text1"/>
                <w:lang w:val="en-US"/>
              </w:rPr>
              <w:t>GAPDH</w:t>
            </w:r>
          </w:p>
        </w:tc>
        <w:tc>
          <w:tcPr>
            <w:tcW w:w="4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2C6623" w14:textId="2FE1E743"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GGTTCACACCCATGACGAAC</w:t>
            </w:r>
          </w:p>
          <w:p w14:paraId="6CDC5B60" w14:textId="3361F4AD" w:rsidR="1CFE082A" w:rsidRDefault="1CFE082A"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color w:val="000000" w:themeColor="text1"/>
                <w:lang w:val="en-US"/>
              </w:rPr>
              <w:t>GAGTCCACTGGCGTCTTCAC</w:t>
            </w:r>
          </w:p>
        </w:tc>
      </w:tr>
    </w:tbl>
    <w:p w14:paraId="79CB463A" w14:textId="20510186" w:rsidR="1CFE082A" w:rsidRDefault="1CFE082A" w:rsidP="1CFE082A">
      <w:pPr>
        <w:jc w:val="both"/>
        <w:rPr>
          <w:rFonts w:ascii="Times New Roman" w:eastAsia="Times New Roman" w:hAnsi="Times New Roman" w:cs="Times New Roman"/>
          <w:color w:val="000000" w:themeColor="text1"/>
        </w:rPr>
      </w:pPr>
    </w:p>
    <w:p w14:paraId="2C771615" w14:textId="688ED1D5" w:rsidR="48D0773B" w:rsidRDefault="48D0773B" w:rsidP="48D0773B">
      <w:pPr>
        <w:jc w:val="both"/>
        <w:rPr>
          <w:rFonts w:ascii="Times New Roman" w:eastAsia="Times New Roman" w:hAnsi="Times New Roman" w:cs="Times New Roman"/>
          <w:color w:val="000000" w:themeColor="text1"/>
        </w:rPr>
      </w:pPr>
    </w:p>
    <w:p w14:paraId="031E4AA1" w14:textId="6ED5F563" w:rsidR="48D0773B" w:rsidRDefault="48D0773B" w:rsidP="48D0773B">
      <w:pPr>
        <w:jc w:val="both"/>
        <w:rPr>
          <w:rFonts w:ascii="Times New Roman" w:eastAsia="Times New Roman" w:hAnsi="Times New Roman" w:cs="Times New Roman"/>
          <w:color w:val="000000" w:themeColor="text1"/>
        </w:rPr>
      </w:pPr>
    </w:p>
    <w:p w14:paraId="0366F8FE" w14:textId="7CE93884" w:rsidR="48D0773B" w:rsidRDefault="48D0773B" w:rsidP="48D0773B">
      <w:pPr>
        <w:jc w:val="both"/>
        <w:rPr>
          <w:rFonts w:ascii="Times New Roman" w:eastAsia="Times New Roman" w:hAnsi="Times New Roman" w:cs="Times New Roman"/>
          <w:color w:val="000000" w:themeColor="text1"/>
        </w:rPr>
      </w:pPr>
    </w:p>
    <w:p w14:paraId="2748B92E" w14:textId="45E39B5F" w:rsidR="48D0773B" w:rsidRDefault="48D0773B" w:rsidP="48D0773B">
      <w:pPr>
        <w:jc w:val="both"/>
        <w:rPr>
          <w:rFonts w:ascii="Times New Roman" w:eastAsia="Times New Roman" w:hAnsi="Times New Roman" w:cs="Times New Roman"/>
          <w:color w:val="000000" w:themeColor="text1"/>
        </w:rPr>
      </w:pPr>
    </w:p>
    <w:p w14:paraId="32305D71" w14:textId="7DF68898" w:rsidR="48D0773B" w:rsidRDefault="48D0773B" w:rsidP="48D0773B">
      <w:pPr>
        <w:jc w:val="both"/>
        <w:rPr>
          <w:rFonts w:ascii="Times New Roman" w:eastAsia="Times New Roman" w:hAnsi="Times New Roman" w:cs="Times New Roman"/>
          <w:color w:val="000000" w:themeColor="text1"/>
        </w:rPr>
      </w:pPr>
    </w:p>
    <w:p w14:paraId="0167EC59" w14:textId="3E7D0D4A" w:rsidR="48D0773B" w:rsidRDefault="48D0773B" w:rsidP="48D0773B">
      <w:pPr>
        <w:jc w:val="both"/>
        <w:rPr>
          <w:rFonts w:ascii="Times New Roman" w:eastAsia="Times New Roman" w:hAnsi="Times New Roman" w:cs="Times New Roman"/>
          <w:color w:val="000000" w:themeColor="text1"/>
        </w:rPr>
      </w:pPr>
    </w:p>
    <w:p w14:paraId="1DBC4A55" w14:textId="74786EF1" w:rsidR="48D0773B" w:rsidRDefault="48D0773B" w:rsidP="48D0773B">
      <w:pPr>
        <w:jc w:val="both"/>
        <w:rPr>
          <w:rFonts w:ascii="Times New Roman" w:eastAsia="Times New Roman" w:hAnsi="Times New Roman" w:cs="Times New Roman"/>
          <w:color w:val="000000" w:themeColor="text1"/>
        </w:rPr>
      </w:pPr>
    </w:p>
    <w:p w14:paraId="6B9FA18F" w14:textId="2016BCEF" w:rsidR="48D0773B" w:rsidRDefault="48D0773B" w:rsidP="48D0773B">
      <w:pPr>
        <w:jc w:val="both"/>
        <w:rPr>
          <w:rFonts w:ascii="Times New Roman" w:eastAsia="Times New Roman" w:hAnsi="Times New Roman" w:cs="Times New Roman"/>
          <w:color w:val="000000" w:themeColor="text1"/>
        </w:rPr>
      </w:pPr>
    </w:p>
    <w:p w14:paraId="0C3F9578" w14:textId="27488EDF" w:rsidR="48D0773B" w:rsidRDefault="48D0773B" w:rsidP="48D0773B">
      <w:pPr>
        <w:jc w:val="both"/>
        <w:rPr>
          <w:rFonts w:ascii="Times New Roman" w:eastAsia="Times New Roman" w:hAnsi="Times New Roman" w:cs="Times New Roman"/>
          <w:color w:val="000000" w:themeColor="text1"/>
        </w:rPr>
      </w:pPr>
    </w:p>
    <w:p w14:paraId="1610D089" w14:textId="0340649B" w:rsidR="48D0773B" w:rsidRDefault="48D0773B" w:rsidP="48D0773B">
      <w:pPr>
        <w:jc w:val="both"/>
        <w:rPr>
          <w:rFonts w:ascii="Times New Roman" w:eastAsia="Times New Roman" w:hAnsi="Times New Roman" w:cs="Times New Roman"/>
          <w:color w:val="000000" w:themeColor="text1"/>
        </w:rPr>
      </w:pPr>
    </w:p>
    <w:p w14:paraId="3CD5B56A" w14:textId="22369A32" w:rsidR="48D0773B" w:rsidRDefault="48D0773B" w:rsidP="48D0773B">
      <w:pPr>
        <w:jc w:val="both"/>
        <w:rPr>
          <w:rFonts w:ascii="Times New Roman" w:eastAsia="Times New Roman" w:hAnsi="Times New Roman" w:cs="Times New Roman"/>
          <w:color w:val="000000" w:themeColor="text1"/>
        </w:rPr>
      </w:pPr>
    </w:p>
    <w:p w14:paraId="6BDD60AB" w14:textId="33C798CA" w:rsidR="48D0773B" w:rsidRDefault="48D0773B" w:rsidP="48D0773B">
      <w:pPr>
        <w:jc w:val="both"/>
        <w:rPr>
          <w:rFonts w:ascii="Times New Roman" w:eastAsia="Times New Roman" w:hAnsi="Times New Roman" w:cs="Times New Roman"/>
          <w:color w:val="000000" w:themeColor="text1"/>
        </w:rPr>
      </w:pPr>
    </w:p>
    <w:p w14:paraId="1612BE2C" w14:textId="53E937AB" w:rsidR="48D0773B" w:rsidRDefault="48D0773B" w:rsidP="48D0773B">
      <w:pPr>
        <w:jc w:val="both"/>
        <w:rPr>
          <w:rFonts w:ascii="Times New Roman" w:eastAsia="Times New Roman" w:hAnsi="Times New Roman" w:cs="Times New Roman"/>
          <w:color w:val="000000" w:themeColor="text1"/>
        </w:rPr>
      </w:pPr>
    </w:p>
    <w:p w14:paraId="4195A33A" w14:textId="2CDEED84" w:rsidR="48D0773B" w:rsidRDefault="48D0773B" w:rsidP="48D0773B">
      <w:pPr>
        <w:jc w:val="both"/>
        <w:rPr>
          <w:rFonts w:ascii="Times New Roman" w:eastAsia="Times New Roman" w:hAnsi="Times New Roman" w:cs="Times New Roman"/>
          <w:color w:val="000000" w:themeColor="text1"/>
        </w:rPr>
      </w:pPr>
    </w:p>
    <w:p w14:paraId="33160178" w14:textId="3DB4B267" w:rsidR="48D0773B" w:rsidRDefault="48D0773B" w:rsidP="48D0773B">
      <w:pPr>
        <w:jc w:val="both"/>
        <w:rPr>
          <w:rFonts w:ascii="Times New Roman" w:eastAsia="Times New Roman" w:hAnsi="Times New Roman" w:cs="Times New Roman"/>
          <w:color w:val="000000" w:themeColor="text1"/>
        </w:rPr>
      </w:pPr>
    </w:p>
    <w:p w14:paraId="4BE19D06" w14:textId="4C88ABA2" w:rsidR="48D0773B" w:rsidRDefault="48D0773B" w:rsidP="48D0773B">
      <w:pPr>
        <w:jc w:val="both"/>
        <w:rPr>
          <w:rFonts w:ascii="Times New Roman" w:eastAsia="Times New Roman" w:hAnsi="Times New Roman" w:cs="Times New Roman"/>
          <w:color w:val="000000" w:themeColor="text1"/>
        </w:rPr>
      </w:pPr>
    </w:p>
    <w:p w14:paraId="344401A3" w14:textId="3BFFAFB0" w:rsidR="48D0773B" w:rsidRDefault="48D0773B" w:rsidP="48D0773B">
      <w:pPr>
        <w:jc w:val="both"/>
        <w:rPr>
          <w:rFonts w:ascii="Times New Roman" w:eastAsia="Times New Roman" w:hAnsi="Times New Roman" w:cs="Times New Roman"/>
          <w:color w:val="000000" w:themeColor="text1"/>
        </w:rPr>
      </w:pPr>
    </w:p>
    <w:p w14:paraId="3FD807C8" w14:textId="0A240345" w:rsidR="48D0773B" w:rsidRDefault="48D0773B" w:rsidP="48D0773B">
      <w:pPr>
        <w:jc w:val="both"/>
        <w:rPr>
          <w:rFonts w:ascii="Times New Roman" w:eastAsia="Times New Roman" w:hAnsi="Times New Roman" w:cs="Times New Roman"/>
          <w:color w:val="000000" w:themeColor="text1"/>
        </w:rPr>
      </w:pPr>
    </w:p>
    <w:p w14:paraId="3FECA7BC" w14:textId="2CD8CAC5" w:rsidR="48D0773B" w:rsidRDefault="48D0773B" w:rsidP="48D0773B">
      <w:pPr>
        <w:jc w:val="both"/>
        <w:rPr>
          <w:rFonts w:ascii="Times New Roman" w:eastAsia="Times New Roman" w:hAnsi="Times New Roman" w:cs="Times New Roman"/>
          <w:color w:val="000000" w:themeColor="text1"/>
        </w:rPr>
      </w:pPr>
    </w:p>
    <w:p w14:paraId="1D52810C" w14:textId="328AAE15" w:rsidR="48D0773B" w:rsidRDefault="48D0773B" w:rsidP="48D0773B">
      <w:pPr>
        <w:jc w:val="both"/>
        <w:rPr>
          <w:rFonts w:ascii="Times New Roman" w:eastAsia="Times New Roman" w:hAnsi="Times New Roman" w:cs="Times New Roman"/>
          <w:color w:val="000000" w:themeColor="text1"/>
        </w:rPr>
      </w:pPr>
    </w:p>
    <w:p w14:paraId="36D3D0CB" w14:textId="7DAA0281" w:rsidR="48D0773B" w:rsidRDefault="48D0773B" w:rsidP="48D0773B">
      <w:pPr>
        <w:jc w:val="both"/>
        <w:rPr>
          <w:rFonts w:ascii="Times New Roman" w:eastAsia="Times New Roman" w:hAnsi="Times New Roman" w:cs="Times New Roman"/>
          <w:color w:val="000000" w:themeColor="text1"/>
        </w:rPr>
      </w:pPr>
    </w:p>
    <w:p w14:paraId="5EC81FB7" w14:textId="34822F45" w:rsidR="48D0773B" w:rsidRDefault="48D0773B" w:rsidP="48D0773B">
      <w:pPr>
        <w:jc w:val="both"/>
        <w:rPr>
          <w:rFonts w:ascii="Times New Roman" w:eastAsia="Times New Roman" w:hAnsi="Times New Roman" w:cs="Times New Roman"/>
          <w:color w:val="000000" w:themeColor="text1"/>
        </w:rPr>
      </w:pPr>
    </w:p>
    <w:p w14:paraId="15AE35D4" w14:textId="29E058BA" w:rsidR="3466CAFA" w:rsidRDefault="428E987A" w:rsidP="1CFE082A">
      <w:pPr>
        <w:spacing w:before="240" w:after="240"/>
        <w:jc w:val="both"/>
      </w:pPr>
      <w:r>
        <w:rPr>
          <w:noProof/>
        </w:rPr>
        <w:drawing>
          <wp:inline distT="0" distB="0" distL="0" distR="0" wp14:anchorId="65578028" wp14:editId="4D8B32A3">
            <wp:extent cx="6410599" cy="3815524"/>
            <wp:effectExtent l="0" t="0" r="0" b="0"/>
            <wp:docPr id="20476878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87891" name="Picture 2047687891"/>
                    <pic:cNvPicPr/>
                  </pic:nvPicPr>
                  <pic:blipFill>
                    <a:blip r:embed="rId6">
                      <a:extLst>
                        <a:ext uri="{28A0092B-C50C-407E-A947-70E740481C1C}">
                          <a14:useLocalDpi xmlns:a14="http://schemas.microsoft.com/office/drawing/2010/main"/>
                        </a:ext>
                      </a:extLst>
                    </a:blip>
                    <a:stretch>
                      <a:fillRect/>
                    </a:stretch>
                  </pic:blipFill>
                  <pic:spPr>
                    <a:xfrm>
                      <a:off x="0" y="0"/>
                      <a:ext cx="6410599" cy="3815524"/>
                    </a:xfrm>
                    <a:prstGeom prst="rect">
                      <a:avLst/>
                    </a:prstGeom>
                  </pic:spPr>
                </pic:pic>
              </a:graphicData>
            </a:graphic>
          </wp:inline>
        </w:drawing>
      </w:r>
    </w:p>
    <w:p w14:paraId="727095FB" w14:textId="3364D565" w:rsidR="5539C194" w:rsidRDefault="5539C194" w:rsidP="1CFE082A">
      <w:pPr>
        <w:spacing w:before="240" w:after="240"/>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b/>
          <w:bCs/>
          <w:color w:val="000000" w:themeColor="text1"/>
          <w:lang w:val="en-US"/>
        </w:rPr>
        <w:t>Supplementary Figure 2</w:t>
      </w:r>
      <w:r w:rsidR="3466CAFA" w:rsidRPr="1CFE082A">
        <w:rPr>
          <w:rFonts w:ascii="Times New Roman" w:eastAsia="Times New Roman" w:hAnsi="Times New Roman" w:cs="Times New Roman"/>
          <w:b/>
          <w:bCs/>
          <w:color w:val="000000" w:themeColor="text1"/>
          <w:lang w:val="en-US"/>
        </w:rPr>
        <w:t>. Representative HPLC chromatograms of MDA standards and biological samples used for lipid peroxidation analysis.</w:t>
      </w:r>
      <w:r w:rsidRPr="005F608A">
        <w:rPr>
          <w:lang w:val="en-US"/>
        </w:rPr>
        <w:br/>
      </w:r>
      <w:r w:rsidR="3466CAFA" w:rsidRPr="1CFE082A">
        <w:rPr>
          <w:rFonts w:ascii="Times New Roman" w:eastAsia="Times New Roman" w:hAnsi="Times New Roman" w:cs="Times New Roman"/>
          <w:color w:val="000000" w:themeColor="text1"/>
          <w:lang w:val="en-US"/>
        </w:rPr>
        <w:t xml:space="preserve"> (A) Representative chromatograms of MDA calibration standards prepared from tetraethoxypropane (TEP) and derivatized with thiobarbituric acid (TBA) prior to reverse-phase HPLC analysis. The chromatograms demonstrate concentration-dependent fluorescence signals of the MDA-(TBA)₂ adduct with highly reproducible retention times ranging from approximately 5.09 to 5.14 min. (B) Representative chromatograms obtained from ARPE-19 cell culture supernatants following oxidative stress induction and nanoparticle treatment. The MDA-(TBA)₂ adduct peak was detected at approximately 5.07–5.10 min, confirming consistent chromatographic separation and reliable identification of lipid peroxidation products in biological samples. (C) Calibration curve for MDA quantification using TEP standards. Linear regression analysis of tetraethoxypropane (TEP)-derived MDA standards used for HPLC-based quantification of lipid peroxidation products. The calibration curve demonstrates a linear relationship between fluorescence signal intensity (LU) and MDA concentration (µmol/L) within the tested concentration range, </w:t>
      </w:r>
      <w:r w:rsidR="3466CAFA" w:rsidRPr="005F608A">
        <w:rPr>
          <w:rFonts w:ascii="Times New Roman" w:eastAsia="Times New Roman" w:hAnsi="Times New Roman" w:cs="Times New Roman"/>
          <w:color w:val="000000" w:themeColor="text1"/>
          <w:lang w:val="en-US"/>
        </w:rPr>
        <w:t xml:space="preserve">MDA concentrations were quantified using an Agilent 1260 Infinity II HPLC system equipped with a BDS Hypersil C18 column and fluorescence detection (Ex 528 nm, Em 553 nm). Separation was performed using a KH₂PO₄/methanol (70:30, v/v) mobile phase at a flow rate of 0.5 mL/min with a total run time of 6.5 min. Quantification was based on integration of retention times and peak areas relative to the TEP calibration curve. </w:t>
      </w:r>
      <w:r w:rsidR="3466CAFA" w:rsidRPr="1CFE082A">
        <w:rPr>
          <w:rFonts w:ascii="Times New Roman" w:eastAsia="Times New Roman" w:hAnsi="Times New Roman" w:cs="Times New Roman"/>
          <w:color w:val="000000" w:themeColor="text1"/>
          <w:lang w:val="en-US"/>
        </w:rPr>
        <w:t xml:space="preserve">The chromatograms demonstrated reproducible retention times for the MDA-(TBA)₂ adduct, ranging from approximately 5.07 to 5.14 min, confirming reliable </w:t>
      </w:r>
      <w:r w:rsidR="3466CAFA" w:rsidRPr="1CFE082A">
        <w:rPr>
          <w:rFonts w:ascii="Times New Roman" w:eastAsia="Times New Roman" w:hAnsi="Times New Roman" w:cs="Times New Roman"/>
          <w:color w:val="000000" w:themeColor="text1"/>
          <w:lang w:val="en-US"/>
        </w:rPr>
        <w:lastRenderedPageBreak/>
        <w:t>chromatographic separation and peak identification across both calibration standards and biological samples.</w:t>
      </w:r>
    </w:p>
    <w:p w14:paraId="5D449643" w14:textId="79087741" w:rsidR="3466CAFA" w:rsidRDefault="3466CAFA" w:rsidP="1CFE082A">
      <w:pPr>
        <w:jc w:val="both"/>
        <w:rPr>
          <w:rFonts w:ascii="Times New Roman" w:eastAsia="Times New Roman" w:hAnsi="Times New Roman" w:cs="Times New Roman"/>
          <w:color w:val="000000" w:themeColor="text1"/>
          <w:lang w:val="en-US"/>
        </w:rPr>
      </w:pPr>
      <w:r>
        <w:rPr>
          <w:noProof/>
        </w:rPr>
        <w:lastRenderedPageBreak/>
        <w:drawing>
          <wp:inline distT="0" distB="0" distL="0" distR="0" wp14:anchorId="30802812" wp14:editId="57D61A22">
            <wp:extent cx="5400000" cy="8342929"/>
            <wp:effectExtent l="0" t="0" r="0" b="0"/>
            <wp:docPr id="6667489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89498" name="Picture 1524289498"/>
                    <pic:cNvPicPr/>
                  </pic:nvPicPr>
                  <pic:blipFill>
                    <a:blip r:embed="rId7">
                      <a:extLst>
                        <a:ext uri="{28A0092B-C50C-407E-A947-70E740481C1C}">
                          <a14:useLocalDpi xmlns:a14="http://schemas.microsoft.com/office/drawing/2010/main"/>
                        </a:ext>
                      </a:extLst>
                    </a:blip>
                    <a:stretch>
                      <a:fillRect/>
                    </a:stretch>
                  </pic:blipFill>
                  <pic:spPr>
                    <a:xfrm>
                      <a:off x="0" y="0"/>
                      <a:ext cx="5400000" cy="8342929"/>
                    </a:xfrm>
                    <a:prstGeom prst="rect">
                      <a:avLst/>
                    </a:prstGeom>
                  </pic:spPr>
                </pic:pic>
              </a:graphicData>
            </a:graphic>
          </wp:inline>
        </w:drawing>
      </w:r>
    </w:p>
    <w:p w14:paraId="74DFFF32" w14:textId="6EEFBCB8" w:rsidR="1CFE082A" w:rsidRDefault="1CFE082A" w:rsidP="1CFE082A">
      <w:pPr>
        <w:jc w:val="both"/>
        <w:rPr>
          <w:rFonts w:ascii="Times New Roman" w:eastAsia="Times New Roman" w:hAnsi="Times New Roman" w:cs="Times New Roman"/>
          <w:color w:val="000000" w:themeColor="text1"/>
          <w:lang w:val="en-US"/>
        </w:rPr>
      </w:pPr>
    </w:p>
    <w:p w14:paraId="6448ED4B" w14:textId="2A91B8D3" w:rsidR="1CFE082A" w:rsidRDefault="1CFE082A" w:rsidP="1CFE082A">
      <w:pPr>
        <w:jc w:val="both"/>
        <w:rPr>
          <w:rFonts w:ascii="Times New Roman" w:eastAsia="Times New Roman" w:hAnsi="Times New Roman" w:cs="Times New Roman"/>
          <w:color w:val="000000" w:themeColor="text1"/>
          <w:lang w:val="en-US"/>
        </w:rPr>
      </w:pPr>
    </w:p>
    <w:p w14:paraId="692D79F7" w14:textId="3379924B" w:rsidR="491FE9FC" w:rsidRDefault="491FE9FC"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b/>
          <w:bCs/>
          <w:color w:val="000000" w:themeColor="text1"/>
          <w:lang w:val="en-US"/>
        </w:rPr>
        <w:t>Supplementary Figure 3.</w:t>
      </w:r>
      <w:r w:rsidR="3466CAFA" w:rsidRPr="1CFE082A">
        <w:rPr>
          <w:rFonts w:ascii="Times New Roman" w:eastAsia="Times New Roman" w:hAnsi="Times New Roman" w:cs="Times New Roman"/>
          <w:b/>
          <w:bCs/>
          <w:color w:val="000000" w:themeColor="text1"/>
          <w:lang w:val="en-US"/>
        </w:rPr>
        <w:t xml:space="preserve"> </w:t>
      </w:r>
      <w:r w:rsidR="3466CAFA" w:rsidRPr="1CFE082A">
        <w:rPr>
          <w:rFonts w:ascii="Times New Roman" w:eastAsia="Times New Roman" w:hAnsi="Times New Roman" w:cs="Times New Roman"/>
          <w:color w:val="000000" w:themeColor="text1"/>
          <w:lang w:val="en-US"/>
        </w:rPr>
        <w:t xml:space="preserve"> Physicochemical characterization of PEGylated HSA/NT3/BDNF nanoparticles (NeO5 formulation) over 28 days after formulation. Representative MADLS intensity-weighted particle size distributions (A), number-weighted particle size distributions (B), and autocorrelation functions (C) measured in Ringer’s solution (pH 4.9, ionic strength 0.15 M). Intensity-weighted analysis revealed two reproducible nanoparticle populations centered approximately at 5.9 nm and 42.4 nm, which remained stable throughout the 28-day observation period with minimal variation in peak position and intensity. In contrast, number-weighted distributions demonstrated that the overwhelming majority of nanoparticles belonged to the smaller nanoscale population (~5.9–10 nm), whereas the larger population represented only a minor numerical fraction. The nearly overlapping autocorrelation functions further confirmed highly reproducible diffusion behavior and absence of progressive aggregation or colloidal destabilization during storage. All measurements were performed in independent replicates, and individual curves represent nanoparticle distributions obtained at different time points over the 28-day storage period.</w:t>
      </w:r>
    </w:p>
    <w:p w14:paraId="1EE4966C" w14:textId="2AF16FAD" w:rsidR="1CFE082A" w:rsidRPr="005F608A" w:rsidRDefault="1CFE082A" w:rsidP="1CFE082A">
      <w:pPr>
        <w:jc w:val="both"/>
        <w:rPr>
          <w:rFonts w:ascii="Times New Roman" w:eastAsia="Times New Roman" w:hAnsi="Times New Roman" w:cs="Times New Roman"/>
          <w:color w:val="000000" w:themeColor="text1"/>
          <w:lang w:val="en-US"/>
        </w:rPr>
      </w:pPr>
    </w:p>
    <w:p w14:paraId="789383B8" w14:textId="59C30D80" w:rsidR="5AF62A69" w:rsidRDefault="38B54306" w:rsidP="1CFE082A">
      <w:pPr>
        <w:jc w:val="both"/>
        <w:rPr>
          <w:rFonts w:ascii="Times New Roman" w:eastAsia="Times New Roman" w:hAnsi="Times New Roman" w:cs="Times New Roman"/>
          <w:color w:val="000000" w:themeColor="text1"/>
        </w:rPr>
      </w:pPr>
      <w:r>
        <w:rPr>
          <w:noProof/>
        </w:rPr>
        <w:lastRenderedPageBreak/>
        <w:drawing>
          <wp:inline distT="0" distB="0" distL="0" distR="0" wp14:anchorId="59709BA0" wp14:editId="1F8BB3EF">
            <wp:extent cx="5656765" cy="7093408"/>
            <wp:effectExtent l="0" t="0" r="0" b="0"/>
            <wp:docPr id="11741654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65451" name=""/>
                    <pic:cNvPicPr/>
                  </pic:nvPicPr>
                  <pic:blipFill>
                    <a:blip r:embed="rId8">
                      <a:extLst>
                        <a:ext uri="{28A0092B-C50C-407E-A947-70E740481C1C}">
                          <a14:useLocalDpi xmlns:a14="http://schemas.microsoft.com/office/drawing/2010/main"/>
                        </a:ext>
                      </a:extLst>
                    </a:blip>
                    <a:srcRect l="2020" t="1721" r="2020" b="3576"/>
                    <a:stretch>
                      <a:fillRect/>
                    </a:stretch>
                  </pic:blipFill>
                  <pic:spPr>
                    <a:xfrm>
                      <a:off x="0" y="0"/>
                      <a:ext cx="5656765" cy="7093408"/>
                    </a:xfrm>
                    <a:prstGeom prst="rect">
                      <a:avLst/>
                    </a:prstGeom>
                  </pic:spPr>
                </pic:pic>
              </a:graphicData>
            </a:graphic>
          </wp:inline>
        </w:drawing>
      </w:r>
    </w:p>
    <w:p w14:paraId="1953C02E" w14:textId="49BCA8F9" w:rsidR="3977CE50" w:rsidRPr="00906AA8" w:rsidRDefault="3977CE50"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b/>
          <w:bCs/>
          <w:color w:val="000000" w:themeColor="text1"/>
          <w:lang w:val="en-US"/>
        </w:rPr>
        <w:t xml:space="preserve">Supplementary Figure </w:t>
      </w:r>
      <w:r w:rsidR="2B0FFAF0" w:rsidRPr="1CFE082A">
        <w:rPr>
          <w:rFonts w:ascii="Times New Roman" w:eastAsia="Times New Roman" w:hAnsi="Times New Roman" w:cs="Times New Roman"/>
          <w:b/>
          <w:bCs/>
          <w:color w:val="000000" w:themeColor="text1"/>
          <w:lang w:val="en-US"/>
        </w:rPr>
        <w:t>4</w:t>
      </w:r>
      <w:r w:rsidR="0FDDB592" w:rsidRPr="1CFE082A">
        <w:rPr>
          <w:rFonts w:ascii="Times New Roman" w:eastAsia="Times New Roman" w:hAnsi="Times New Roman" w:cs="Times New Roman"/>
          <w:b/>
          <w:bCs/>
          <w:color w:val="000000" w:themeColor="text1"/>
          <w:lang w:val="en-US"/>
        </w:rPr>
        <w:t xml:space="preserve">. </w:t>
      </w:r>
      <w:r w:rsidR="3808F864" w:rsidRPr="1CFE082A">
        <w:rPr>
          <w:rFonts w:ascii="Times New Roman" w:eastAsia="Times New Roman" w:hAnsi="Times New Roman" w:cs="Times New Roman"/>
          <w:color w:val="000000" w:themeColor="text1"/>
          <w:lang w:val="en-US"/>
        </w:rPr>
        <w:t>Scatter plots of individual biological replicates from</w:t>
      </w:r>
      <w:r w:rsidR="0FDDB592" w:rsidRPr="1CFE082A">
        <w:rPr>
          <w:rFonts w:ascii="Times New Roman" w:eastAsia="Times New Roman" w:hAnsi="Times New Roman" w:cs="Times New Roman"/>
          <w:color w:val="000000" w:themeColor="text1"/>
          <w:lang w:val="en-US"/>
        </w:rPr>
        <w:t xml:space="preserve"> Figure 4. Scatter plots showing individual biological replicates </w:t>
      </w:r>
      <w:r w:rsidR="2DA82135" w:rsidRPr="1CFE082A">
        <w:rPr>
          <w:rFonts w:ascii="Times New Roman" w:eastAsia="Times New Roman" w:hAnsi="Times New Roman" w:cs="Times New Roman"/>
          <w:color w:val="000000" w:themeColor="text1"/>
          <w:lang w:val="en-US"/>
        </w:rPr>
        <w:t xml:space="preserve">(black point) </w:t>
      </w:r>
      <w:r w:rsidR="0FDDB592" w:rsidRPr="1CFE082A">
        <w:rPr>
          <w:rFonts w:ascii="Times New Roman" w:eastAsia="Times New Roman" w:hAnsi="Times New Roman" w:cs="Times New Roman"/>
          <w:color w:val="000000" w:themeColor="text1"/>
          <w:lang w:val="en-US"/>
        </w:rPr>
        <w:t>for each analyzed gene following nanoparticle exposure at 72 h and 28 days. Expression levels were quantified by RT-qPCR and calculated using the 2</w:t>
      </w:r>
      <w:r w:rsidR="4CF86626" w:rsidRPr="1CFE082A">
        <w:rPr>
          <w:rFonts w:ascii="Times New Roman" w:eastAsia="Times New Roman" w:hAnsi="Times New Roman" w:cs="Times New Roman"/>
          <w:color w:val="000000" w:themeColor="text1"/>
          <w:vertAlign w:val="superscript"/>
          <w:lang w:val="en-US"/>
        </w:rPr>
        <w:t>-</w:t>
      </w:r>
      <w:r w:rsidR="0FDDB592" w:rsidRPr="1CFE082A">
        <w:rPr>
          <w:rFonts w:ascii="Times New Roman" w:eastAsia="Times New Roman" w:hAnsi="Times New Roman" w:cs="Times New Roman"/>
          <w:color w:val="000000" w:themeColor="text1"/>
          <w:vertAlign w:val="superscript"/>
          <w:lang w:val="en-US"/>
        </w:rPr>
        <w:t>ΔΔCt</w:t>
      </w:r>
      <w:r w:rsidR="0FDDB592" w:rsidRPr="1CFE082A">
        <w:rPr>
          <w:rFonts w:ascii="Times New Roman" w:eastAsia="Times New Roman" w:hAnsi="Times New Roman" w:cs="Times New Roman"/>
          <w:color w:val="000000" w:themeColor="text1"/>
          <w:lang w:val="en-US"/>
        </w:rPr>
        <w:t xml:space="preserve"> method, normalized to intact control samples. Horizontal lines indicate group means.</w:t>
      </w:r>
      <w:r w:rsidR="4287EFA1" w:rsidRPr="1CFE082A">
        <w:rPr>
          <w:rFonts w:ascii="Times New Roman" w:eastAsia="Times New Roman" w:hAnsi="Times New Roman" w:cs="Times New Roman"/>
          <w:color w:val="000000" w:themeColor="text1"/>
          <w:lang w:val="en-US"/>
        </w:rPr>
        <w:t xml:space="preserve"> </w:t>
      </w:r>
      <w:r w:rsidR="0FDDB592" w:rsidRPr="1CFE082A">
        <w:rPr>
          <w:rFonts w:ascii="Times New Roman" w:eastAsia="Times New Roman" w:hAnsi="Times New Roman" w:cs="Times New Roman"/>
          <w:color w:val="000000" w:themeColor="text1"/>
          <w:lang w:val="en-US"/>
        </w:rPr>
        <w:t>Data are presented for descriptive purposes to illustrate inter-sample variability. No inferential statistical testing was performed due to limited sample size.</w:t>
      </w:r>
    </w:p>
    <w:p w14:paraId="0DE68BA5" w14:textId="3B4E0580" w:rsidR="6BE14F1D" w:rsidRPr="00906AA8" w:rsidRDefault="4B8BCF60" w:rsidP="1CFE082A">
      <w:pPr>
        <w:jc w:val="both"/>
        <w:rPr>
          <w:rFonts w:ascii="Times New Roman" w:eastAsia="Times New Roman" w:hAnsi="Times New Roman" w:cs="Times New Roman"/>
          <w:color w:val="000000" w:themeColor="text1"/>
        </w:rPr>
      </w:pPr>
      <w:r>
        <w:rPr>
          <w:noProof/>
        </w:rPr>
        <w:lastRenderedPageBreak/>
        <w:drawing>
          <wp:inline distT="0" distB="0" distL="0" distR="0" wp14:anchorId="1D71AF6E" wp14:editId="36D14226">
            <wp:extent cx="5791200" cy="6226317"/>
            <wp:effectExtent l="0" t="0" r="0" b="0"/>
            <wp:docPr id="747225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84150" name="Picture 1109084150"/>
                    <pic:cNvPicPr/>
                  </pic:nvPicPr>
                  <pic:blipFill>
                    <a:blip r:embed="rId9">
                      <a:extLst>
                        <a:ext uri="{28A0092B-C50C-407E-A947-70E740481C1C}">
                          <a14:useLocalDpi xmlns:a14="http://schemas.microsoft.com/office/drawing/2010/main"/>
                        </a:ext>
                      </a:extLst>
                    </a:blip>
                    <a:stretch>
                      <a:fillRect/>
                    </a:stretch>
                  </pic:blipFill>
                  <pic:spPr>
                    <a:xfrm>
                      <a:off x="0" y="0"/>
                      <a:ext cx="5791200" cy="6226317"/>
                    </a:xfrm>
                    <a:prstGeom prst="rect">
                      <a:avLst/>
                    </a:prstGeom>
                  </pic:spPr>
                </pic:pic>
              </a:graphicData>
            </a:graphic>
          </wp:inline>
        </w:drawing>
      </w:r>
    </w:p>
    <w:p w14:paraId="1855446C" w14:textId="2FD1AA66" w:rsidR="6BE14F1D" w:rsidRPr="005F608A" w:rsidRDefault="4B8BCF60" w:rsidP="1CFE082A">
      <w:pPr>
        <w:jc w:val="both"/>
        <w:rPr>
          <w:rFonts w:ascii="Times New Roman" w:eastAsia="Times New Roman" w:hAnsi="Times New Roman" w:cs="Times New Roman"/>
          <w:color w:val="000000" w:themeColor="text1"/>
          <w:lang w:val="en-US"/>
        </w:rPr>
      </w:pPr>
      <w:r w:rsidRPr="005F608A">
        <w:rPr>
          <w:rFonts w:ascii="Times New Roman" w:eastAsia="Times New Roman" w:hAnsi="Times New Roman" w:cs="Times New Roman"/>
          <w:b/>
          <w:bCs/>
          <w:color w:val="000000" w:themeColor="text1"/>
          <w:lang w:val="en-US"/>
        </w:rPr>
        <w:t xml:space="preserve">Supplementary figure </w:t>
      </w:r>
      <w:r w:rsidR="0D7265E7" w:rsidRPr="005F608A">
        <w:rPr>
          <w:rFonts w:ascii="Times New Roman" w:eastAsia="Times New Roman" w:hAnsi="Times New Roman" w:cs="Times New Roman"/>
          <w:b/>
          <w:bCs/>
          <w:color w:val="000000" w:themeColor="text1"/>
          <w:lang w:val="en-US"/>
        </w:rPr>
        <w:t>5</w:t>
      </w:r>
      <w:r w:rsidRPr="005F608A">
        <w:rPr>
          <w:rFonts w:ascii="Times New Roman" w:eastAsia="Times New Roman" w:hAnsi="Times New Roman" w:cs="Times New Roman"/>
          <w:b/>
          <w:bCs/>
          <w:color w:val="000000" w:themeColor="text1"/>
          <w:lang w:val="en-US"/>
        </w:rPr>
        <w:t xml:space="preserve">. </w:t>
      </w:r>
      <w:r w:rsidRPr="005F608A">
        <w:rPr>
          <w:rFonts w:ascii="Times New Roman" w:eastAsia="Times New Roman" w:hAnsi="Times New Roman" w:cs="Times New Roman"/>
          <w:color w:val="000000" w:themeColor="text1"/>
          <w:lang w:val="en-US"/>
        </w:rPr>
        <w:t>Raw JC-1 fluorescence signals. Raw JC-1 fluorescence signals corresponding to J-aggregates and J-monomers were measured using a fluorescence plate reader at Ex/Em 535/595 nm and Ex/Em 485/535 nm, respectively. Data are shown as mean ± SD. Statistical analysis was performed using one-way ANOVA followed by Dunnett’s multiple comparisons test (GraphPad Prism) *p &lt; 0.05, **p &lt; 0.01, ***p &lt; 0.001</w:t>
      </w:r>
    </w:p>
    <w:p w14:paraId="65D85A18" w14:textId="0CC19910" w:rsidR="6BE14F1D" w:rsidRPr="00906AA8" w:rsidRDefault="6BE14F1D" w:rsidP="1CFE082A">
      <w:pPr>
        <w:jc w:val="both"/>
        <w:rPr>
          <w:rFonts w:ascii="Times New Roman" w:eastAsia="Times New Roman" w:hAnsi="Times New Roman" w:cs="Times New Roman"/>
          <w:color w:val="000000" w:themeColor="text1"/>
          <w:lang w:val="en-US"/>
        </w:rPr>
      </w:pPr>
    </w:p>
    <w:p w14:paraId="49AFFE47" w14:textId="24BBCB75" w:rsidR="6BE14F1D" w:rsidRPr="00906AA8" w:rsidRDefault="4B8BCF60" w:rsidP="1CFE082A">
      <w:pPr>
        <w:jc w:val="center"/>
        <w:rPr>
          <w:rFonts w:ascii="Times New Roman" w:eastAsia="Times New Roman" w:hAnsi="Times New Roman" w:cs="Times New Roman"/>
          <w:color w:val="000000" w:themeColor="text1"/>
        </w:rPr>
      </w:pPr>
      <w:r>
        <w:rPr>
          <w:noProof/>
        </w:rPr>
        <w:lastRenderedPageBreak/>
        <w:drawing>
          <wp:inline distT="0" distB="0" distL="0" distR="0" wp14:anchorId="47678DC0" wp14:editId="12D56E92">
            <wp:extent cx="2133702" cy="4257701"/>
            <wp:effectExtent l="0" t="0" r="0" b="0"/>
            <wp:docPr id="9059754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9401" name="Picture 128669401"/>
                    <pic:cNvPicPr/>
                  </pic:nvPicPr>
                  <pic:blipFill>
                    <a:blip r:embed="rId10">
                      <a:extLst>
                        <a:ext uri="{28A0092B-C50C-407E-A947-70E740481C1C}">
                          <a14:useLocalDpi xmlns:a14="http://schemas.microsoft.com/office/drawing/2010/main"/>
                        </a:ext>
                      </a:extLst>
                    </a:blip>
                    <a:srcRect l="56405" r="6322" b="8213"/>
                    <a:stretch>
                      <a:fillRect/>
                    </a:stretch>
                  </pic:blipFill>
                  <pic:spPr>
                    <a:xfrm>
                      <a:off x="0" y="0"/>
                      <a:ext cx="2133702" cy="4257701"/>
                    </a:xfrm>
                    <a:prstGeom prst="rect">
                      <a:avLst/>
                    </a:prstGeom>
                  </pic:spPr>
                </pic:pic>
              </a:graphicData>
            </a:graphic>
          </wp:inline>
        </w:drawing>
      </w:r>
    </w:p>
    <w:p w14:paraId="6C5C06AE" w14:textId="11818B3D" w:rsidR="6BE14F1D" w:rsidRPr="00906AA8" w:rsidRDefault="4B8BCF60"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b/>
          <w:bCs/>
          <w:color w:val="000000" w:themeColor="text1"/>
          <w:lang w:val="en-US"/>
        </w:rPr>
        <w:t>Supplementary Figure 6. Effect of free NT3 and/or BDNF on viability and mitochondrial membrane potential in 6-OHDA-stressed RA-differentiated SH-SY5Y cells.</w:t>
      </w:r>
      <w:r w:rsidR="6BE14F1D" w:rsidRPr="005F608A">
        <w:rPr>
          <w:lang w:val="en-US"/>
        </w:rPr>
        <w:br/>
      </w:r>
      <w:r w:rsidRPr="1CFE082A">
        <w:rPr>
          <w:rFonts w:ascii="Times New Roman" w:eastAsia="Times New Roman" w:hAnsi="Times New Roman" w:cs="Times New Roman"/>
          <w:color w:val="000000" w:themeColor="text1"/>
          <w:lang w:val="en-US"/>
        </w:rPr>
        <w:t>RA-differentiated SH-SY5Y cells were exposed to 6-OHDA-induced oxidative stress and subsequently treated with free NT3, free BDNF, or combined NT3/BDNF at 10 µg/mL each. Mitochondrial membrane potential was assessed using the JC-1 assay and expressed as the J-aggregates:J-monomers fluorescence ratio. Data are presented as mean ± SD, with individual points representing biological replicates. Statistical significance was determined using one-way ANOVA with Tukey’s multiple comparisons test; ****p &lt; 0.0001.</w:t>
      </w:r>
    </w:p>
    <w:p w14:paraId="1D2CAE7A" w14:textId="0B35E736" w:rsidR="6BE14F1D" w:rsidRPr="00906AA8" w:rsidRDefault="6BE14F1D" w:rsidP="1CFE082A">
      <w:pPr>
        <w:jc w:val="both"/>
        <w:rPr>
          <w:rFonts w:ascii="Times New Roman" w:eastAsia="Times New Roman" w:hAnsi="Times New Roman" w:cs="Times New Roman"/>
          <w:color w:val="000000" w:themeColor="text1"/>
          <w:lang w:val="en-US"/>
        </w:rPr>
      </w:pPr>
    </w:p>
    <w:p w14:paraId="569309EA" w14:textId="5F93FE75" w:rsidR="3B408492" w:rsidRPr="00906AA8" w:rsidRDefault="3B408492" w:rsidP="1CFE082A">
      <w:pPr>
        <w:spacing w:after="240"/>
        <w:jc w:val="center"/>
        <w:rPr>
          <w:rFonts w:ascii="Times New Roman" w:eastAsia="Times New Roman" w:hAnsi="Times New Roman" w:cs="Times New Roman"/>
          <w:color w:val="000000" w:themeColor="text1"/>
        </w:rPr>
      </w:pPr>
      <w:r>
        <w:rPr>
          <w:noProof/>
        </w:rPr>
        <w:lastRenderedPageBreak/>
        <w:drawing>
          <wp:inline distT="0" distB="0" distL="0" distR="0" wp14:anchorId="469456A4" wp14:editId="313112F0">
            <wp:extent cx="3988085" cy="2621121"/>
            <wp:effectExtent l="0" t="0" r="0" b="0"/>
            <wp:docPr id="9921163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988085" cy="2621121"/>
                    </a:xfrm>
                    <a:prstGeom prst="rect">
                      <a:avLst/>
                    </a:prstGeom>
                  </pic:spPr>
                </pic:pic>
              </a:graphicData>
            </a:graphic>
          </wp:inline>
        </w:drawing>
      </w:r>
    </w:p>
    <w:p w14:paraId="5867FA51" w14:textId="73F03CF3" w:rsidR="3B408492" w:rsidRPr="00906AA8" w:rsidRDefault="3978CB3B" w:rsidP="1CFE082A">
      <w:pPr>
        <w:spacing w:after="240"/>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b/>
          <w:bCs/>
          <w:color w:val="000000" w:themeColor="text1"/>
          <w:lang w:val="en-US"/>
        </w:rPr>
        <w:t>Supplementary Figure 7</w:t>
      </w:r>
      <w:r w:rsidR="5F8FA167" w:rsidRPr="1CFE082A">
        <w:rPr>
          <w:rFonts w:ascii="Times New Roman" w:eastAsia="Times New Roman" w:hAnsi="Times New Roman" w:cs="Times New Roman"/>
          <w:color w:val="000000" w:themeColor="text1"/>
          <w:lang w:val="en-US"/>
        </w:rPr>
        <w:t xml:space="preserve">. The expression of </w:t>
      </w:r>
      <w:r w:rsidR="5F8FA167" w:rsidRPr="1CFE082A">
        <w:rPr>
          <w:rFonts w:ascii="Times New Roman" w:eastAsia="Times New Roman" w:hAnsi="Times New Roman" w:cs="Times New Roman"/>
          <w:i/>
          <w:iCs/>
          <w:color w:val="000000" w:themeColor="text1"/>
          <w:lang w:val="en-US"/>
        </w:rPr>
        <w:t xml:space="preserve">FCGRT </w:t>
      </w:r>
      <w:r w:rsidR="5F8FA167" w:rsidRPr="1CFE082A">
        <w:rPr>
          <w:rFonts w:ascii="Times New Roman" w:eastAsia="Times New Roman" w:hAnsi="Times New Roman" w:cs="Times New Roman"/>
          <w:color w:val="000000" w:themeColor="text1"/>
          <w:lang w:val="en-US"/>
        </w:rPr>
        <w:t xml:space="preserve">and </w:t>
      </w:r>
      <w:r w:rsidR="5F8FA167" w:rsidRPr="1CFE082A">
        <w:rPr>
          <w:rFonts w:ascii="Times New Roman" w:eastAsia="Times New Roman" w:hAnsi="Times New Roman" w:cs="Times New Roman"/>
          <w:i/>
          <w:iCs/>
          <w:color w:val="000000" w:themeColor="text1"/>
          <w:lang w:val="en-US"/>
        </w:rPr>
        <w:t xml:space="preserve">SPARC </w:t>
      </w:r>
      <w:r w:rsidR="5F8FA167" w:rsidRPr="1CFE082A">
        <w:rPr>
          <w:rFonts w:ascii="Times New Roman" w:eastAsia="Times New Roman" w:hAnsi="Times New Roman" w:cs="Times New Roman"/>
          <w:color w:val="000000" w:themeColor="text1"/>
          <w:lang w:val="en-US"/>
        </w:rPr>
        <w:t>in ARPE19 cells.</w:t>
      </w:r>
      <w:r w:rsidR="2AA59BD1" w:rsidRPr="1CFE082A">
        <w:rPr>
          <w:rFonts w:ascii="Times New Roman" w:eastAsia="Times New Roman" w:hAnsi="Times New Roman" w:cs="Times New Roman"/>
          <w:color w:val="000000" w:themeColor="text1"/>
          <w:lang w:val="en-US"/>
        </w:rPr>
        <w:t xml:space="preserve"> Statistical analysis was done in GraphPad Prism using one-way ANOVA with Tukey's multiple comparisons test *** p&lt; 0.001, **** p&lt; 0.0001</w:t>
      </w:r>
    </w:p>
    <w:p w14:paraId="482EB6A9" w14:textId="09497685" w:rsidR="3AECEE51" w:rsidRPr="00906AA8" w:rsidRDefault="3AECEE51" w:rsidP="1CFE082A">
      <w:pPr>
        <w:jc w:val="both"/>
        <w:rPr>
          <w:rFonts w:ascii="Times New Roman" w:eastAsia="Times New Roman" w:hAnsi="Times New Roman" w:cs="Times New Roman"/>
          <w:color w:val="000000" w:themeColor="text1"/>
          <w:lang w:val="en-US"/>
        </w:rPr>
      </w:pPr>
    </w:p>
    <w:p w14:paraId="57112BF5" w14:textId="6ACBD214" w:rsidR="63BD8221" w:rsidRPr="00906AA8" w:rsidRDefault="63BD8221" w:rsidP="1CFE082A">
      <w:pPr>
        <w:spacing w:after="240"/>
        <w:jc w:val="center"/>
        <w:rPr>
          <w:rFonts w:ascii="Times New Roman" w:eastAsia="Times New Roman" w:hAnsi="Times New Roman" w:cs="Times New Roman"/>
          <w:color w:val="000000" w:themeColor="text1"/>
        </w:rPr>
      </w:pPr>
      <w:r>
        <w:rPr>
          <w:noProof/>
        </w:rPr>
        <w:drawing>
          <wp:inline distT="0" distB="0" distL="0" distR="0" wp14:anchorId="7678E732" wp14:editId="268B34EB">
            <wp:extent cx="4026200" cy="2619375"/>
            <wp:effectExtent l="0" t="0" r="0" b="0"/>
            <wp:docPr id="10510288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4026200" cy="2619375"/>
                    </a:xfrm>
                    <a:prstGeom prst="rect">
                      <a:avLst/>
                    </a:prstGeom>
                  </pic:spPr>
                </pic:pic>
              </a:graphicData>
            </a:graphic>
          </wp:inline>
        </w:drawing>
      </w:r>
    </w:p>
    <w:p w14:paraId="31104476" w14:textId="081EFA12" w:rsidR="63BD8221" w:rsidRPr="00906AA8" w:rsidRDefault="22DA2F0C" w:rsidP="1CFE082A">
      <w:pPr>
        <w:spacing w:after="240"/>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b/>
          <w:bCs/>
          <w:color w:val="000000" w:themeColor="text1"/>
          <w:lang w:val="en-US"/>
        </w:rPr>
        <w:t>Supplementary Figure 8</w:t>
      </w:r>
      <w:r w:rsidR="63BD8221" w:rsidRPr="1CFE082A">
        <w:rPr>
          <w:rFonts w:ascii="Times New Roman" w:eastAsia="Times New Roman" w:hAnsi="Times New Roman" w:cs="Times New Roman"/>
          <w:color w:val="000000" w:themeColor="text1"/>
          <w:lang w:val="en-US"/>
        </w:rPr>
        <w:t xml:space="preserve">. The expression of </w:t>
      </w:r>
      <w:r w:rsidR="63BD8221" w:rsidRPr="1CFE082A">
        <w:rPr>
          <w:rFonts w:ascii="Times New Roman" w:eastAsia="Times New Roman" w:hAnsi="Times New Roman" w:cs="Times New Roman"/>
          <w:i/>
          <w:iCs/>
          <w:color w:val="000000" w:themeColor="text1"/>
          <w:lang w:val="en-US"/>
        </w:rPr>
        <w:t xml:space="preserve">FCGRT </w:t>
      </w:r>
      <w:r w:rsidR="63BD8221" w:rsidRPr="1CFE082A">
        <w:rPr>
          <w:rFonts w:ascii="Times New Roman" w:eastAsia="Times New Roman" w:hAnsi="Times New Roman" w:cs="Times New Roman"/>
          <w:color w:val="000000" w:themeColor="text1"/>
          <w:lang w:val="en-US"/>
        </w:rPr>
        <w:t xml:space="preserve">and </w:t>
      </w:r>
      <w:r w:rsidR="63BD8221" w:rsidRPr="1CFE082A">
        <w:rPr>
          <w:rFonts w:ascii="Times New Roman" w:eastAsia="Times New Roman" w:hAnsi="Times New Roman" w:cs="Times New Roman"/>
          <w:i/>
          <w:iCs/>
          <w:color w:val="000000" w:themeColor="text1"/>
          <w:lang w:val="en-US"/>
        </w:rPr>
        <w:t xml:space="preserve">SPARC </w:t>
      </w:r>
      <w:r w:rsidR="63BD8221" w:rsidRPr="1CFE082A">
        <w:rPr>
          <w:rFonts w:ascii="Times New Roman" w:eastAsia="Times New Roman" w:hAnsi="Times New Roman" w:cs="Times New Roman"/>
          <w:color w:val="000000" w:themeColor="text1"/>
          <w:lang w:val="en-US"/>
        </w:rPr>
        <w:t>in SH-SY5Y cells.</w:t>
      </w:r>
      <w:r w:rsidR="18D3041F" w:rsidRPr="1CFE082A">
        <w:rPr>
          <w:rFonts w:ascii="Times New Roman" w:eastAsia="Times New Roman" w:hAnsi="Times New Roman" w:cs="Times New Roman"/>
          <w:color w:val="000000" w:themeColor="text1"/>
          <w:lang w:val="en-US"/>
        </w:rPr>
        <w:t xml:space="preserve"> Statistical analysis was done in GraphPad Prism using one-way ANOVA with Tukey's multiple comparisons test ** p&lt;0.01</w:t>
      </w:r>
    </w:p>
    <w:p w14:paraId="11F35895" w14:textId="5621501C" w:rsidR="63BD8221" w:rsidRPr="00906AA8" w:rsidRDefault="63BD8221" w:rsidP="1CFE082A">
      <w:pPr>
        <w:jc w:val="both"/>
        <w:rPr>
          <w:rFonts w:ascii="Times New Roman" w:eastAsia="Times New Roman" w:hAnsi="Times New Roman" w:cs="Times New Roman"/>
          <w:color w:val="000000" w:themeColor="text1"/>
          <w:lang w:val="en-US"/>
        </w:rPr>
      </w:pPr>
    </w:p>
    <w:p w14:paraId="352FE885" w14:textId="31E649BB" w:rsidR="6BE14F1D" w:rsidRPr="00906AA8" w:rsidRDefault="6BE14F1D" w:rsidP="1CFE082A">
      <w:pPr>
        <w:jc w:val="both"/>
        <w:rPr>
          <w:rFonts w:ascii="Times New Roman" w:eastAsia="Times New Roman" w:hAnsi="Times New Roman" w:cs="Times New Roman"/>
          <w:color w:val="000000" w:themeColor="text1"/>
          <w:lang w:val="en-US"/>
        </w:rPr>
      </w:pPr>
    </w:p>
    <w:p w14:paraId="7F8650A6" w14:textId="31BEA703" w:rsidR="5C2423F6" w:rsidRPr="005F608A" w:rsidRDefault="5C2423F6" w:rsidP="1CFE082A">
      <w:pPr>
        <w:jc w:val="both"/>
        <w:rPr>
          <w:rFonts w:ascii="Times New Roman" w:eastAsia="Times New Roman" w:hAnsi="Times New Roman" w:cs="Times New Roman"/>
          <w:color w:val="000000" w:themeColor="text1"/>
          <w:lang w:val="en-US"/>
        </w:rPr>
      </w:pPr>
    </w:p>
    <w:p w14:paraId="64EB2423" w14:textId="2177D438" w:rsidR="6CB5A874" w:rsidRDefault="6CB5A874" w:rsidP="1CFE082A">
      <w:pPr>
        <w:jc w:val="both"/>
        <w:rPr>
          <w:rFonts w:ascii="Times New Roman" w:eastAsia="Times New Roman" w:hAnsi="Times New Roman" w:cs="Times New Roman"/>
          <w:color w:val="000000" w:themeColor="text1"/>
          <w:lang w:val="en-US"/>
        </w:rPr>
      </w:pPr>
    </w:p>
    <w:p w14:paraId="21DD0C2B" w14:textId="4B787981" w:rsidR="2EC87ACB" w:rsidRDefault="2EC87ACB" w:rsidP="1CFE082A">
      <w:pPr>
        <w:jc w:val="both"/>
        <w:rPr>
          <w:rFonts w:ascii="Times New Roman" w:eastAsia="Times New Roman" w:hAnsi="Times New Roman" w:cs="Times New Roman"/>
          <w:color w:val="000000" w:themeColor="text1"/>
          <w:lang w:val="en-US"/>
        </w:rPr>
      </w:pPr>
    </w:p>
    <w:p w14:paraId="4E815B8C" w14:textId="4D924B3F" w:rsidR="2EC87ACB" w:rsidRDefault="2EC87ACB" w:rsidP="1CFE082A">
      <w:pPr>
        <w:jc w:val="both"/>
        <w:rPr>
          <w:rFonts w:ascii="Times New Roman" w:eastAsia="Times New Roman" w:hAnsi="Times New Roman" w:cs="Times New Roman"/>
          <w:color w:val="000000" w:themeColor="text1"/>
          <w:lang w:val="en-US"/>
        </w:rPr>
      </w:pPr>
    </w:p>
    <w:p w14:paraId="5FFE2F21" w14:textId="470941BE" w:rsidR="2EC87ACB" w:rsidRDefault="2EC87ACB" w:rsidP="1CFE082A">
      <w:pPr>
        <w:jc w:val="both"/>
        <w:rPr>
          <w:rFonts w:ascii="Times New Roman" w:eastAsia="Times New Roman" w:hAnsi="Times New Roman" w:cs="Times New Roman"/>
          <w:color w:val="000000" w:themeColor="text1"/>
          <w:lang w:val="en-US"/>
        </w:rPr>
      </w:pPr>
    </w:p>
    <w:p w14:paraId="0435B32A" w14:textId="35BB95A4" w:rsidR="7D547635" w:rsidRDefault="7D547635" w:rsidP="1CFE082A">
      <w:pPr>
        <w:jc w:val="both"/>
        <w:rPr>
          <w:rFonts w:ascii="Times New Roman" w:eastAsia="Times New Roman" w:hAnsi="Times New Roman" w:cs="Times New Roman"/>
          <w:color w:val="000000" w:themeColor="text1"/>
        </w:rPr>
      </w:pPr>
      <w:r>
        <w:rPr>
          <w:noProof/>
        </w:rPr>
        <w:drawing>
          <wp:inline distT="0" distB="0" distL="0" distR="0" wp14:anchorId="5D251228" wp14:editId="53B0ABC2">
            <wp:extent cx="5724525" cy="2886089"/>
            <wp:effectExtent l="0" t="0" r="0" b="0"/>
            <wp:docPr id="7362568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56832" name="Picture 736256832"/>
                    <pic:cNvPicPr/>
                  </pic:nvPicPr>
                  <pic:blipFill>
                    <a:blip r:embed="rId13">
                      <a:extLst>
                        <a:ext uri="{28A0092B-C50C-407E-A947-70E740481C1C}">
                          <a14:useLocalDpi xmlns:a14="http://schemas.microsoft.com/office/drawing/2010/main"/>
                        </a:ext>
                      </a:extLst>
                    </a:blip>
                    <a:srcRect b="9821"/>
                    <a:stretch>
                      <a:fillRect/>
                    </a:stretch>
                  </pic:blipFill>
                  <pic:spPr>
                    <a:xfrm>
                      <a:off x="0" y="0"/>
                      <a:ext cx="5724525" cy="2886089"/>
                    </a:xfrm>
                    <a:prstGeom prst="rect">
                      <a:avLst/>
                    </a:prstGeom>
                  </pic:spPr>
                </pic:pic>
              </a:graphicData>
            </a:graphic>
          </wp:inline>
        </w:drawing>
      </w:r>
    </w:p>
    <w:p w14:paraId="609A5AB6" w14:textId="75C0FDA4" w:rsidR="47F1DAD6" w:rsidRDefault="47F1DAD6" w:rsidP="1CFE082A">
      <w:pPr>
        <w:jc w:val="both"/>
        <w:rPr>
          <w:rFonts w:ascii="Times New Roman" w:eastAsia="Times New Roman" w:hAnsi="Times New Roman" w:cs="Times New Roman"/>
          <w:color w:val="000000" w:themeColor="text1"/>
          <w:lang w:val="en-US"/>
        </w:rPr>
      </w:pPr>
      <w:r w:rsidRPr="1CFE082A">
        <w:rPr>
          <w:rFonts w:ascii="Times New Roman" w:eastAsia="Times New Roman" w:hAnsi="Times New Roman" w:cs="Times New Roman"/>
          <w:b/>
          <w:bCs/>
          <w:color w:val="000000" w:themeColor="text1"/>
          <w:lang w:val="en-US"/>
        </w:rPr>
        <w:t xml:space="preserve">Supplementary Figure </w:t>
      </w:r>
      <w:r w:rsidR="2D1B3616" w:rsidRPr="1CFE082A">
        <w:rPr>
          <w:rFonts w:ascii="Times New Roman" w:eastAsia="Times New Roman" w:hAnsi="Times New Roman" w:cs="Times New Roman"/>
          <w:b/>
          <w:bCs/>
          <w:color w:val="000000" w:themeColor="text1"/>
          <w:lang w:val="en-US"/>
        </w:rPr>
        <w:t>9</w:t>
      </w:r>
      <w:r w:rsidRPr="1CFE082A">
        <w:rPr>
          <w:rFonts w:ascii="Times New Roman" w:eastAsia="Times New Roman" w:hAnsi="Times New Roman" w:cs="Times New Roman"/>
          <w:b/>
          <w:bCs/>
          <w:color w:val="000000" w:themeColor="text1"/>
          <w:lang w:val="en-US"/>
        </w:rPr>
        <w:t>. Effect of free NT3/BDNF treatment on neurotrophin-related transcript expression in ARPE-19 cells</w:t>
      </w:r>
      <w:r w:rsidRPr="1CFE082A">
        <w:rPr>
          <w:rFonts w:ascii="Times New Roman" w:eastAsia="Times New Roman" w:hAnsi="Times New Roman" w:cs="Times New Roman"/>
          <w:color w:val="000000" w:themeColor="text1"/>
          <w:lang w:val="en-US"/>
        </w:rPr>
        <w:t>.</w:t>
      </w:r>
      <w:r w:rsidRPr="005F608A">
        <w:rPr>
          <w:lang w:val="en-US"/>
        </w:rPr>
        <w:br/>
      </w:r>
      <w:r w:rsidRPr="1CFE082A">
        <w:rPr>
          <w:rFonts w:ascii="Times New Roman" w:eastAsia="Times New Roman" w:hAnsi="Times New Roman" w:cs="Times New Roman"/>
          <w:color w:val="000000" w:themeColor="text1"/>
          <w:lang w:val="en-US"/>
        </w:rPr>
        <w:t xml:space="preserve">Relative mRNA expression of </w:t>
      </w:r>
      <w:r w:rsidRPr="1CFE082A">
        <w:rPr>
          <w:rFonts w:ascii="Times New Roman" w:eastAsia="Times New Roman" w:hAnsi="Times New Roman" w:cs="Times New Roman"/>
          <w:i/>
          <w:iCs/>
          <w:color w:val="000000" w:themeColor="text1"/>
          <w:lang w:val="en-US"/>
        </w:rPr>
        <w:t>TRKB</w:t>
      </w:r>
      <w:r w:rsidRPr="1CFE082A">
        <w:rPr>
          <w:rFonts w:ascii="Times New Roman" w:eastAsia="Times New Roman" w:hAnsi="Times New Roman" w:cs="Times New Roman"/>
          <w:color w:val="000000" w:themeColor="text1"/>
          <w:lang w:val="en-US"/>
        </w:rPr>
        <w:t xml:space="preserve">, </w:t>
      </w:r>
      <w:r w:rsidRPr="1CFE082A">
        <w:rPr>
          <w:rFonts w:ascii="Times New Roman" w:eastAsia="Times New Roman" w:hAnsi="Times New Roman" w:cs="Times New Roman"/>
          <w:i/>
          <w:iCs/>
          <w:color w:val="000000" w:themeColor="text1"/>
          <w:lang w:val="en-US"/>
        </w:rPr>
        <w:t>TRKC</w:t>
      </w:r>
      <w:r w:rsidRPr="1CFE082A">
        <w:rPr>
          <w:rFonts w:ascii="Times New Roman" w:eastAsia="Times New Roman" w:hAnsi="Times New Roman" w:cs="Times New Roman"/>
          <w:color w:val="000000" w:themeColor="text1"/>
          <w:lang w:val="en-US"/>
        </w:rPr>
        <w:t xml:space="preserve">, </w:t>
      </w:r>
      <w:r w:rsidRPr="1CFE082A">
        <w:rPr>
          <w:rFonts w:ascii="Times New Roman" w:eastAsia="Times New Roman" w:hAnsi="Times New Roman" w:cs="Times New Roman"/>
          <w:i/>
          <w:iCs/>
          <w:color w:val="000000" w:themeColor="text1"/>
          <w:lang w:val="en-US"/>
        </w:rPr>
        <w:t>p75NTR</w:t>
      </w:r>
      <w:r w:rsidRPr="1CFE082A">
        <w:rPr>
          <w:rFonts w:ascii="Times New Roman" w:eastAsia="Times New Roman" w:hAnsi="Times New Roman" w:cs="Times New Roman"/>
          <w:color w:val="000000" w:themeColor="text1"/>
          <w:lang w:val="en-US"/>
        </w:rPr>
        <w:t xml:space="preserve">, and </w:t>
      </w:r>
      <w:r w:rsidRPr="1CFE082A">
        <w:rPr>
          <w:rFonts w:ascii="Times New Roman" w:eastAsia="Times New Roman" w:hAnsi="Times New Roman" w:cs="Times New Roman"/>
          <w:i/>
          <w:iCs/>
          <w:color w:val="000000" w:themeColor="text1"/>
          <w:lang w:val="en-US"/>
        </w:rPr>
        <w:t xml:space="preserve">CREB </w:t>
      </w:r>
      <w:r w:rsidRPr="1CFE082A">
        <w:rPr>
          <w:rFonts w:ascii="Times New Roman" w:eastAsia="Times New Roman" w:hAnsi="Times New Roman" w:cs="Times New Roman"/>
          <w:color w:val="000000" w:themeColor="text1"/>
          <w:lang w:val="en-US"/>
        </w:rPr>
        <w:t>in ARPE-19 cells treated with 10 µg/mL NT3 and 10 µg/mL BDNF. Untreated cells served as control (CTR), and NaIO₃-treated cells were included as an oxidative stress control. Gene expression was calculated using the 2</w:t>
      </w:r>
      <w:r w:rsidRPr="1CFE082A">
        <w:rPr>
          <w:rFonts w:ascii="Times New Roman" w:eastAsia="Times New Roman" w:hAnsi="Times New Roman" w:cs="Times New Roman"/>
          <w:color w:val="000000" w:themeColor="text1"/>
          <w:vertAlign w:val="superscript"/>
          <w:lang w:val="en-US"/>
        </w:rPr>
        <w:t>(-ΔΔCt )</w:t>
      </w:r>
      <w:r w:rsidRPr="1CFE082A">
        <w:rPr>
          <w:rFonts w:ascii="Times New Roman" w:eastAsia="Times New Roman" w:hAnsi="Times New Roman" w:cs="Times New Roman"/>
          <w:color w:val="000000" w:themeColor="text1"/>
          <w:lang w:val="en-US"/>
        </w:rPr>
        <w:t>method and normalized to the control group. Data are presented as mean ± SD, with individual points representing biological replicates. Statistical significance was determined using one-way ANOVA with Tukey’s multiple comparisons test</w:t>
      </w:r>
      <w:r w:rsidR="3B4A4239" w:rsidRPr="1CFE082A">
        <w:rPr>
          <w:rFonts w:ascii="Times New Roman" w:eastAsia="Times New Roman" w:hAnsi="Times New Roman" w:cs="Times New Roman"/>
          <w:color w:val="000000" w:themeColor="text1"/>
          <w:lang w:val="en-US"/>
        </w:rPr>
        <w:t xml:space="preserve"> and marked with red stars *;</w:t>
      </w:r>
      <w:r w:rsidRPr="1CFE082A">
        <w:rPr>
          <w:rFonts w:ascii="Times New Roman" w:eastAsia="Times New Roman" w:hAnsi="Times New Roman" w:cs="Times New Roman"/>
          <w:color w:val="000000" w:themeColor="text1"/>
          <w:lang w:val="en-US"/>
        </w:rPr>
        <w:t xml:space="preserve"> *p &lt; 0.05.</w:t>
      </w:r>
    </w:p>
    <w:p w14:paraId="0C8BAABF" w14:textId="2E51AB98" w:rsidR="1CFE082A" w:rsidRDefault="1CFE082A" w:rsidP="1CFE082A">
      <w:pPr>
        <w:jc w:val="both"/>
        <w:rPr>
          <w:rFonts w:ascii="Times New Roman" w:eastAsia="Times New Roman" w:hAnsi="Times New Roman" w:cs="Times New Roman"/>
          <w:color w:val="000000" w:themeColor="text1"/>
          <w:lang w:val="en-US"/>
        </w:rPr>
      </w:pPr>
    </w:p>
    <w:p w14:paraId="0AFEDAA3" w14:textId="7365A86E" w:rsidR="1CFE082A" w:rsidRDefault="1CFE082A" w:rsidP="1CFE082A">
      <w:pPr>
        <w:jc w:val="both"/>
        <w:rPr>
          <w:rFonts w:ascii="Times New Roman" w:eastAsia="Times New Roman" w:hAnsi="Times New Roman" w:cs="Times New Roman"/>
          <w:color w:val="000000" w:themeColor="text1"/>
          <w:lang w:val="en-US"/>
        </w:rPr>
      </w:pPr>
    </w:p>
    <w:p w14:paraId="0166CCEA" w14:textId="637D0B6E" w:rsidR="1CFE082A" w:rsidRDefault="1CFE082A" w:rsidP="1CFE082A">
      <w:pPr>
        <w:jc w:val="both"/>
        <w:rPr>
          <w:rFonts w:ascii="Times New Roman" w:eastAsia="Times New Roman" w:hAnsi="Times New Roman" w:cs="Times New Roman"/>
          <w:color w:val="000000" w:themeColor="text1"/>
          <w:lang w:val="en-US"/>
        </w:rPr>
      </w:pPr>
    </w:p>
    <w:p w14:paraId="7ECD9920" w14:textId="576B6CFC" w:rsidR="1CFE082A" w:rsidRDefault="1CFE082A" w:rsidP="1CFE082A">
      <w:pPr>
        <w:jc w:val="both"/>
        <w:rPr>
          <w:rFonts w:ascii="Times New Roman" w:eastAsia="Times New Roman" w:hAnsi="Times New Roman" w:cs="Times New Roman"/>
          <w:color w:val="000000" w:themeColor="text1"/>
          <w:lang w:val="en-US"/>
        </w:rPr>
      </w:pPr>
    </w:p>
    <w:p w14:paraId="616B62D6" w14:textId="1C563498" w:rsidR="1CFE082A" w:rsidRPr="005F608A" w:rsidRDefault="1CFE082A" w:rsidP="1CFE082A">
      <w:pPr>
        <w:jc w:val="both"/>
        <w:rPr>
          <w:rFonts w:ascii="Times New Roman" w:eastAsia="Times New Roman" w:hAnsi="Times New Roman" w:cs="Times New Roman"/>
          <w:color w:val="000000" w:themeColor="text1"/>
          <w:lang w:val="en-US"/>
        </w:rPr>
      </w:pPr>
    </w:p>
    <w:sectPr w:rsidR="1CFE082A" w:rsidRPr="005F60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7225CC"/>
    <w:rsid w:val="00133466"/>
    <w:rsid w:val="002B47E8"/>
    <w:rsid w:val="005F608A"/>
    <w:rsid w:val="00906AA8"/>
    <w:rsid w:val="00A4A395"/>
    <w:rsid w:val="00C128A6"/>
    <w:rsid w:val="015463DC"/>
    <w:rsid w:val="024F6576"/>
    <w:rsid w:val="02C213D2"/>
    <w:rsid w:val="034522D6"/>
    <w:rsid w:val="03AE2DF8"/>
    <w:rsid w:val="042284E6"/>
    <w:rsid w:val="04369E39"/>
    <w:rsid w:val="0445410C"/>
    <w:rsid w:val="04BA776B"/>
    <w:rsid w:val="054BB141"/>
    <w:rsid w:val="05D281C8"/>
    <w:rsid w:val="05EC2A2E"/>
    <w:rsid w:val="0631D0B1"/>
    <w:rsid w:val="063E462B"/>
    <w:rsid w:val="06D4761F"/>
    <w:rsid w:val="07067445"/>
    <w:rsid w:val="0710215C"/>
    <w:rsid w:val="072BA165"/>
    <w:rsid w:val="075D6533"/>
    <w:rsid w:val="083437C3"/>
    <w:rsid w:val="084DFF04"/>
    <w:rsid w:val="08A7A24B"/>
    <w:rsid w:val="08BD1874"/>
    <w:rsid w:val="08ECE190"/>
    <w:rsid w:val="094CC0DF"/>
    <w:rsid w:val="09A10450"/>
    <w:rsid w:val="0A0100F8"/>
    <w:rsid w:val="0CBC8CBB"/>
    <w:rsid w:val="0D17998C"/>
    <w:rsid w:val="0D308A5F"/>
    <w:rsid w:val="0D7265E7"/>
    <w:rsid w:val="0D7E13D9"/>
    <w:rsid w:val="0E7867DF"/>
    <w:rsid w:val="0FDDB592"/>
    <w:rsid w:val="0FE17C82"/>
    <w:rsid w:val="1083F5A5"/>
    <w:rsid w:val="108E0963"/>
    <w:rsid w:val="10E9CD4C"/>
    <w:rsid w:val="113FEF1C"/>
    <w:rsid w:val="12BCCA59"/>
    <w:rsid w:val="136EBAD5"/>
    <w:rsid w:val="14EC3A3E"/>
    <w:rsid w:val="1687531F"/>
    <w:rsid w:val="17768442"/>
    <w:rsid w:val="18D21A55"/>
    <w:rsid w:val="18D3041F"/>
    <w:rsid w:val="1A3BDEAD"/>
    <w:rsid w:val="1CA581E3"/>
    <w:rsid w:val="1CFE082A"/>
    <w:rsid w:val="1E6C2842"/>
    <w:rsid w:val="1E982D6D"/>
    <w:rsid w:val="1EF36CA0"/>
    <w:rsid w:val="1FDF3407"/>
    <w:rsid w:val="214B2C40"/>
    <w:rsid w:val="22122941"/>
    <w:rsid w:val="22DA2F0C"/>
    <w:rsid w:val="22ECAB2F"/>
    <w:rsid w:val="25ECF5FE"/>
    <w:rsid w:val="2859A64D"/>
    <w:rsid w:val="288CDEBF"/>
    <w:rsid w:val="28B6B7B8"/>
    <w:rsid w:val="29D85A6A"/>
    <w:rsid w:val="29E139CE"/>
    <w:rsid w:val="2A706EBC"/>
    <w:rsid w:val="2AA59BD1"/>
    <w:rsid w:val="2AAE94A6"/>
    <w:rsid w:val="2B0ED943"/>
    <w:rsid w:val="2B0FFAF0"/>
    <w:rsid w:val="2BE2B1A6"/>
    <w:rsid w:val="2C23AA15"/>
    <w:rsid w:val="2D1B3616"/>
    <w:rsid w:val="2DA82135"/>
    <w:rsid w:val="2E63FD69"/>
    <w:rsid w:val="2EC87ACB"/>
    <w:rsid w:val="2F69E481"/>
    <w:rsid w:val="2F9466AD"/>
    <w:rsid w:val="2FBC7594"/>
    <w:rsid w:val="2FFEEE66"/>
    <w:rsid w:val="3053BA26"/>
    <w:rsid w:val="3291C388"/>
    <w:rsid w:val="32A46448"/>
    <w:rsid w:val="33DE4547"/>
    <w:rsid w:val="3466CAFA"/>
    <w:rsid w:val="34C3C08B"/>
    <w:rsid w:val="34D157C2"/>
    <w:rsid w:val="34F98B0E"/>
    <w:rsid w:val="35641B68"/>
    <w:rsid w:val="358EA2AC"/>
    <w:rsid w:val="35C2AA49"/>
    <w:rsid w:val="362557B2"/>
    <w:rsid w:val="36CD1902"/>
    <w:rsid w:val="3763CF41"/>
    <w:rsid w:val="377EE630"/>
    <w:rsid w:val="3808F864"/>
    <w:rsid w:val="3864407E"/>
    <w:rsid w:val="38B54306"/>
    <w:rsid w:val="38CF6057"/>
    <w:rsid w:val="3977CE50"/>
    <w:rsid w:val="3978CB3B"/>
    <w:rsid w:val="39AD5046"/>
    <w:rsid w:val="3A5DBE2C"/>
    <w:rsid w:val="3AECEE51"/>
    <w:rsid w:val="3AFBFCA3"/>
    <w:rsid w:val="3B408492"/>
    <w:rsid w:val="3B4A4239"/>
    <w:rsid w:val="3B4F39D7"/>
    <w:rsid w:val="3BCF0F55"/>
    <w:rsid w:val="3BF6CA89"/>
    <w:rsid w:val="3C448562"/>
    <w:rsid w:val="3C8E32CF"/>
    <w:rsid w:val="3D3C8C51"/>
    <w:rsid w:val="3E0C478E"/>
    <w:rsid w:val="3E6D8C9B"/>
    <w:rsid w:val="3F3D3C33"/>
    <w:rsid w:val="3FDB6719"/>
    <w:rsid w:val="407DB6E2"/>
    <w:rsid w:val="40AD34B1"/>
    <w:rsid w:val="416D77C5"/>
    <w:rsid w:val="41B2C18D"/>
    <w:rsid w:val="4287EFA1"/>
    <w:rsid w:val="428E987A"/>
    <w:rsid w:val="42CE33E4"/>
    <w:rsid w:val="44275E01"/>
    <w:rsid w:val="44A20B4F"/>
    <w:rsid w:val="44ECB1D7"/>
    <w:rsid w:val="451D68B8"/>
    <w:rsid w:val="45254D1F"/>
    <w:rsid w:val="458C10D3"/>
    <w:rsid w:val="45E3322A"/>
    <w:rsid w:val="4670BED5"/>
    <w:rsid w:val="467415AC"/>
    <w:rsid w:val="470ED6E4"/>
    <w:rsid w:val="47F1DAD6"/>
    <w:rsid w:val="48D0773B"/>
    <w:rsid w:val="491FE9FC"/>
    <w:rsid w:val="49B4C7E1"/>
    <w:rsid w:val="4B8BCF60"/>
    <w:rsid w:val="4BEDC378"/>
    <w:rsid w:val="4CF15883"/>
    <w:rsid w:val="4CF86626"/>
    <w:rsid w:val="4DBCE096"/>
    <w:rsid w:val="51A45362"/>
    <w:rsid w:val="51B657BB"/>
    <w:rsid w:val="5285EDBC"/>
    <w:rsid w:val="53B5C1BC"/>
    <w:rsid w:val="5409861E"/>
    <w:rsid w:val="546C65AA"/>
    <w:rsid w:val="54CC6C89"/>
    <w:rsid w:val="5539C194"/>
    <w:rsid w:val="57A63410"/>
    <w:rsid w:val="57F4D80C"/>
    <w:rsid w:val="58D42176"/>
    <w:rsid w:val="595BACDA"/>
    <w:rsid w:val="59B679D3"/>
    <w:rsid w:val="5A4A38E0"/>
    <w:rsid w:val="5A933BA0"/>
    <w:rsid w:val="5AF62A69"/>
    <w:rsid w:val="5AFE1E43"/>
    <w:rsid w:val="5C2423F6"/>
    <w:rsid w:val="5CA31432"/>
    <w:rsid w:val="5EA71913"/>
    <w:rsid w:val="5F45EA05"/>
    <w:rsid w:val="5F5F38A3"/>
    <w:rsid w:val="5F8BCD25"/>
    <w:rsid w:val="5F8FA167"/>
    <w:rsid w:val="6003C10C"/>
    <w:rsid w:val="60C45E1A"/>
    <w:rsid w:val="61F6F167"/>
    <w:rsid w:val="62B0F35E"/>
    <w:rsid w:val="62BCC58C"/>
    <w:rsid w:val="62D98462"/>
    <w:rsid w:val="631CD724"/>
    <w:rsid w:val="63BD8221"/>
    <w:rsid w:val="64519526"/>
    <w:rsid w:val="64F01D38"/>
    <w:rsid w:val="653E9531"/>
    <w:rsid w:val="654B248B"/>
    <w:rsid w:val="65E5DE65"/>
    <w:rsid w:val="686DD13C"/>
    <w:rsid w:val="691575A3"/>
    <w:rsid w:val="69A3BEFF"/>
    <w:rsid w:val="6A001AED"/>
    <w:rsid w:val="6B46EC71"/>
    <w:rsid w:val="6B7225CC"/>
    <w:rsid w:val="6BE14F1D"/>
    <w:rsid w:val="6C54DFE5"/>
    <w:rsid w:val="6CB5A874"/>
    <w:rsid w:val="6CD48A2D"/>
    <w:rsid w:val="6D25108C"/>
    <w:rsid w:val="6DDCBDF2"/>
    <w:rsid w:val="6EC86F84"/>
    <w:rsid w:val="6ECA2C12"/>
    <w:rsid w:val="6F760B96"/>
    <w:rsid w:val="6FCF5680"/>
    <w:rsid w:val="6FD16C4B"/>
    <w:rsid w:val="700CDBDA"/>
    <w:rsid w:val="710201E4"/>
    <w:rsid w:val="723E2E29"/>
    <w:rsid w:val="72B184A6"/>
    <w:rsid w:val="7446317C"/>
    <w:rsid w:val="7477092A"/>
    <w:rsid w:val="74919DD8"/>
    <w:rsid w:val="757B2166"/>
    <w:rsid w:val="75D02A26"/>
    <w:rsid w:val="76073F88"/>
    <w:rsid w:val="76230B2B"/>
    <w:rsid w:val="76B8031D"/>
    <w:rsid w:val="784F7E22"/>
    <w:rsid w:val="78BF9ACA"/>
    <w:rsid w:val="7A1A0146"/>
    <w:rsid w:val="7B422EB4"/>
    <w:rsid w:val="7BB96FA0"/>
    <w:rsid w:val="7C5918DB"/>
    <w:rsid w:val="7CBA7C1A"/>
    <w:rsid w:val="7CC021C9"/>
    <w:rsid w:val="7CC20F0D"/>
    <w:rsid w:val="7CCBC0FA"/>
    <w:rsid w:val="7D547635"/>
    <w:rsid w:val="7D8E85CC"/>
    <w:rsid w:val="7E5B4900"/>
    <w:rsid w:val="7E60305D"/>
    <w:rsid w:val="7F378BB4"/>
    <w:rsid w:val="7FB15C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F7885"/>
  <w15:chartTrackingRefBased/>
  <w15:docId w15:val="{D151B159-BF5A-49A4-816A-EA2DD416E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1249</Words>
  <Characters>7495</Characters>
  <Application>Microsoft Office Word</Application>
  <DocSecurity>0</DocSecurity>
  <Lines>62</Lines>
  <Paragraphs>17</Paragraphs>
  <ScaleCrop>false</ScaleCrop>
  <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Stukan Iga</dc:creator>
  <cp:keywords/>
  <dc:description/>
  <cp:lastModifiedBy>Stukan Iga</cp:lastModifiedBy>
  <cp:revision>8</cp:revision>
  <dcterms:created xsi:type="dcterms:W3CDTF">2025-02-12T07:24:00Z</dcterms:created>
  <dcterms:modified xsi:type="dcterms:W3CDTF">2026-06-24T09:52:00Z</dcterms:modified>
</cp:coreProperties>
</file>