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F946" w14:textId="6720078B" w:rsidR="008A5EFC" w:rsidRDefault="003E541C" w:rsidP="00F675A1">
      <w:pPr>
        <w:adjustRightInd w:val="0"/>
        <w:snapToGrid w:val="0"/>
        <w:spacing w:after="0" w:line="360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747A9F4" wp14:editId="230DE1AA">
            <wp:extent cx="5274310" cy="3731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F615" w14:textId="5798C3E8" w:rsidR="001777D8" w:rsidRDefault="00D91C94" w:rsidP="00F1521D">
      <w:pPr>
        <w:adjustRightInd w:val="0"/>
        <w:snapToGrid w:val="0"/>
        <w:spacing w:after="0" w:line="360" w:lineRule="auto"/>
        <w:jc w:val="center"/>
        <w:rPr>
          <w:rFonts w:ascii="Calibri" w:hAnsi="Calibri" w:cs="Calibri"/>
        </w:rPr>
      </w:pPr>
      <w:r w:rsidRPr="001777D8">
        <w:rPr>
          <w:rFonts w:ascii="Calibri" w:hAnsi="Calibri" w:cs="Calibri" w:hint="eastAsia"/>
          <w:b/>
          <w:bCs/>
        </w:rPr>
        <w:t xml:space="preserve">Supplementary Figure S1. </w:t>
      </w:r>
      <w:r w:rsidR="009C7543" w:rsidRPr="009C7543">
        <w:rPr>
          <w:rFonts w:ascii="Calibri" w:hAnsi="Calibri" w:cs="Calibri"/>
          <w:b/>
          <w:bCs/>
        </w:rPr>
        <w:t>S</w:t>
      </w:r>
      <w:r w:rsidR="009C7543" w:rsidRPr="009C7543">
        <w:rPr>
          <w:rFonts w:ascii="Calibri" w:hAnsi="Calibri" w:cs="Calibri" w:hint="eastAsia"/>
          <w:b/>
          <w:bCs/>
        </w:rPr>
        <w:t>ynergistic</w:t>
      </w:r>
      <w:r w:rsidR="009C7543">
        <w:rPr>
          <w:rFonts w:ascii="Calibri" w:hAnsi="Calibri" w:cs="Calibri" w:hint="eastAsia"/>
          <w:b/>
          <w:bCs/>
        </w:rPr>
        <w:t xml:space="preserve"> </w:t>
      </w:r>
      <w:r w:rsidR="00500BB9" w:rsidRPr="00500BB9">
        <w:rPr>
          <w:rFonts w:ascii="Calibri" w:hAnsi="Calibri" w:cs="Calibri" w:hint="eastAsia"/>
          <w:b/>
          <w:bCs/>
        </w:rPr>
        <w:t>mechanism of anlotinib plus immune checkpoint inhibitors in ES-SCLC</w:t>
      </w:r>
    </w:p>
    <w:p w14:paraId="25FDF1B1" w14:textId="3B0837A3" w:rsidR="00F675A1" w:rsidRPr="00F675A1" w:rsidRDefault="009C7543" w:rsidP="00A64657">
      <w:pPr>
        <w:adjustRightInd w:val="0"/>
        <w:snapToGrid w:val="0"/>
        <w:spacing w:after="0" w:line="360" w:lineRule="auto"/>
        <w:jc w:val="both"/>
        <w:rPr>
          <w:rFonts w:ascii="Calibri" w:hAnsi="Calibri" w:cs="Calibri"/>
        </w:rPr>
      </w:pPr>
      <w:r w:rsidRPr="009C7543">
        <w:rPr>
          <w:rFonts w:ascii="Calibri" w:hAnsi="Calibri" w:cs="Calibri" w:hint="eastAsia"/>
        </w:rPr>
        <w:t xml:space="preserve">Schematic illustration of the potential synergistic mechanism of anlotinib combined with immune checkpoint inhibitors in extensive-stage small-cell lung cancer (ES-SCLC). In an immune-cold tumor microenvironment, aberrant tumor vasculature, increased VEGF </w:t>
      </w:r>
      <w:r w:rsidRPr="009C7543">
        <w:rPr>
          <w:rFonts w:ascii="Calibri" w:hAnsi="Calibri" w:cs="Calibri"/>
        </w:rPr>
        <w:t>signaling, and hypoxia may limit CD8⁺ T-cell infiltration. Anlotinib may inhibit VEGF/VEGFR signaling and promote tumor vascular normalization, thereby reducing hypoxia and facilitating CD8⁺ T-cell entry into the tumor microenvironment. Subsequent PD-1/PD-</w:t>
      </w:r>
      <w:r w:rsidRPr="009C7543">
        <w:rPr>
          <w:rFonts w:ascii="Calibri" w:hAnsi="Calibri" w:cs="Calibri" w:hint="eastAsia"/>
        </w:rPr>
        <w:t>L1 blockade may reactivate antitumor T-cell responses, enhance cytotoxic activity, and shift the tumor microenvironment from an immune-cold state toward a more immune-active state</w:t>
      </w:r>
      <w:r w:rsidR="00446D46" w:rsidRPr="00446D46">
        <w:rPr>
          <w:rFonts w:ascii="Calibri" w:hAnsi="Calibri" w:cs="Calibri" w:hint="eastAsia"/>
        </w:rPr>
        <w:t>.</w:t>
      </w:r>
    </w:p>
    <w:p w14:paraId="0427A518" w14:textId="77777777" w:rsidR="00F675A1" w:rsidRPr="00F675A1" w:rsidRDefault="00F675A1" w:rsidP="00F675A1">
      <w:pPr>
        <w:adjustRightInd w:val="0"/>
        <w:snapToGrid w:val="0"/>
        <w:spacing w:after="0" w:line="360" w:lineRule="auto"/>
        <w:rPr>
          <w:rFonts w:ascii="Calibri" w:hAnsi="Calibri" w:cs="Calibri"/>
        </w:rPr>
      </w:pPr>
    </w:p>
    <w:p w14:paraId="7D08C68B" w14:textId="77777777" w:rsidR="00F675A1" w:rsidRPr="00F675A1" w:rsidRDefault="00F675A1" w:rsidP="00F675A1">
      <w:pPr>
        <w:adjustRightInd w:val="0"/>
        <w:snapToGrid w:val="0"/>
        <w:spacing w:after="0" w:line="360" w:lineRule="auto"/>
        <w:rPr>
          <w:rFonts w:ascii="Calibri" w:hAnsi="Calibri" w:cs="Calibri"/>
        </w:rPr>
      </w:pPr>
    </w:p>
    <w:p w14:paraId="58634828" w14:textId="77777777" w:rsidR="00F675A1" w:rsidRPr="00F675A1" w:rsidRDefault="00F675A1" w:rsidP="00F675A1">
      <w:pPr>
        <w:adjustRightInd w:val="0"/>
        <w:snapToGrid w:val="0"/>
        <w:spacing w:after="0" w:line="360" w:lineRule="auto"/>
        <w:rPr>
          <w:rFonts w:ascii="Calibri" w:hAnsi="Calibri" w:cs="Calibri"/>
        </w:rPr>
      </w:pPr>
    </w:p>
    <w:p w14:paraId="2A410A1A" w14:textId="77777777" w:rsidR="00F675A1" w:rsidRPr="00F675A1" w:rsidRDefault="00F675A1" w:rsidP="00F675A1">
      <w:pPr>
        <w:adjustRightInd w:val="0"/>
        <w:snapToGrid w:val="0"/>
        <w:spacing w:after="0" w:line="360" w:lineRule="auto"/>
        <w:rPr>
          <w:rFonts w:ascii="Calibri" w:hAnsi="Calibri" w:cs="Calibri"/>
        </w:rPr>
      </w:pPr>
    </w:p>
    <w:sectPr w:rsidR="00F675A1" w:rsidRPr="00F67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9C79" w14:textId="77777777" w:rsidR="00DD3E69" w:rsidRDefault="00DD3E69" w:rsidP="00F675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1F86F7" w14:textId="77777777" w:rsidR="00DD3E69" w:rsidRDefault="00DD3E69" w:rsidP="00F675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94A5" w14:textId="77777777" w:rsidR="00DD3E69" w:rsidRDefault="00DD3E69" w:rsidP="00F675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CF0BC8A" w14:textId="77777777" w:rsidR="00DD3E69" w:rsidRDefault="00DD3E69" w:rsidP="00F675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7C"/>
    <w:rsid w:val="0001282B"/>
    <w:rsid w:val="001777D8"/>
    <w:rsid w:val="00214A69"/>
    <w:rsid w:val="00247B0A"/>
    <w:rsid w:val="00293690"/>
    <w:rsid w:val="0038487C"/>
    <w:rsid w:val="003B602B"/>
    <w:rsid w:val="003E541C"/>
    <w:rsid w:val="004076BC"/>
    <w:rsid w:val="0041204F"/>
    <w:rsid w:val="00423550"/>
    <w:rsid w:val="00446D46"/>
    <w:rsid w:val="00455912"/>
    <w:rsid w:val="00476416"/>
    <w:rsid w:val="00500BB9"/>
    <w:rsid w:val="00501905"/>
    <w:rsid w:val="00610B3A"/>
    <w:rsid w:val="006A785A"/>
    <w:rsid w:val="006B6808"/>
    <w:rsid w:val="006F7A46"/>
    <w:rsid w:val="008A5EFC"/>
    <w:rsid w:val="008C471F"/>
    <w:rsid w:val="009C7543"/>
    <w:rsid w:val="00A64657"/>
    <w:rsid w:val="00A6775A"/>
    <w:rsid w:val="00AA0936"/>
    <w:rsid w:val="00AE5527"/>
    <w:rsid w:val="00B20C89"/>
    <w:rsid w:val="00C004E7"/>
    <w:rsid w:val="00C756AD"/>
    <w:rsid w:val="00C86EFA"/>
    <w:rsid w:val="00C973D9"/>
    <w:rsid w:val="00D91C94"/>
    <w:rsid w:val="00DD3E69"/>
    <w:rsid w:val="00F1521D"/>
    <w:rsid w:val="00F675A1"/>
    <w:rsid w:val="00F7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5833"/>
  <w15:chartTrackingRefBased/>
  <w15:docId w15:val="{5AB12818-C6A4-4CD2-B2F9-C3F1835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图目录111"/>
    <w:basedOn w:val="a"/>
    <w:rsid w:val="00423550"/>
    <w:pPr>
      <w:keepNext/>
      <w:adjustRightInd w:val="0"/>
      <w:snapToGrid w:val="0"/>
      <w:spacing w:after="0" w:line="360" w:lineRule="auto"/>
      <w:jc w:val="center"/>
    </w:pPr>
    <w:rPr>
      <w:rFonts w:ascii="Times New Roman" w:eastAsia="宋体" w:hAnsi="Times New Roman" w:cs="Times New Roman"/>
      <w:b/>
      <w:noProof/>
      <w:sz w:val="24"/>
      <w:szCs w:val="20"/>
      <w14:ligatures w14:val="none"/>
    </w:rPr>
  </w:style>
  <w:style w:type="paragraph" w:customStyle="1" w:styleId="11">
    <w:name w:val="图目录1"/>
    <w:basedOn w:val="111"/>
    <w:link w:val="12"/>
    <w:qFormat/>
    <w:rsid w:val="00423550"/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12">
    <w:name w:val="图目录1 字符"/>
    <w:basedOn w:val="a0"/>
    <w:link w:val="11"/>
    <w:rsid w:val="00423550"/>
    <w:rPr>
      <w:b/>
      <w:noProof/>
      <w:sz w:val="24"/>
    </w:rPr>
  </w:style>
  <w:style w:type="paragraph" w:customStyle="1" w:styleId="13">
    <w:name w:val="表目录1"/>
    <w:basedOn w:val="a"/>
    <w:link w:val="14"/>
    <w:qFormat/>
    <w:rsid w:val="00423550"/>
    <w:pPr>
      <w:spacing w:after="0" w:line="240" w:lineRule="auto"/>
      <w:jc w:val="center"/>
    </w:pPr>
    <w:rPr>
      <w:b/>
      <w:bCs/>
      <w:sz w:val="24"/>
      <w:lang w:val="zh-CN"/>
    </w:rPr>
  </w:style>
  <w:style w:type="character" w:customStyle="1" w:styleId="14">
    <w:name w:val="表目录1 字符"/>
    <w:basedOn w:val="a0"/>
    <w:link w:val="13"/>
    <w:rsid w:val="00423550"/>
    <w:rPr>
      <w:b/>
      <w:bCs/>
      <w:sz w:val="24"/>
      <w:lang w:val="zh-CN"/>
    </w:rPr>
  </w:style>
  <w:style w:type="character" w:customStyle="1" w:styleId="10">
    <w:name w:val="标题 1 字符"/>
    <w:basedOn w:val="a0"/>
    <w:link w:val="1"/>
    <w:uiPriority w:val="9"/>
    <w:rsid w:val="0038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87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75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75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75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7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张道玉</dc:creator>
  <cp:keywords/>
  <dc:description/>
  <cp:lastModifiedBy>张道玉</cp:lastModifiedBy>
  <cp:revision>16</cp:revision>
  <dcterms:created xsi:type="dcterms:W3CDTF">2026-05-02T10:00:00Z</dcterms:created>
  <dcterms:modified xsi:type="dcterms:W3CDTF">2026-05-06T07:33:00Z</dcterms:modified>
</cp:coreProperties>
</file>