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4765E" w14:textId="77777777" w:rsidR="004A06DC" w:rsidRDefault="00000000">
      <w:pPr>
        <w:pStyle w:val="af4"/>
        <w:jc w:val="center"/>
      </w:pPr>
      <w:r>
        <w:rPr>
          <w:rFonts w:ascii="Times New Roman" w:hAnsi="Times New Roman"/>
          <w:b/>
          <w:sz w:val="28"/>
        </w:rPr>
        <w:t>Supplementary Materials</w:t>
      </w:r>
    </w:p>
    <w:p w14:paraId="7C4DADB1" w14:textId="77777777" w:rsidR="004A06DC" w:rsidRDefault="00000000">
      <w:pPr>
        <w:pStyle w:val="1"/>
      </w:pPr>
      <w:r>
        <w:rPr>
          <w:rFonts w:ascii="Times New Roman" w:hAnsi="Times New Roman"/>
          <w:sz w:val="24"/>
        </w:rPr>
        <w:t>Supplementary File 1. Database-specific search strategies</w:t>
      </w:r>
    </w:p>
    <w:p w14:paraId="4B0D4C52" w14:textId="77777777" w:rsidR="004A06DC" w:rsidRDefault="00000000">
      <w:pPr>
        <w:pStyle w:val="21"/>
      </w:pPr>
      <w:r>
        <w:rPr>
          <w:rFonts w:ascii="Times New Roman" w:hAnsi="Times New Roman"/>
          <w:sz w:val="22"/>
        </w:rPr>
        <w:t>PubMed</w:t>
      </w:r>
    </w:p>
    <w:p w14:paraId="5835CAB7" w14:textId="77777777" w:rsidR="004A06DC" w:rsidRDefault="00000000">
      <w:r>
        <w:t>#1 "Osteoarthritis, Knee"[Mesh] OR ("Knee Osteoarthritides"[tiab] OR "Knee Osteoarthritis"[tiab] OR "Osteoarthritis of Knee"[tiab] OR "Osteoarthritis of the Knee"[tiab])</w:t>
      </w:r>
      <w:r>
        <w:br/>
        <w:t>#2 "Complementary Therapies"[Mesh] OR ("Complementary Therapy"[tiab] OR "Alternative Medicine"[tiab] OR "Complementary Medicine"[tiab] OR "Alternative Therapies"[tiab] OR acupuncture[tiab] OR moxibustion[tiab] OR Tuina[tiab] OR massage[tiab] OR yoga[tiab] OR "Tai Chi"[tiab] OR Baduanjin[tiab] OR "manual therapy"[tiab] OR "mind-body"[tiab] OR "transcutaneous electrical nerve stimulation"[tiab] OR TENS[tiab])</w:t>
      </w:r>
      <w:r>
        <w:br/>
        <w:t>#3 "randomized controlled trial"[Publication Type] OR randomized[Title/Abstract] OR randomised[Title/Abstract] OR placebo[Title/Abstract] OR sham[Title/Abstract]</w:t>
      </w:r>
      <w:r>
        <w:br/>
        <w:t>#4 #1 AND #2 AND #3</w:t>
      </w:r>
    </w:p>
    <w:p w14:paraId="22AEC206" w14:textId="77777777" w:rsidR="004A06DC" w:rsidRDefault="00000000">
      <w:pPr>
        <w:pStyle w:val="21"/>
      </w:pPr>
      <w:r>
        <w:rPr>
          <w:rFonts w:ascii="Times New Roman" w:hAnsi="Times New Roman"/>
          <w:sz w:val="22"/>
        </w:rPr>
        <w:t>Embase</w:t>
      </w:r>
    </w:p>
    <w:p w14:paraId="2556171B" w14:textId="77777777" w:rsidR="004A06DC" w:rsidRDefault="00000000">
      <w:r>
        <w:t>('knee osteoarthritis'/exp OR 'knee osteoarthritis':ti,ab OR 'osteoarthritis of knee':ti,ab) AND ('complementary therapy'/exp OR 'alternative medicine'/exp OR complementary:ti,ab OR alternative:ti,ab OR acupuncture:ti,ab OR moxibustion:ti,ab OR tuina:ti,ab OR massage:ti,ab OR yoga:ti,ab OR 'tai chi':ti,ab OR baduanjin:ti,ab OR 'manual therapy':ti,ab OR 'mind body':ti,ab OR tens:ti,ab OR 'transcutaneous electrical nerve stimulation':ti,ab) AND ('randomized controlled trial'/exp OR random*:ti,ab OR placebo:ti,ab OR sham:ti,ab)</w:t>
      </w:r>
    </w:p>
    <w:p w14:paraId="72C11FC0" w14:textId="77777777" w:rsidR="004A06DC" w:rsidRDefault="00000000">
      <w:pPr>
        <w:pStyle w:val="21"/>
      </w:pPr>
      <w:r>
        <w:rPr>
          <w:rFonts w:ascii="Times New Roman" w:hAnsi="Times New Roman"/>
          <w:sz w:val="22"/>
        </w:rPr>
        <w:t>Cochrane Library</w:t>
      </w:r>
    </w:p>
    <w:p w14:paraId="75EC0ABF" w14:textId="77777777" w:rsidR="004A06DC" w:rsidRDefault="00000000">
      <w:r>
        <w:t>("knee osteoarthritis" OR "osteoarthritis of knee" OR "osteoarthritis of the knee") AND ("complementary therapy" OR "alternative medicine" OR acupuncture OR moxibustion OR Tuina OR massage OR yoga OR "Tai Chi" OR Baduanjin OR "manual therapy" OR "mind-body" OR TENS OR "transcutaneous electrical nerve stimulation")</w:t>
      </w:r>
    </w:p>
    <w:p w14:paraId="7B654748" w14:textId="77777777" w:rsidR="004A06DC" w:rsidRDefault="00000000">
      <w:pPr>
        <w:pStyle w:val="21"/>
      </w:pPr>
      <w:r>
        <w:rPr>
          <w:rFonts w:ascii="Times New Roman" w:hAnsi="Times New Roman"/>
          <w:sz w:val="22"/>
        </w:rPr>
        <w:t>Web of Science</w:t>
      </w:r>
    </w:p>
    <w:p w14:paraId="776C85C5" w14:textId="77777777" w:rsidR="004A06DC" w:rsidRDefault="00000000">
      <w:r>
        <w:t>TS=("knee osteoarthritis" OR "osteoarthritis of knee" OR "osteoarthritis of the knee") AND TS=("complementary therapy" OR "alternative medicine" OR "complementary medicine" OR acupuncture OR moxibustion OR Tuina OR massage OR yoga OR "Tai Chi" OR Baduanjin OR "manual therapy" OR "mind-body" OR TENS OR "transcutaneous electrical nerve stimulation") AND TS=(random* OR placebo OR sham)</w:t>
      </w:r>
    </w:p>
    <w:p w14:paraId="1954D712" w14:textId="77777777" w:rsidR="004A06DC" w:rsidRDefault="00000000">
      <w:pPr>
        <w:pStyle w:val="1"/>
      </w:pPr>
      <w:r>
        <w:rPr>
          <w:rFonts w:ascii="Times New Roman" w:hAnsi="Times New Roman"/>
          <w:sz w:val="24"/>
        </w:rPr>
        <w:t>Supplementary File 2. Data charting form</w:t>
      </w:r>
    </w:p>
    <w:p w14:paraId="66CB94CB" w14:textId="77777777" w:rsidR="004A06DC" w:rsidRDefault="00000000">
      <w:r>
        <w:t>1. First author</w:t>
      </w:r>
    </w:p>
    <w:p w14:paraId="2B1825FC" w14:textId="77777777" w:rsidR="004A06DC" w:rsidRDefault="00000000">
      <w:r>
        <w:t>2. Publication year</w:t>
      </w:r>
    </w:p>
    <w:p w14:paraId="58760026" w14:textId="77777777" w:rsidR="004A06DC" w:rsidRDefault="00000000">
      <w:r>
        <w:t>3. Country/region</w:t>
      </w:r>
    </w:p>
    <w:p w14:paraId="41F09635" w14:textId="77777777" w:rsidR="004A06DC" w:rsidRDefault="00000000">
      <w:r>
        <w:t>4. Study setting</w:t>
      </w:r>
    </w:p>
    <w:p w14:paraId="45BF5861" w14:textId="77777777" w:rsidR="004A06DC" w:rsidRDefault="00000000">
      <w:r>
        <w:t>5. Participant eligibility/KOA diagnostic criteria</w:t>
      </w:r>
    </w:p>
    <w:p w14:paraId="58AE5502" w14:textId="77777777" w:rsidR="004A06DC" w:rsidRDefault="00000000">
      <w:r>
        <w:t>6. Sample size by group</w:t>
      </w:r>
    </w:p>
    <w:p w14:paraId="33000A6A" w14:textId="77777777" w:rsidR="004A06DC" w:rsidRDefault="00000000">
      <w:r>
        <w:t>7. Age/sex or key population features</w:t>
      </w:r>
    </w:p>
    <w:p w14:paraId="239C526F" w14:textId="77777777" w:rsidR="004A06DC" w:rsidRDefault="00000000">
      <w:r>
        <w:t>8. Intervention category</w:t>
      </w:r>
    </w:p>
    <w:p w14:paraId="3F134291" w14:textId="77777777" w:rsidR="004A06DC" w:rsidRDefault="00000000">
      <w:r>
        <w:t>9. Intervention components</w:t>
      </w:r>
    </w:p>
    <w:p w14:paraId="60ED9123" w14:textId="77777777" w:rsidR="004A06DC" w:rsidRDefault="00000000">
      <w:r>
        <w:t>10. Intervention dose, frequency, and duration</w:t>
      </w:r>
    </w:p>
    <w:p w14:paraId="14E5CB1A" w14:textId="77777777" w:rsidR="004A06DC" w:rsidRDefault="00000000">
      <w:r>
        <w:lastRenderedPageBreak/>
        <w:t>11. Provider background</w:t>
      </w:r>
    </w:p>
    <w:p w14:paraId="4EAD60B0" w14:textId="77777777" w:rsidR="004A06DC" w:rsidRDefault="00000000">
      <w:r>
        <w:t>12. Comparator type and description</w:t>
      </w:r>
    </w:p>
    <w:p w14:paraId="6C631B46" w14:textId="77777777" w:rsidR="004A06DC" w:rsidRDefault="00000000">
      <w:r>
        <w:t>13. Follow-up/assessment time points</w:t>
      </w:r>
    </w:p>
    <w:p w14:paraId="311A3661" w14:textId="77777777" w:rsidR="004A06DC" w:rsidRDefault="00000000">
      <w:r>
        <w:t>14. Primary and secondary outcome domains</w:t>
      </w:r>
    </w:p>
    <w:p w14:paraId="55A4FB15" w14:textId="77777777" w:rsidR="004A06DC" w:rsidRDefault="00000000">
      <w:r>
        <w:t>15. Safety/adverse-event reporting</w:t>
      </w:r>
    </w:p>
    <w:p w14:paraId="35413849" w14:textId="77777777" w:rsidR="004A06DC" w:rsidRDefault="00000000">
      <w:r>
        <w:t>16. Blinding/sham-control status</w:t>
      </w:r>
    </w:p>
    <w:p w14:paraId="22191253" w14:textId="77777777" w:rsidR="004A06DC" w:rsidRDefault="00000000">
      <w:r>
        <w:t>17. Allocation concealment reporting</w:t>
      </w:r>
    </w:p>
    <w:p w14:paraId="36E0D0C5" w14:textId="77777777" w:rsidR="004A06DC" w:rsidRDefault="00000000">
      <w:r>
        <w:t>18. Attrition/dropout information</w:t>
      </w:r>
    </w:p>
    <w:p w14:paraId="69B5EE81" w14:textId="77777777" w:rsidR="004A06DC" w:rsidRDefault="00000000">
      <w:r>
        <w:t>19. Notes on co-interventions or pharmacological comparators</w:t>
      </w:r>
    </w:p>
    <w:p w14:paraId="038BBC02" w14:textId="77777777" w:rsidR="004A06DC" w:rsidRDefault="00000000">
      <w:pPr>
        <w:pStyle w:val="1"/>
      </w:pPr>
      <w:r>
        <w:rPr>
          <w:rFonts w:ascii="Times New Roman" w:hAnsi="Times New Roman"/>
          <w:sz w:val="24"/>
        </w:rPr>
        <w:t>Supplementary Table S1. Design-characteristic summary of included RCTs</w:t>
      </w:r>
    </w:p>
    <w:p w14:paraId="22B856D8" w14:textId="77777777" w:rsidR="004A06DC" w:rsidRDefault="00000000">
      <w:r>
        <w:t>Note: This supplementary table records, for each included trial, the sample size, blinding or sham-control status, comparator type, and follow-up or assessment duration. Abbreviations: RCT, randomized controlled trial; NR, not reported.</w:t>
      </w:r>
    </w:p>
    <w:p w14:paraId="14E86633" w14:textId="77777777" w:rsidR="004A06DC" w:rsidRDefault="004A06DC"/>
    <w:p w14:paraId="32A5822D" w14:textId="77777777" w:rsidR="004A06DC" w:rsidRDefault="004A06DC">
      <w:pPr>
        <w:sectPr w:rsidR="004A06DC">
          <w:footerReference w:type="even" r:id="rId9"/>
          <w:footerReference w:type="default" r:id="rId10"/>
          <w:footerReference w:type="first" r:id="rId11"/>
          <w:pgSz w:w="12240" w:h="15840"/>
          <w:pgMar w:top="864" w:right="864" w:bottom="864" w:left="864" w:header="720" w:footer="720" w:gutter="0"/>
          <w:cols w:space="720"/>
          <w:docGrid w:linePitch="360"/>
        </w:sectPr>
      </w:pPr>
    </w:p>
    <w:tbl>
      <w:tblPr>
        <w:tblStyle w:val="af8"/>
        <w:tblW w:w="0" w:type="auto"/>
        <w:jc w:val="center"/>
        <w:tblLook w:val="04A0" w:firstRow="1" w:lastRow="0" w:firstColumn="1" w:lastColumn="0" w:noHBand="0" w:noVBand="1"/>
      </w:tblPr>
      <w:tblGrid>
        <w:gridCol w:w="2938"/>
        <w:gridCol w:w="2938"/>
        <w:gridCol w:w="2938"/>
        <w:gridCol w:w="2938"/>
        <w:gridCol w:w="2938"/>
      </w:tblGrid>
      <w:tr w:rsidR="004A06DC" w14:paraId="11DA1F6D" w14:textId="77777777">
        <w:trPr>
          <w:jc w:val="center"/>
        </w:trPr>
        <w:tc>
          <w:tcPr>
            <w:tcW w:w="2938" w:type="dxa"/>
          </w:tcPr>
          <w:p w14:paraId="127FD569" w14:textId="77777777" w:rsidR="004A06DC" w:rsidRDefault="00000000">
            <w:pPr>
              <w:spacing w:after="0" w:line="240" w:lineRule="auto"/>
            </w:pPr>
            <w:r>
              <w:rPr>
                <w:sz w:val="14"/>
              </w:rPr>
              <w:lastRenderedPageBreak/>
              <w:t>Study</w:t>
            </w:r>
          </w:p>
        </w:tc>
        <w:tc>
          <w:tcPr>
            <w:tcW w:w="2938" w:type="dxa"/>
          </w:tcPr>
          <w:p w14:paraId="4D2AE78C" w14:textId="77777777" w:rsidR="004A06DC" w:rsidRDefault="00000000">
            <w:pPr>
              <w:spacing w:after="0" w:line="240" w:lineRule="auto"/>
            </w:pPr>
            <w:r>
              <w:rPr>
                <w:sz w:val="14"/>
              </w:rPr>
              <w:t>Sample size</w:t>
            </w:r>
          </w:p>
        </w:tc>
        <w:tc>
          <w:tcPr>
            <w:tcW w:w="2938" w:type="dxa"/>
          </w:tcPr>
          <w:p w14:paraId="0201CDDD" w14:textId="77777777" w:rsidR="004A06DC" w:rsidRDefault="00000000">
            <w:pPr>
              <w:spacing w:after="0" w:line="240" w:lineRule="auto"/>
            </w:pPr>
            <w:r>
              <w:rPr>
                <w:sz w:val="14"/>
              </w:rPr>
              <w:t>Blinding/sham-control signal</w:t>
            </w:r>
          </w:p>
        </w:tc>
        <w:tc>
          <w:tcPr>
            <w:tcW w:w="2938" w:type="dxa"/>
          </w:tcPr>
          <w:p w14:paraId="1A434F42" w14:textId="77777777" w:rsidR="004A06DC" w:rsidRDefault="00000000">
            <w:pPr>
              <w:spacing w:after="0" w:line="240" w:lineRule="auto"/>
            </w:pPr>
            <w:r>
              <w:rPr>
                <w:sz w:val="14"/>
              </w:rPr>
              <w:t>Comparator type</w:t>
            </w:r>
          </w:p>
        </w:tc>
        <w:tc>
          <w:tcPr>
            <w:tcW w:w="2938" w:type="dxa"/>
          </w:tcPr>
          <w:p w14:paraId="234464C2" w14:textId="77777777" w:rsidR="004A06DC" w:rsidRDefault="00000000">
            <w:pPr>
              <w:spacing w:after="0" w:line="240" w:lineRule="auto"/>
            </w:pPr>
            <w:r>
              <w:rPr>
                <w:sz w:val="14"/>
              </w:rPr>
              <w:t>Follow-up/assessment duration</w:t>
            </w:r>
          </w:p>
        </w:tc>
      </w:tr>
      <w:tr w:rsidR="004A06DC" w14:paraId="18C3A6CC" w14:textId="77777777">
        <w:trPr>
          <w:jc w:val="center"/>
        </w:trPr>
        <w:tc>
          <w:tcPr>
            <w:tcW w:w="2938" w:type="dxa"/>
          </w:tcPr>
          <w:p w14:paraId="77F44DDE" w14:textId="77777777" w:rsidR="004A06DC" w:rsidRDefault="00000000">
            <w:pPr>
              <w:spacing w:after="0" w:line="240" w:lineRule="auto"/>
            </w:pPr>
            <w:r>
              <w:t>J.J.Cherian</w:t>
            </w:r>
            <w:r>
              <w:rPr>
                <w:vertAlign w:val="superscript"/>
              </w:rPr>
              <w:t>8</w:t>
            </w:r>
          </w:p>
        </w:tc>
        <w:tc>
          <w:tcPr>
            <w:tcW w:w="2938" w:type="dxa"/>
          </w:tcPr>
          <w:p w14:paraId="725C4378" w14:textId="77777777" w:rsidR="004A06DC" w:rsidRDefault="00000000">
            <w:pPr>
              <w:spacing w:after="0" w:line="240" w:lineRule="auto"/>
            </w:pPr>
            <w:r>
              <w:rPr>
                <w:sz w:val="14"/>
              </w:rPr>
              <w:t>33/37</w:t>
            </w:r>
          </w:p>
        </w:tc>
        <w:tc>
          <w:tcPr>
            <w:tcW w:w="2938" w:type="dxa"/>
          </w:tcPr>
          <w:p w14:paraId="58953C51" w14:textId="77777777" w:rsidR="004A06DC" w:rsidRDefault="00000000">
            <w:pPr>
              <w:spacing w:after="0" w:line="240" w:lineRule="auto"/>
            </w:pPr>
            <w:r>
              <w:rPr>
                <w:sz w:val="14"/>
              </w:rPr>
              <w:t>No sham; usual/standard-care comparator</w:t>
            </w:r>
          </w:p>
        </w:tc>
        <w:tc>
          <w:tcPr>
            <w:tcW w:w="2938" w:type="dxa"/>
          </w:tcPr>
          <w:p w14:paraId="7037D4A7" w14:textId="77777777" w:rsidR="004A06DC" w:rsidRDefault="00000000">
            <w:pPr>
              <w:spacing w:after="0" w:line="240" w:lineRule="auto"/>
            </w:pPr>
            <w:r>
              <w:rPr>
                <w:sz w:val="14"/>
              </w:rPr>
              <w:t>Usual/standard care</w:t>
            </w:r>
          </w:p>
        </w:tc>
        <w:tc>
          <w:tcPr>
            <w:tcW w:w="2938" w:type="dxa"/>
          </w:tcPr>
          <w:p w14:paraId="28E5F3B8" w14:textId="77777777" w:rsidR="004A06DC" w:rsidRDefault="00000000">
            <w:pPr>
              <w:spacing w:after="0" w:line="240" w:lineRule="auto"/>
            </w:pPr>
            <w:r>
              <w:rPr>
                <w:sz w:val="14"/>
              </w:rPr>
              <w:t>Duration: 3 months.</w:t>
            </w:r>
            <w:r>
              <w:rPr>
                <w:sz w:val="14"/>
              </w:rPr>
              <w:br/>
              <w:t>Assessments: baseline, 3 months, long-term follow-up endpoint (mean 19 months).</w:t>
            </w:r>
          </w:p>
        </w:tc>
      </w:tr>
      <w:tr w:rsidR="004A06DC" w14:paraId="34E7A9C5" w14:textId="77777777">
        <w:trPr>
          <w:jc w:val="center"/>
        </w:trPr>
        <w:tc>
          <w:tcPr>
            <w:tcW w:w="2938" w:type="dxa"/>
          </w:tcPr>
          <w:p w14:paraId="24E2A87E" w14:textId="77777777" w:rsidR="004A06DC" w:rsidRDefault="00000000">
            <w:pPr>
              <w:spacing w:after="0" w:line="240" w:lineRule="auto"/>
            </w:pPr>
            <w:r>
              <w:rPr>
                <w:rFonts w:eastAsia="Times New Roman"/>
                <w:sz w:val="16"/>
              </w:rPr>
              <w:t>Wang C</w:t>
            </w:r>
            <w:r>
              <w:rPr>
                <w:rFonts w:eastAsia="Times New Roman"/>
                <w:sz w:val="16"/>
                <w:vertAlign w:val="superscript"/>
              </w:rPr>
              <w:t>9</w:t>
            </w:r>
          </w:p>
        </w:tc>
        <w:tc>
          <w:tcPr>
            <w:tcW w:w="2938" w:type="dxa"/>
          </w:tcPr>
          <w:p w14:paraId="2666AF16" w14:textId="77777777" w:rsidR="004A06DC" w:rsidRDefault="00000000">
            <w:pPr>
              <w:spacing w:after="0" w:line="240" w:lineRule="auto"/>
            </w:pPr>
            <w:r>
              <w:rPr>
                <w:sz w:val="14"/>
              </w:rPr>
              <w:t>106/98</w:t>
            </w:r>
          </w:p>
        </w:tc>
        <w:tc>
          <w:tcPr>
            <w:tcW w:w="2938" w:type="dxa"/>
          </w:tcPr>
          <w:p w14:paraId="4C579324" w14:textId="016ED187" w:rsidR="004A06DC" w:rsidRDefault="00ED3941">
            <w:pPr>
              <w:spacing w:after="0" w:line="240" w:lineRule="auto"/>
            </w:pPr>
            <w:r>
              <w:rPr>
                <w:sz w:val="14"/>
              </w:rPr>
              <w:t>Blinding not clearly reported</w:t>
            </w:r>
          </w:p>
        </w:tc>
        <w:tc>
          <w:tcPr>
            <w:tcW w:w="2938" w:type="dxa"/>
          </w:tcPr>
          <w:p w14:paraId="56B4B61A" w14:textId="77777777" w:rsidR="004A06DC" w:rsidRDefault="00000000">
            <w:pPr>
              <w:spacing w:after="0" w:line="240" w:lineRule="auto"/>
            </w:pPr>
            <w:r>
              <w:rPr>
                <w:sz w:val="14"/>
              </w:rPr>
              <w:t>Active non-pharmacological or other comparator</w:t>
            </w:r>
          </w:p>
        </w:tc>
        <w:tc>
          <w:tcPr>
            <w:tcW w:w="2938" w:type="dxa"/>
          </w:tcPr>
          <w:p w14:paraId="6DBADE1B" w14:textId="77777777" w:rsidR="004A06DC" w:rsidRDefault="00000000">
            <w:pPr>
              <w:spacing w:after="0" w:line="240" w:lineRule="auto"/>
            </w:pPr>
            <w:r>
              <w:rPr>
                <w:sz w:val="14"/>
              </w:rPr>
              <w:t>Duration: 12 weeks.</w:t>
            </w:r>
            <w:r>
              <w:rPr>
                <w:sz w:val="14"/>
              </w:rPr>
              <w:br/>
              <w:t>Assessments: baseline, week 12, week 24, week 52.</w:t>
            </w:r>
          </w:p>
        </w:tc>
      </w:tr>
      <w:tr w:rsidR="004A06DC" w14:paraId="4A66F658" w14:textId="77777777">
        <w:trPr>
          <w:jc w:val="center"/>
        </w:trPr>
        <w:tc>
          <w:tcPr>
            <w:tcW w:w="2938" w:type="dxa"/>
          </w:tcPr>
          <w:p w14:paraId="3668BD10" w14:textId="77777777" w:rsidR="004A06DC" w:rsidRDefault="00000000">
            <w:pPr>
              <w:spacing w:after="0" w:line="240" w:lineRule="auto"/>
            </w:pPr>
            <w:r>
              <w:rPr>
                <w:rFonts w:eastAsia="Times New Roman"/>
                <w:sz w:val="16"/>
              </w:rPr>
              <w:t>Elbadawy MA</w:t>
            </w:r>
            <w:r>
              <w:rPr>
                <w:rFonts w:eastAsia="Times New Roman"/>
                <w:sz w:val="16"/>
                <w:vertAlign w:val="superscript"/>
              </w:rPr>
              <w:t>10</w:t>
            </w:r>
          </w:p>
        </w:tc>
        <w:tc>
          <w:tcPr>
            <w:tcW w:w="2938" w:type="dxa"/>
          </w:tcPr>
          <w:p w14:paraId="6B29E820" w14:textId="77777777" w:rsidR="004A06DC" w:rsidRDefault="00000000">
            <w:pPr>
              <w:spacing w:after="0" w:line="240" w:lineRule="auto"/>
            </w:pPr>
            <w:r>
              <w:rPr>
                <w:sz w:val="14"/>
              </w:rPr>
              <w:t>30/30</w:t>
            </w:r>
          </w:p>
        </w:tc>
        <w:tc>
          <w:tcPr>
            <w:tcW w:w="2938" w:type="dxa"/>
          </w:tcPr>
          <w:p w14:paraId="41BB013F" w14:textId="0946D905" w:rsidR="004A06DC" w:rsidRDefault="00ED3941">
            <w:pPr>
              <w:spacing w:after="0" w:line="240" w:lineRule="auto"/>
            </w:pPr>
            <w:r>
              <w:rPr>
                <w:sz w:val="14"/>
              </w:rPr>
              <w:t>Blinding not clearly reported</w:t>
            </w:r>
          </w:p>
        </w:tc>
        <w:tc>
          <w:tcPr>
            <w:tcW w:w="2938" w:type="dxa"/>
          </w:tcPr>
          <w:p w14:paraId="3E2B9DD6" w14:textId="77777777" w:rsidR="004A06DC" w:rsidRDefault="00000000">
            <w:pPr>
              <w:spacing w:after="0" w:line="240" w:lineRule="auto"/>
            </w:pPr>
            <w:r>
              <w:rPr>
                <w:sz w:val="14"/>
              </w:rPr>
              <w:t>Active non-pharmacological or other comparator</w:t>
            </w:r>
          </w:p>
        </w:tc>
        <w:tc>
          <w:tcPr>
            <w:tcW w:w="2938" w:type="dxa"/>
          </w:tcPr>
          <w:p w14:paraId="2A52ED51" w14:textId="77777777" w:rsidR="004A06DC" w:rsidRDefault="00000000">
            <w:pPr>
              <w:spacing w:after="0" w:line="240" w:lineRule="auto"/>
            </w:pPr>
            <w:r>
              <w:rPr>
                <w:sz w:val="14"/>
              </w:rPr>
              <w:t>Duration: 10 weeks.</w:t>
            </w:r>
            <w:r>
              <w:rPr>
                <w:sz w:val="14"/>
              </w:rPr>
              <w:br/>
              <w:t>Assessments: baseline, week 10, 6 months post-treatment.</w:t>
            </w:r>
          </w:p>
        </w:tc>
      </w:tr>
      <w:tr w:rsidR="004A06DC" w14:paraId="2614034B" w14:textId="77777777">
        <w:trPr>
          <w:jc w:val="center"/>
        </w:trPr>
        <w:tc>
          <w:tcPr>
            <w:tcW w:w="2938" w:type="dxa"/>
          </w:tcPr>
          <w:p w14:paraId="6B057777" w14:textId="77777777" w:rsidR="004A06DC" w:rsidRDefault="00000000">
            <w:pPr>
              <w:spacing w:after="0" w:line="240" w:lineRule="auto"/>
            </w:pPr>
            <w:r>
              <w:rPr>
                <w:rFonts w:eastAsia="Times New Roman"/>
                <w:sz w:val="16"/>
              </w:rPr>
              <w:t>Hausmann LRM</w:t>
            </w:r>
            <w:r>
              <w:rPr>
                <w:rFonts w:eastAsia="Times New Roman"/>
                <w:sz w:val="16"/>
                <w:vertAlign w:val="superscript"/>
              </w:rPr>
              <w:t>11</w:t>
            </w:r>
          </w:p>
        </w:tc>
        <w:tc>
          <w:tcPr>
            <w:tcW w:w="2938" w:type="dxa"/>
          </w:tcPr>
          <w:p w14:paraId="4BC506D7" w14:textId="77777777" w:rsidR="004A06DC" w:rsidRDefault="00000000">
            <w:pPr>
              <w:spacing w:after="0" w:line="240" w:lineRule="auto"/>
            </w:pPr>
            <w:r>
              <w:rPr>
                <w:sz w:val="14"/>
              </w:rPr>
              <w:t>21/21</w:t>
            </w:r>
          </w:p>
        </w:tc>
        <w:tc>
          <w:tcPr>
            <w:tcW w:w="2938" w:type="dxa"/>
          </w:tcPr>
          <w:p w14:paraId="60A4549F" w14:textId="6E99D79E" w:rsidR="004A06DC" w:rsidRDefault="00ED3941">
            <w:pPr>
              <w:spacing w:after="0" w:line="240" w:lineRule="auto"/>
            </w:pPr>
            <w:r>
              <w:rPr>
                <w:sz w:val="14"/>
              </w:rPr>
              <w:t>Blinding not clearly reported</w:t>
            </w:r>
          </w:p>
        </w:tc>
        <w:tc>
          <w:tcPr>
            <w:tcW w:w="2938" w:type="dxa"/>
          </w:tcPr>
          <w:p w14:paraId="1B4F54E5" w14:textId="77777777" w:rsidR="004A06DC" w:rsidRDefault="00000000">
            <w:pPr>
              <w:spacing w:after="0" w:line="240" w:lineRule="auto"/>
            </w:pPr>
            <w:r>
              <w:rPr>
                <w:sz w:val="14"/>
              </w:rPr>
              <w:t>Active non-pharmacological or other comparator</w:t>
            </w:r>
          </w:p>
        </w:tc>
        <w:tc>
          <w:tcPr>
            <w:tcW w:w="2938" w:type="dxa"/>
          </w:tcPr>
          <w:p w14:paraId="4D7895B4" w14:textId="77777777" w:rsidR="004A06DC" w:rsidRDefault="00000000">
            <w:pPr>
              <w:spacing w:after="0" w:line="240" w:lineRule="auto"/>
            </w:pPr>
            <w:r>
              <w:rPr>
                <w:sz w:val="14"/>
              </w:rPr>
              <w:t>Duration: 6 weeks.</w:t>
            </w:r>
            <w:r>
              <w:rPr>
                <w:sz w:val="14"/>
              </w:rPr>
              <w:br/>
              <w:t>Assessments: baseline, 1, 3, and 6 months post-intervention.</w:t>
            </w:r>
          </w:p>
        </w:tc>
      </w:tr>
      <w:tr w:rsidR="004A06DC" w14:paraId="126E1AF2" w14:textId="77777777">
        <w:trPr>
          <w:jc w:val="center"/>
        </w:trPr>
        <w:tc>
          <w:tcPr>
            <w:tcW w:w="2938" w:type="dxa"/>
          </w:tcPr>
          <w:p w14:paraId="68CF131C" w14:textId="77777777" w:rsidR="004A06DC" w:rsidRDefault="00000000">
            <w:pPr>
              <w:spacing w:after="0" w:line="240" w:lineRule="auto"/>
            </w:pPr>
            <w:r>
              <w:rPr>
                <w:rFonts w:eastAsia="Times New Roman"/>
                <w:sz w:val="16"/>
              </w:rPr>
              <w:t>Park J</w:t>
            </w:r>
            <w:r>
              <w:rPr>
                <w:rFonts w:eastAsia="Times New Roman"/>
                <w:sz w:val="16"/>
                <w:vertAlign w:val="superscript"/>
              </w:rPr>
              <w:t>12</w:t>
            </w:r>
          </w:p>
        </w:tc>
        <w:tc>
          <w:tcPr>
            <w:tcW w:w="2938" w:type="dxa"/>
          </w:tcPr>
          <w:p w14:paraId="6B1D0238" w14:textId="77777777" w:rsidR="004A06DC" w:rsidRDefault="00000000">
            <w:pPr>
              <w:spacing w:after="0" w:line="240" w:lineRule="auto"/>
            </w:pPr>
            <w:r>
              <w:rPr>
                <w:sz w:val="14"/>
              </w:rPr>
              <w:t>63/49</w:t>
            </w:r>
          </w:p>
        </w:tc>
        <w:tc>
          <w:tcPr>
            <w:tcW w:w="2938" w:type="dxa"/>
          </w:tcPr>
          <w:p w14:paraId="52EB1182" w14:textId="3C9E0E36" w:rsidR="004A06DC" w:rsidRDefault="00ED3941">
            <w:pPr>
              <w:spacing w:after="0" w:line="240" w:lineRule="auto"/>
            </w:pPr>
            <w:r>
              <w:rPr>
                <w:sz w:val="14"/>
              </w:rPr>
              <w:t>Blinding not clearly reported</w:t>
            </w:r>
          </w:p>
        </w:tc>
        <w:tc>
          <w:tcPr>
            <w:tcW w:w="2938" w:type="dxa"/>
          </w:tcPr>
          <w:p w14:paraId="1F0B891C" w14:textId="77777777" w:rsidR="004A06DC" w:rsidRDefault="00000000">
            <w:pPr>
              <w:spacing w:after="0" w:line="240" w:lineRule="auto"/>
            </w:pPr>
            <w:r>
              <w:rPr>
                <w:sz w:val="14"/>
              </w:rPr>
              <w:t>Active non-pharmacological or other comparator</w:t>
            </w:r>
          </w:p>
        </w:tc>
        <w:tc>
          <w:tcPr>
            <w:tcW w:w="2938" w:type="dxa"/>
          </w:tcPr>
          <w:p w14:paraId="1897CBB2" w14:textId="77777777" w:rsidR="004A06DC" w:rsidRDefault="00000000">
            <w:pPr>
              <w:spacing w:after="0" w:line="240" w:lineRule="auto"/>
            </w:pPr>
            <w:r>
              <w:rPr>
                <w:sz w:val="14"/>
              </w:rPr>
              <w:t>Duration: 8 weeks (2×/week, 45 min).</w:t>
            </w:r>
            <w:r>
              <w:rPr>
                <w:sz w:val="14"/>
              </w:rPr>
              <w:br/>
              <w:t>Assessments: baseline, week 4, week 8, and 1 &amp; 3 months post-intervention.</w:t>
            </w:r>
          </w:p>
        </w:tc>
      </w:tr>
      <w:tr w:rsidR="004A06DC" w14:paraId="630B4A1C" w14:textId="77777777">
        <w:trPr>
          <w:jc w:val="center"/>
        </w:trPr>
        <w:tc>
          <w:tcPr>
            <w:tcW w:w="2938" w:type="dxa"/>
          </w:tcPr>
          <w:p w14:paraId="250C80FF" w14:textId="77777777" w:rsidR="004A06DC" w:rsidRDefault="00000000">
            <w:pPr>
              <w:spacing w:after="0" w:line="240" w:lineRule="auto"/>
            </w:pPr>
            <w:r>
              <w:rPr>
                <w:rFonts w:eastAsia="Times New Roman"/>
                <w:sz w:val="16"/>
              </w:rPr>
              <w:t>Altmış H</w:t>
            </w:r>
            <w:r>
              <w:rPr>
                <w:rFonts w:eastAsia="Times New Roman"/>
                <w:sz w:val="16"/>
                <w:vertAlign w:val="superscript"/>
              </w:rPr>
              <w:t>13</w:t>
            </w:r>
          </w:p>
        </w:tc>
        <w:tc>
          <w:tcPr>
            <w:tcW w:w="2938" w:type="dxa"/>
          </w:tcPr>
          <w:p w14:paraId="6BBD6A43" w14:textId="77777777" w:rsidR="004A06DC" w:rsidRDefault="00000000">
            <w:pPr>
              <w:spacing w:after="0" w:line="240" w:lineRule="auto"/>
            </w:pPr>
            <w:r>
              <w:rPr>
                <w:sz w:val="14"/>
              </w:rPr>
              <w:t>20/20/20</w:t>
            </w:r>
          </w:p>
        </w:tc>
        <w:tc>
          <w:tcPr>
            <w:tcW w:w="2938" w:type="dxa"/>
          </w:tcPr>
          <w:p w14:paraId="5CA26BF2" w14:textId="77777777" w:rsidR="004A06DC" w:rsidRDefault="00000000">
            <w:pPr>
              <w:spacing w:after="0" w:line="240" w:lineRule="auto"/>
            </w:pPr>
            <w:r>
              <w:rPr>
                <w:sz w:val="14"/>
              </w:rPr>
              <w:t>Sham/placebo or blinding control reported</w:t>
            </w:r>
          </w:p>
        </w:tc>
        <w:tc>
          <w:tcPr>
            <w:tcW w:w="2938" w:type="dxa"/>
          </w:tcPr>
          <w:p w14:paraId="5E141A6C" w14:textId="77777777" w:rsidR="004A06DC" w:rsidRDefault="00000000">
            <w:pPr>
              <w:spacing w:after="0" w:line="240" w:lineRule="auto"/>
            </w:pPr>
            <w:r>
              <w:rPr>
                <w:sz w:val="14"/>
              </w:rPr>
              <w:t>Sham/placebo comparator</w:t>
            </w:r>
          </w:p>
        </w:tc>
        <w:tc>
          <w:tcPr>
            <w:tcW w:w="2938" w:type="dxa"/>
          </w:tcPr>
          <w:p w14:paraId="44469692" w14:textId="77777777" w:rsidR="004A06DC" w:rsidRDefault="00000000">
            <w:pPr>
              <w:spacing w:after="0" w:line="240" w:lineRule="auto"/>
            </w:pPr>
            <w:r>
              <w:rPr>
                <w:sz w:val="14"/>
              </w:rPr>
              <w:t>Duration: Single session.</w:t>
            </w:r>
            <w:r>
              <w:rPr>
                <w:sz w:val="14"/>
              </w:rPr>
              <w:br/>
              <w:t>Assessments: pre- and post-intervention.</w:t>
            </w:r>
          </w:p>
        </w:tc>
      </w:tr>
      <w:tr w:rsidR="004A06DC" w14:paraId="63AEE99D" w14:textId="77777777">
        <w:trPr>
          <w:jc w:val="center"/>
        </w:trPr>
        <w:tc>
          <w:tcPr>
            <w:tcW w:w="2938" w:type="dxa"/>
          </w:tcPr>
          <w:p w14:paraId="432703AA" w14:textId="77777777" w:rsidR="004A06DC" w:rsidRDefault="00000000">
            <w:pPr>
              <w:spacing w:after="0" w:line="240" w:lineRule="auto"/>
            </w:pPr>
            <w:r>
              <w:rPr>
                <w:rFonts w:eastAsia="Times New Roman"/>
                <w:sz w:val="16"/>
              </w:rPr>
              <w:t>Innes KE</w:t>
            </w:r>
            <w:r>
              <w:rPr>
                <w:rFonts w:eastAsia="Times New Roman"/>
                <w:sz w:val="16"/>
                <w:vertAlign w:val="superscript"/>
              </w:rPr>
              <w:t>14</w:t>
            </w:r>
          </w:p>
        </w:tc>
        <w:tc>
          <w:tcPr>
            <w:tcW w:w="2938" w:type="dxa"/>
          </w:tcPr>
          <w:p w14:paraId="4AC47563" w14:textId="77777777" w:rsidR="004A06DC" w:rsidRDefault="00000000">
            <w:pPr>
              <w:spacing w:after="0" w:line="240" w:lineRule="auto"/>
            </w:pPr>
            <w:r>
              <w:rPr>
                <w:sz w:val="14"/>
              </w:rPr>
              <w:t>9/11</w:t>
            </w:r>
          </w:p>
        </w:tc>
        <w:tc>
          <w:tcPr>
            <w:tcW w:w="2938" w:type="dxa"/>
          </w:tcPr>
          <w:p w14:paraId="6DD82EA1" w14:textId="45A19FB0" w:rsidR="004A06DC" w:rsidRDefault="00ED3941">
            <w:pPr>
              <w:spacing w:after="0" w:line="240" w:lineRule="auto"/>
            </w:pPr>
            <w:r>
              <w:rPr>
                <w:sz w:val="14"/>
              </w:rPr>
              <w:t>Blinding not clearly reported</w:t>
            </w:r>
          </w:p>
        </w:tc>
        <w:tc>
          <w:tcPr>
            <w:tcW w:w="2938" w:type="dxa"/>
          </w:tcPr>
          <w:p w14:paraId="1981C443" w14:textId="77777777" w:rsidR="004A06DC" w:rsidRDefault="00000000">
            <w:pPr>
              <w:spacing w:after="0" w:line="240" w:lineRule="auto"/>
            </w:pPr>
            <w:r>
              <w:rPr>
                <w:sz w:val="14"/>
              </w:rPr>
              <w:t>Active non-pharmacological or other comparator</w:t>
            </w:r>
          </w:p>
        </w:tc>
        <w:tc>
          <w:tcPr>
            <w:tcW w:w="2938" w:type="dxa"/>
          </w:tcPr>
          <w:p w14:paraId="2252F5DD" w14:textId="77777777" w:rsidR="004A06DC" w:rsidRDefault="00000000">
            <w:pPr>
              <w:spacing w:after="0" w:line="240" w:lineRule="auto"/>
            </w:pPr>
            <w:r>
              <w:rPr>
                <w:sz w:val="14"/>
              </w:rPr>
              <w:t>Duration: 8 weeks (2×/day, 15-20 min).</w:t>
            </w:r>
            <w:r>
              <w:rPr>
                <w:sz w:val="14"/>
              </w:rPr>
              <w:br/>
              <w:t>Assessments: baseline and end of intervention.</w:t>
            </w:r>
          </w:p>
        </w:tc>
      </w:tr>
      <w:tr w:rsidR="004A06DC" w14:paraId="7A2BFC65" w14:textId="77777777">
        <w:trPr>
          <w:jc w:val="center"/>
        </w:trPr>
        <w:tc>
          <w:tcPr>
            <w:tcW w:w="2938" w:type="dxa"/>
          </w:tcPr>
          <w:p w14:paraId="48450D11" w14:textId="77777777" w:rsidR="004A06DC" w:rsidRDefault="00000000">
            <w:pPr>
              <w:spacing w:after="0" w:line="240" w:lineRule="auto"/>
            </w:pPr>
            <w:r>
              <w:rPr>
                <w:rFonts w:eastAsia="Times New Roman"/>
                <w:sz w:val="16"/>
              </w:rPr>
              <w:t>Kong J</w:t>
            </w:r>
            <w:r>
              <w:rPr>
                <w:rFonts w:eastAsia="Times New Roman"/>
                <w:sz w:val="16"/>
                <w:vertAlign w:val="superscript"/>
              </w:rPr>
              <w:t>15</w:t>
            </w:r>
          </w:p>
        </w:tc>
        <w:tc>
          <w:tcPr>
            <w:tcW w:w="2938" w:type="dxa"/>
          </w:tcPr>
          <w:p w14:paraId="1C1327A2" w14:textId="77777777" w:rsidR="004A06DC" w:rsidRDefault="00000000">
            <w:pPr>
              <w:spacing w:after="0" w:line="240" w:lineRule="auto"/>
            </w:pPr>
            <w:r>
              <w:rPr>
                <w:sz w:val="14"/>
              </w:rPr>
              <w:t>19/18/17</w:t>
            </w:r>
          </w:p>
        </w:tc>
        <w:tc>
          <w:tcPr>
            <w:tcW w:w="2938" w:type="dxa"/>
          </w:tcPr>
          <w:p w14:paraId="25E43F41" w14:textId="77777777" w:rsidR="004A06DC" w:rsidRDefault="00000000">
            <w:pPr>
              <w:spacing w:after="0" w:line="240" w:lineRule="auto"/>
            </w:pPr>
            <w:r>
              <w:rPr>
                <w:sz w:val="14"/>
              </w:rPr>
              <w:t>No sham; usual/standard-care comparator</w:t>
            </w:r>
          </w:p>
        </w:tc>
        <w:tc>
          <w:tcPr>
            <w:tcW w:w="2938" w:type="dxa"/>
          </w:tcPr>
          <w:p w14:paraId="405B6C71" w14:textId="77777777" w:rsidR="004A06DC" w:rsidRDefault="00000000">
            <w:pPr>
              <w:spacing w:after="0" w:line="240" w:lineRule="auto"/>
            </w:pPr>
            <w:r>
              <w:rPr>
                <w:sz w:val="14"/>
              </w:rPr>
              <w:t>Usual/standard care</w:t>
            </w:r>
          </w:p>
        </w:tc>
        <w:tc>
          <w:tcPr>
            <w:tcW w:w="2938" w:type="dxa"/>
          </w:tcPr>
          <w:p w14:paraId="0E5BFE00" w14:textId="77777777" w:rsidR="004A06DC" w:rsidRDefault="00000000">
            <w:pPr>
              <w:spacing w:after="0" w:line="240" w:lineRule="auto"/>
            </w:pPr>
            <w:r>
              <w:rPr>
                <w:sz w:val="14"/>
              </w:rPr>
              <w:t>Duration: 8 weeks.</w:t>
            </w:r>
            <w:r>
              <w:rPr>
                <w:sz w:val="14"/>
              </w:rPr>
              <w:br/>
              <w:t>Assessments: baseline, mid-treatment (after 6th session), endpoint (after 10th session), plus 2 fMRI scans.</w:t>
            </w:r>
          </w:p>
        </w:tc>
      </w:tr>
      <w:tr w:rsidR="004A06DC" w14:paraId="7000826C" w14:textId="77777777">
        <w:trPr>
          <w:jc w:val="center"/>
        </w:trPr>
        <w:tc>
          <w:tcPr>
            <w:tcW w:w="2938" w:type="dxa"/>
          </w:tcPr>
          <w:p w14:paraId="047EA9F4" w14:textId="77777777" w:rsidR="004A06DC" w:rsidRDefault="00000000">
            <w:pPr>
              <w:spacing w:after="0" w:line="240" w:lineRule="auto"/>
            </w:pPr>
            <w:r>
              <w:rPr>
                <w:rFonts w:eastAsia="Times New Roman"/>
                <w:sz w:val="16"/>
              </w:rPr>
              <w:t>Lin LL</w:t>
            </w:r>
            <w:r>
              <w:rPr>
                <w:rFonts w:eastAsia="Times New Roman"/>
                <w:sz w:val="16"/>
                <w:vertAlign w:val="superscript"/>
              </w:rPr>
              <w:t>16</w:t>
            </w:r>
          </w:p>
        </w:tc>
        <w:tc>
          <w:tcPr>
            <w:tcW w:w="2938" w:type="dxa"/>
          </w:tcPr>
          <w:p w14:paraId="0A4AA17A" w14:textId="77777777" w:rsidR="004A06DC" w:rsidRDefault="00000000">
            <w:pPr>
              <w:spacing w:after="0" w:line="240" w:lineRule="auto"/>
            </w:pPr>
            <w:r>
              <w:rPr>
                <w:sz w:val="14"/>
              </w:rPr>
              <w:t>21/21</w:t>
            </w:r>
          </w:p>
        </w:tc>
        <w:tc>
          <w:tcPr>
            <w:tcW w:w="2938" w:type="dxa"/>
          </w:tcPr>
          <w:p w14:paraId="6C2182C2" w14:textId="77777777" w:rsidR="004A06DC" w:rsidRDefault="00000000">
            <w:pPr>
              <w:spacing w:after="0" w:line="240" w:lineRule="auto"/>
            </w:pPr>
            <w:r>
              <w:rPr>
                <w:sz w:val="14"/>
              </w:rPr>
              <w:t>Sham/placebo or blinding control reported</w:t>
            </w:r>
          </w:p>
        </w:tc>
        <w:tc>
          <w:tcPr>
            <w:tcW w:w="2938" w:type="dxa"/>
          </w:tcPr>
          <w:p w14:paraId="5CA24A94" w14:textId="77777777" w:rsidR="004A06DC" w:rsidRDefault="00000000">
            <w:pPr>
              <w:spacing w:after="0" w:line="240" w:lineRule="auto"/>
            </w:pPr>
            <w:r>
              <w:rPr>
                <w:sz w:val="14"/>
              </w:rPr>
              <w:t>Sham/placebo comparator</w:t>
            </w:r>
          </w:p>
        </w:tc>
        <w:tc>
          <w:tcPr>
            <w:tcW w:w="2938" w:type="dxa"/>
          </w:tcPr>
          <w:p w14:paraId="59140494" w14:textId="77777777" w:rsidR="004A06DC" w:rsidRDefault="00000000">
            <w:pPr>
              <w:spacing w:after="0" w:line="240" w:lineRule="auto"/>
            </w:pPr>
            <w:r>
              <w:rPr>
                <w:sz w:val="14"/>
              </w:rPr>
              <w:t>Duration: 8 weeks (3×/week, 20 min).</w:t>
            </w:r>
            <w:r>
              <w:rPr>
                <w:sz w:val="14"/>
              </w:rPr>
              <w:br/>
              <w:t>Assessments: baseline, week 8, week 16, week 26.</w:t>
            </w:r>
          </w:p>
        </w:tc>
      </w:tr>
      <w:tr w:rsidR="004A06DC" w14:paraId="02D52FD0" w14:textId="77777777">
        <w:trPr>
          <w:jc w:val="center"/>
        </w:trPr>
        <w:tc>
          <w:tcPr>
            <w:tcW w:w="2938" w:type="dxa"/>
          </w:tcPr>
          <w:p w14:paraId="5E984F36" w14:textId="77777777" w:rsidR="004A06DC" w:rsidRDefault="00000000">
            <w:pPr>
              <w:spacing w:after="0" w:line="240" w:lineRule="auto"/>
            </w:pPr>
            <w:r>
              <w:rPr>
                <w:rFonts w:eastAsia="Times New Roman"/>
                <w:sz w:val="16"/>
              </w:rPr>
              <w:t>Wang P</w:t>
            </w:r>
            <w:r>
              <w:rPr>
                <w:rFonts w:eastAsia="Times New Roman"/>
                <w:sz w:val="16"/>
                <w:vertAlign w:val="superscript"/>
              </w:rPr>
              <w:t>17</w:t>
            </w:r>
          </w:p>
        </w:tc>
        <w:tc>
          <w:tcPr>
            <w:tcW w:w="2938" w:type="dxa"/>
          </w:tcPr>
          <w:p w14:paraId="1423ACB4" w14:textId="77777777" w:rsidR="004A06DC" w:rsidRDefault="00000000">
            <w:pPr>
              <w:spacing w:after="0" w:line="240" w:lineRule="auto"/>
            </w:pPr>
            <w:r>
              <w:rPr>
                <w:sz w:val="14"/>
              </w:rPr>
              <w:t>32/31</w:t>
            </w:r>
          </w:p>
        </w:tc>
        <w:tc>
          <w:tcPr>
            <w:tcW w:w="2938" w:type="dxa"/>
          </w:tcPr>
          <w:p w14:paraId="37A51FF3" w14:textId="6A378F51" w:rsidR="004A06DC" w:rsidRDefault="00ED3941">
            <w:pPr>
              <w:spacing w:after="0" w:line="240" w:lineRule="auto"/>
            </w:pPr>
            <w:r>
              <w:rPr>
                <w:sz w:val="14"/>
              </w:rPr>
              <w:t>Blinding not clearly reported</w:t>
            </w:r>
          </w:p>
        </w:tc>
        <w:tc>
          <w:tcPr>
            <w:tcW w:w="2938" w:type="dxa"/>
          </w:tcPr>
          <w:p w14:paraId="54C78DB6" w14:textId="77777777" w:rsidR="004A06DC" w:rsidRDefault="00000000">
            <w:pPr>
              <w:spacing w:after="0" w:line="240" w:lineRule="auto"/>
            </w:pPr>
            <w:r>
              <w:rPr>
                <w:sz w:val="14"/>
              </w:rPr>
              <w:t>Active non-pharmacological or other comparator</w:t>
            </w:r>
          </w:p>
        </w:tc>
        <w:tc>
          <w:tcPr>
            <w:tcW w:w="2938" w:type="dxa"/>
          </w:tcPr>
          <w:p w14:paraId="06945032" w14:textId="77777777" w:rsidR="004A06DC" w:rsidRDefault="00000000">
            <w:pPr>
              <w:spacing w:after="0" w:line="240" w:lineRule="auto"/>
            </w:pPr>
            <w:r>
              <w:rPr>
                <w:sz w:val="14"/>
              </w:rPr>
              <w:t>Duration: 3 weeks (1×/week).</w:t>
            </w:r>
            <w:r>
              <w:rPr>
                <w:sz w:val="14"/>
              </w:rPr>
              <w:br/>
              <w:t>Assessments: pre-treatment, week 2, week 4.</w:t>
            </w:r>
          </w:p>
        </w:tc>
      </w:tr>
      <w:tr w:rsidR="004A06DC" w14:paraId="09693AD4" w14:textId="77777777">
        <w:trPr>
          <w:jc w:val="center"/>
        </w:trPr>
        <w:tc>
          <w:tcPr>
            <w:tcW w:w="2938" w:type="dxa"/>
          </w:tcPr>
          <w:p w14:paraId="4797E108" w14:textId="77777777" w:rsidR="004A06DC" w:rsidRDefault="00000000">
            <w:pPr>
              <w:spacing w:after="0" w:line="240" w:lineRule="auto"/>
            </w:pPr>
            <w:r>
              <w:rPr>
                <w:rFonts w:eastAsia="Times New Roman"/>
                <w:sz w:val="16"/>
              </w:rPr>
              <w:t>Lv ZT</w:t>
            </w:r>
            <w:r>
              <w:rPr>
                <w:rFonts w:eastAsia="Times New Roman"/>
                <w:sz w:val="16"/>
                <w:vertAlign w:val="superscript"/>
              </w:rPr>
              <w:t>18</w:t>
            </w:r>
          </w:p>
        </w:tc>
        <w:tc>
          <w:tcPr>
            <w:tcW w:w="2938" w:type="dxa"/>
          </w:tcPr>
          <w:p w14:paraId="28A0B8AA" w14:textId="77777777" w:rsidR="004A06DC" w:rsidRDefault="00000000">
            <w:pPr>
              <w:spacing w:after="0" w:line="240" w:lineRule="auto"/>
            </w:pPr>
            <w:r>
              <w:rPr>
                <w:sz w:val="14"/>
              </w:rPr>
              <w:t>145/72/75</w:t>
            </w:r>
          </w:p>
        </w:tc>
        <w:tc>
          <w:tcPr>
            <w:tcW w:w="2938" w:type="dxa"/>
          </w:tcPr>
          <w:p w14:paraId="38D92A8C" w14:textId="77777777" w:rsidR="004A06DC" w:rsidRDefault="00000000">
            <w:pPr>
              <w:spacing w:after="0" w:line="240" w:lineRule="auto"/>
            </w:pPr>
            <w:r>
              <w:rPr>
                <w:sz w:val="14"/>
              </w:rPr>
              <w:t>Sham/placebo or blinding control reported</w:t>
            </w:r>
          </w:p>
        </w:tc>
        <w:tc>
          <w:tcPr>
            <w:tcW w:w="2938" w:type="dxa"/>
          </w:tcPr>
          <w:p w14:paraId="7E422010" w14:textId="77777777" w:rsidR="004A06DC" w:rsidRDefault="00000000">
            <w:pPr>
              <w:spacing w:after="0" w:line="240" w:lineRule="auto"/>
            </w:pPr>
            <w:r>
              <w:rPr>
                <w:sz w:val="14"/>
              </w:rPr>
              <w:t>Sham/placebo comparator</w:t>
            </w:r>
          </w:p>
        </w:tc>
        <w:tc>
          <w:tcPr>
            <w:tcW w:w="2938" w:type="dxa"/>
          </w:tcPr>
          <w:p w14:paraId="49D4F288" w14:textId="77777777" w:rsidR="004A06DC" w:rsidRDefault="00000000">
            <w:pPr>
              <w:spacing w:after="0" w:line="240" w:lineRule="auto"/>
            </w:pPr>
            <w:r>
              <w:rPr>
                <w:sz w:val="14"/>
              </w:rPr>
              <w:t>Duration: 2 weeks (5×/week, 30 min).</w:t>
            </w:r>
            <w:r>
              <w:rPr>
                <w:sz w:val="14"/>
              </w:rPr>
              <w:br/>
              <w:t>Assessments: baseline, end of week 1, end of week 2.</w:t>
            </w:r>
          </w:p>
        </w:tc>
      </w:tr>
      <w:tr w:rsidR="004A06DC" w14:paraId="0A6E07E3" w14:textId="77777777">
        <w:trPr>
          <w:jc w:val="center"/>
        </w:trPr>
        <w:tc>
          <w:tcPr>
            <w:tcW w:w="2938" w:type="dxa"/>
          </w:tcPr>
          <w:p w14:paraId="25028E51" w14:textId="77777777" w:rsidR="004A06DC" w:rsidRDefault="00000000">
            <w:pPr>
              <w:spacing w:after="0" w:line="240" w:lineRule="auto"/>
            </w:pPr>
            <w:r>
              <w:rPr>
                <w:rFonts w:eastAsia="Times New Roman"/>
                <w:sz w:val="16"/>
              </w:rPr>
              <w:t>Perlman A</w:t>
            </w:r>
            <w:r>
              <w:rPr>
                <w:rFonts w:eastAsia="Times New Roman"/>
                <w:sz w:val="16"/>
                <w:vertAlign w:val="superscript"/>
              </w:rPr>
              <w:t>19</w:t>
            </w:r>
          </w:p>
        </w:tc>
        <w:tc>
          <w:tcPr>
            <w:tcW w:w="2938" w:type="dxa"/>
          </w:tcPr>
          <w:p w14:paraId="6E1A6ED9" w14:textId="77777777" w:rsidR="004A06DC" w:rsidRDefault="00000000">
            <w:pPr>
              <w:spacing w:after="0" w:line="240" w:lineRule="auto"/>
            </w:pPr>
            <w:r>
              <w:rPr>
                <w:sz w:val="14"/>
              </w:rPr>
              <w:t>74/73/75</w:t>
            </w:r>
          </w:p>
        </w:tc>
        <w:tc>
          <w:tcPr>
            <w:tcW w:w="2938" w:type="dxa"/>
          </w:tcPr>
          <w:p w14:paraId="071B683B" w14:textId="77777777" w:rsidR="004A06DC" w:rsidRDefault="00000000">
            <w:pPr>
              <w:spacing w:after="0" w:line="240" w:lineRule="auto"/>
            </w:pPr>
            <w:r>
              <w:rPr>
                <w:sz w:val="14"/>
              </w:rPr>
              <w:t>No sham; usual/standard-care comparator</w:t>
            </w:r>
          </w:p>
        </w:tc>
        <w:tc>
          <w:tcPr>
            <w:tcW w:w="2938" w:type="dxa"/>
          </w:tcPr>
          <w:p w14:paraId="417A5A67" w14:textId="77777777" w:rsidR="004A06DC" w:rsidRDefault="00000000">
            <w:pPr>
              <w:spacing w:after="0" w:line="240" w:lineRule="auto"/>
            </w:pPr>
            <w:r>
              <w:rPr>
                <w:sz w:val="14"/>
              </w:rPr>
              <w:t>Usual/standard care</w:t>
            </w:r>
          </w:p>
        </w:tc>
        <w:tc>
          <w:tcPr>
            <w:tcW w:w="2938" w:type="dxa"/>
          </w:tcPr>
          <w:p w14:paraId="0DEAF963" w14:textId="77777777" w:rsidR="004A06DC" w:rsidRDefault="00000000">
            <w:pPr>
              <w:spacing w:after="0" w:line="240" w:lineRule="auto"/>
            </w:pPr>
            <w:r>
              <w:rPr>
                <w:sz w:val="14"/>
              </w:rPr>
              <w:t>Duration: 8 weeks (1×/week).</w:t>
            </w:r>
            <w:r>
              <w:rPr>
                <w:sz w:val="14"/>
              </w:rPr>
              <w:br/>
              <w:t>Assessments: baseline, week 8, 16, 24, 36, 52.</w:t>
            </w:r>
          </w:p>
        </w:tc>
      </w:tr>
      <w:tr w:rsidR="004A06DC" w14:paraId="603844BE" w14:textId="77777777">
        <w:trPr>
          <w:jc w:val="center"/>
        </w:trPr>
        <w:tc>
          <w:tcPr>
            <w:tcW w:w="2938" w:type="dxa"/>
          </w:tcPr>
          <w:p w14:paraId="3A31366E" w14:textId="77777777" w:rsidR="004A06DC" w:rsidRDefault="00000000">
            <w:pPr>
              <w:spacing w:after="0" w:line="240" w:lineRule="auto"/>
            </w:pPr>
            <w:r>
              <w:rPr>
                <w:rFonts w:eastAsia="Times New Roman"/>
                <w:sz w:val="16"/>
              </w:rPr>
              <w:t>Chen H</w:t>
            </w:r>
            <w:r>
              <w:rPr>
                <w:rFonts w:eastAsia="Times New Roman"/>
                <w:sz w:val="16"/>
                <w:vertAlign w:val="superscript"/>
              </w:rPr>
              <w:t>20</w:t>
            </w:r>
          </w:p>
        </w:tc>
        <w:tc>
          <w:tcPr>
            <w:tcW w:w="2938" w:type="dxa"/>
          </w:tcPr>
          <w:p w14:paraId="0D01DED3" w14:textId="77777777" w:rsidR="004A06DC" w:rsidRDefault="00000000">
            <w:pPr>
              <w:spacing w:after="0" w:line="240" w:lineRule="auto"/>
            </w:pPr>
            <w:r>
              <w:rPr>
                <w:sz w:val="14"/>
              </w:rPr>
              <w:t>89/72</w:t>
            </w:r>
          </w:p>
        </w:tc>
        <w:tc>
          <w:tcPr>
            <w:tcW w:w="2938" w:type="dxa"/>
          </w:tcPr>
          <w:p w14:paraId="1BCDF55C" w14:textId="77777777" w:rsidR="004A06DC" w:rsidRDefault="00000000">
            <w:pPr>
              <w:spacing w:after="0" w:line="240" w:lineRule="auto"/>
            </w:pPr>
            <w:r>
              <w:rPr>
                <w:sz w:val="14"/>
              </w:rPr>
              <w:t>No sham; usual/standard-care comparator</w:t>
            </w:r>
          </w:p>
        </w:tc>
        <w:tc>
          <w:tcPr>
            <w:tcW w:w="2938" w:type="dxa"/>
          </w:tcPr>
          <w:p w14:paraId="474A8072" w14:textId="77777777" w:rsidR="004A06DC" w:rsidRDefault="00000000">
            <w:pPr>
              <w:spacing w:after="0" w:line="240" w:lineRule="auto"/>
            </w:pPr>
            <w:r>
              <w:rPr>
                <w:sz w:val="14"/>
              </w:rPr>
              <w:t>Usual/standard care</w:t>
            </w:r>
          </w:p>
        </w:tc>
        <w:tc>
          <w:tcPr>
            <w:tcW w:w="2938" w:type="dxa"/>
          </w:tcPr>
          <w:p w14:paraId="102E6DD5" w14:textId="77777777" w:rsidR="004A06DC" w:rsidRDefault="00000000">
            <w:pPr>
              <w:spacing w:after="0" w:line="240" w:lineRule="auto"/>
            </w:pPr>
            <w:r>
              <w:rPr>
                <w:sz w:val="14"/>
              </w:rPr>
              <w:t>Duration: 24 weeks.</w:t>
            </w:r>
            <w:r>
              <w:rPr>
                <w:sz w:val="14"/>
              </w:rPr>
              <w:br/>
              <w:t>Assessments: baseline, week 12, week 24.</w:t>
            </w:r>
          </w:p>
        </w:tc>
      </w:tr>
      <w:tr w:rsidR="004A06DC" w14:paraId="796A8732" w14:textId="77777777">
        <w:trPr>
          <w:jc w:val="center"/>
        </w:trPr>
        <w:tc>
          <w:tcPr>
            <w:tcW w:w="2938" w:type="dxa"/>
          </w:tcPr>
          <w:p w14:paraId="69B207FC" w14:textId="77777777" w:rsidR="004A06DC" w:rsidRDefault="00000000">
            <w:pPr>
              <w:spacing w:after="0" w:line="240" w:lineRule="auto"/>
            </w:pPr>
            <w:r>
              <w:rPr>
                <w:rFonts w:eastAsia="Times New Roman"/>
                <w:sz w:val="16"/>
              </w:rPr>
              <w:t>Wang,Q</w:t>
            </w:r>
            <w:r>
              <w:rPr>
                <w:rFonts w:eastAsia="Times New Roman"/>
                <w:sz w:val="16"/>
                <w:vertAlign w:val="superscript"/>
              </w:rPr>
              <w:t>21</w:t>
            </w:r>
          </w:p>
        </w:tc>
        <w:tc>
          <w:tcPr>
            <w:tcW w:w="2938" w:type="dxa"/>
          </w:tcPr>
          <w:p w14:paraId="6DE93C04" w14:textId="77777777" w:rsidR="004A06DC" w:rsidRDefault="00000000">
            <w:pPr>
              <w:spacing w:after="0" w:line="240" w:lineRule="auto"/>
            </w:pPr>
            <w:r>
              <w:rPr>
                <w:sz w:val="14"/>
              </w:rPr>
              <w:t>30/30</w:t>
            </w:r>
          </w:p>
        </w:tc>
        <w:tc>
          <w:tcPr>
            <w:tcW w:w="2938" w:type="dxa"/>
          </w:tcPr>
          <w:p w14:paraId="27B04DC1" w14:textId="77777777" w:rsidR="004A06DC" w:rsidRDefault="00000000">
            <w:pPr>
              <w:spacing w:after="0" w:line="240" w:lineRule="auto"/>
            </w:pPr>
            <w:r>
              <w:rPr>
                <w:sz w:val="14"/>
              </w:rPr>
              <w:t>No sham; pharmacological active comparator/background</w:t>
            </w:r>
          </w:p>
        </w:tc>
        <w:tc>
          <w:tcPr>
            <w:tcW w:w="2938" w:type="dxa"/>
          </w:tcPr>
          <w:p w14:paraId="31A3B8F6" w14:textId="77777777" w:rsidR="004A06DC" w:rsidRDefault="00000000">
            <w:pPr>
              <w:spacing w:after="0" w:line="240" w:lineRule="auto"/>
            </w:pPr>
            <w:r>
              <w:rPr>
                <w:sz w:val="14"/>
              </w:rPr>
              <w:t>Pharmacological comparator/background</w:t>
            </w:r>
          </w:p>
        </w:tc>
        <w:tc>
          <w:tcPr>
            <w:tcW w:w="2938" w:type="dxa"/>
          </w:tcPr>
          <w:p w14:paraId="70FB72A8" w14:textId="77777777" w:rsidR="004A06DC" w:rsidRDefault="00000000">
            <w:pPr>
              <w:spacing w:after="0" w:line="240" w:lineRule="auto"/>
            </w:pPr>
            <w:r>
              <w:rPr>
                <w:sz w:val="14"/>
              </w:rPr>
              <w:t>Duration: 4 weeks (3×/week).</w:t>
            </w:r>
            <w:r>
              <w:rPr>
                <w:sz w:val="14"/>
              </w:rPr>
              <w:br/>
              <w:t>Assessments: pre-treatment, post-treatment, 3-month follow-up.</w:t>
            </w:r>
          </w:p>
        </w:tc>
      </w:tr>
      <w:tr w:rsidR="004A06DC" w14:paraId="6FF70653" w14:textId="77777777">
        <w:trPr>
          <w:jc w:val="center"/>
        </w:trPr>
        <w:tc>
          <w:tcPr>
            <w:tcW w:w="2938" w:type="dxa"/>
          </w:tcPr>
          <w:p w14:paraId="06D18639" w14:textId="77777777" w:rsidR="004A06DC" w:rsidRDefault="00000000">
            <w:pPr>
              <w:spacing w:after="0" w:line="240" w:lineRule="auto"/>
            </w:pPr>
            <w:r>
              <w:rPr>
                <w:rFonts w:eastAsia="Times New Roman"/>
                <w:sz w:val="16"/>
              </w:rPr>
              <w:t>Wang TQ</w:t>
            </w:r>
            <w:r>
              <w:rPr>
                <w:rFonts w:eastAsia="Times New Roman"/>
                <w:sz w:val="16"/>
                <w:vertAlign w:val="superscript"/>
              </w:rPr>
              <w:t>22</w:t>
            </w:r>
          </w:p>
        </w:tc>
        <w:tc>
          <w:tcPr>
            <w:tcW w:w="2938" w:type="dxa"/>
          </w:tcPr>
          <w:p w14:paraId="2F16F254" w14:textId="77777777" w:rsidR="004A06DC" w:rsidRDefault="00000000">
            <w:pPr>
              <w:spacing w:after="0" w:line="240" w:lineRule="auto"/>
            </w:pPr>
            <w:r>
              <w:rPr>
                <w:sz w:val="14"/>
              </w:rPr>
              <w:t>30/30</w:t>
            </w:r>
          </w:p>
        </w:tc>
        <w:tc>
          <w:tcPr>
            <w:tcW w:w="2938" w:type="dxa"/>
          </w:tcPr>
          <w:p w14:paraId="1E5B4E25" w14:textId="77777777" w:rsidR="004A06DC" w:rsidRDefault="00000000">
            <w:pPr>
              <w:spacing w:after="0" w:line="240" w:lineRule="auto"/>
            </w:pPr>
            <w:r>
              <w:rPr>
                <w:sz w:val="14"/>
              </w:rPr>
              <w:t>Sham/placebo or blinding control reported</w:t>
            </w:r>
          </w:p>
        </w:tc>
        <w:tc>
          <w:tcPr>
            <w:tcW w:w="2938" w:type="dxa"/>
          </w:tcPr>
          <w:p w14:paraId="2FD19BD0" w14:textId="77777777" w:rsidR="004A06DC" w:rsidRDefault="00000000">
            <w:pPr>
              <w:spacing w:after="0" w:line="240" w:lineRule="auto"/>
            </w:pPr>
            <w:r>
              <w:rPr>
                <w:sz w:val="14"/>
              </w:rPr>
              <w:t>Sham/placebo comparator</w:t>
            </w:r>
          </w:p>
        </w:tc>
        <w:tc>
          <w:tcPr>
            <w:tcW w:w="2938" w:type="dxa"/>
          </w:tcPr>
          <w:p w14:paraId="17534126" w14:textId="77777777" w:rsidR="004A06DC" w:rsidRDefault="00000000">
            <w:pPr>
              <w:spacing w:after="0" w:line="240" w:lineRule="auto"/>
            </w:pPr>
            <w:r>
              <w:rPr>
                <w:sz w:val="14"/>
              </w:rPr>
              <w:t>Duration: 8 weeks (3×/week).</w:t>
            </w:r>
            <w:r>
              <w:rPr>
                <w:sz w:val="14"/>
              </w:rPr>
              <w:br/>
              <w:t>Assessments: baseline, week 4, 8, 12, 16.</w:t>
            </w:r>
          </w:p>
        </w:tc>
      </w:tr>
      <w:tr w:rsidR="004A06DC" w14:paraId="442AE3A8" w14:textId="77777777">
        <w:trPr>
          <w:jc w:val="center"/>
        </w:trPr>
        <w:tc>
          <w:tcPr>
            <w:tcW w:w="2938" w:type="dxa"/>
          </w:tcPr>
          <w:p w14:paraId="72BA8ED7" w14:textId="77777777" w:rsidR="004A06DC" w:rsidRDefault="00000000">
            <w:pPr>
              <w:spacing w:after="0" w:line="240" w:lineRule="auto"/>
            </w:pPr>
            <w:r>
              <w:rPr>
                <w:rFonts w:eastAsia="Times New Roman"/>
                <w:sz w:val="16"/>
              </w:rPr>
              <w:t>Ye J</w:t>
            </w:r>
            <w:r>
              <w:rPr>
                <w:rFonts w:eastAsia="Times New Roman"/>
                <w:sz w:val="16"/>
                <w:vertAlign w:val="superscript"/>
              </w:rPr>
              <w:t>23</w:t>
            </w:r>
          </w:p>
        </w:tc>
        <w:tc>
          <w:tcPr>
            <w:tcW w:w="2938" w:type="dxa"/>
          </w:tcPr>
          <w:p w14:paraId="7A06D57F" w14:textId="77777777" w:rsidR="004A06DC" w:rsidRDefault="00000000">
            <w:pPr>
              <w:spacing w:after="0" w:line="240" w:lineRule="auto"/>
            </w:pPr>
            <w:r>
              <w:rPr>
                <w:sz w:val="14"/>
              </w:rPr>
              <w:t>28/28</w:t>
            </w:r>
          </w:p>
        </w:tc>
        <w:tc>
          <w:tcPr>
            <w:tcW w:w="2938" w:type="dxa"/>
          </w:tcPr>
          <w:p w14:paraId="73397207" w14:textId="77777777" w:rsidR="004A06DC" w:rsidRDefault="00000000">
            <w:pPr>
              <w:spacing w:after="0" w:line="240" w:lineRule="auto"/>
            </w:pPr>
            <w:r>
              <w:rPr>
                <w:sz w:val="14"/>
              </w:rPr>
              <w:t>No sham; usual/standard-care comparator</w:t>
            </w:r>
          </w:p>
        </w:tc>
        <w:tc>
          <w:tcPr>
            <w:tcW w:w="2938" w:type="dxa"/>
          </w:tcPr>
          <w:p w14:paraId="7DD87159" w14:textId="77777777" w:rsidR="004A06DC" w:rsidRDefault="00000000">
            <w:pPr>
              <w:spacing w:after="0" w:line="240" w:lineRule="auto"/>
            </w:pPr>
            <w:r>
              <w:rPr>
                <w:sz w:val="14"/>
              </w:rPr>
              <w:t>Usual/standard care</w:t>
            </w:r>
          </w:p>
        </w:tc>
        <w:tc>
          <w:tcPr>
            <w:tcW w:w="2938" w:type="dxa"/>
          </w:tcPr>
          <w:p w14:paraId="73815871" w14:textId="77777777" w:rsidR="004A06DC" w:rsidRDefault="00000000">
            <w:pPr>
              <w:spacing w:after="0" w:line="240" w:lineRule="auto"/>
            </w:pPr>
            <w:r>
              <w:rPr>
                <w:sz w:val="14"/>
              </w:rPr>
              <w:t>Duration: 12 weeks (3×/week).</w:t>
            </w:r>
            <w:r>
              <w:rPr>
                <w:sz w:val="14"/>
              </w:rPr>
              <w:br/>
              <w:t>Assessments: baseline, week 8, week 12.</w:t>
            </w:r>
          </w:p>
        </w:tc>
      </w:tr>
      <w:tr w:rsidR="004A06DC" w14:paraId="552FA929" w14:textId="77777777">
        <w:trPr>
          <w:jc w:val="center"/>
        </w:trPr>
        <w:tc>
          <w:tcPr>
            <w:tcW w:w="2938" w:type="dxa"/>
          </w:tcPr>
          <w:p w14:paraId="3C6C8091" w14:textId="77777777" w:rsidR="004A06DC" w:rsidRDefault="00000000">
            <w:pPr>
              <w:spacing w:after="0" w:line="240" w:lineRule="auto"/>
            </w:pPr>
            <w:r>
              <w:rPr>
                <w:rFonts w:eastAsia="Times New Roman"/>
                <w:sz w:val="16"/>
              </w:rPr>
              <w:t>Zhu J</w:t>
            </w:r>
            <w:r>
              <w:rPr>
                <w:rFonts w:eastAsia="Times New Roman"/>
                <w:sz w:val="16"/>
                <w:vertAlign w:val="superscript"/>
              </w:rPr>
              <w:t>24</w:t>
            </w:r>
          </w:p>
        </w:tc>
        <w:tc>
          <w:tcPr>
            <w:tcW w:w="2938" w:type="dxa"/>
          </w:tcPr>
          <w:p w14:paraId="298D2108" w14:textId="77777777" w:rsidR="004A06DC" w:rsidRDefault="00000000">
            <w:pPr>
              <w:spacing w:after="0" w:line="240" w:lineRule="auto"/>
            </w:pPr>
            <w:r>
              <w:rPr>
                <w:sz w:val="14"/>
              </w:rPr>
              <w:t>39/44</w:t>
            </w:r>
          </w:p>
        </w:tc>
        <w:tc>
          <w:tcPr>
            <w:tcW w:w="2938" w:type="dxa"/>
          </w:tcPr>
          <w:p w14:paraId="2638E808" w14:textId="77777777" w:rsidR="004A06DC" w:rsidRDefault="00000000">
            <w:pPr>
              <w:spacing w:after="0" w:line="240" w:lineRule="auto"/>
            </w:pPr>
            <w:r>
              <w:rPr>
                <w:sz w:val="14"/>
              </w:rPr>
              <w:t>No sham; pharmacological active comparator/background</w:t>
            </w:r>
          </w:p>
        </w:tc>
        <w:tc>
          <w:tcPr>
            <w:tcW w:w="2938" w:type="dxa"/>
          </w:tcPr>
          <w:p w14:paraId="702A3041" w14:textId="77777777" w:rsidR="004A06DC" w:rsidRDefault="00000000">
            <w:pPr>
              <w:spacing w:after="0" w:line="240" w:lineRule="auto"/>
            </w:pPr>
            <w:r>
              <w:rPr>
                <w:sz w:val="14"/>
              </w:rPr>
              <w:t>Pharmacological comparator/background</w:t>
            </w:r>
          </w:p>
        </w:tc>
        <w:tc>
          <w:tcPr>
            <w:tcW w:w="2938" w:type="dxa"/>
          </w:tcPr>
          <w:p w14:paraId="1D8A140B" w14:textId="77777777" w:rsidR="004A06DC" w:rsidRDefault="00000000">
            <w:pPr>
              <w:spacing w:after="0" w:line="240" w:lineRule="auto"/>
            </w:pPr>
            <w:r>
              <w:rPr>
                <w:sz w:val="14"/>
              </w:rPr>
              <w:t>Duration: 3 weeks.</w:t>
            </w:r>
            <w:r>
              <w:rPr>
                <w:sz w:val="14"/>
              </w:rPr>
              <w:br/>
              <w:t>Assessments: baseline, week 3, 3 months.</w:t>
            </w:r>
          </w:p>
        </w:tc>
      </w:tr>
      <w:tr w:rsidR="004A06DC" w14:paraId="69EDD128" w14:textId="77777777">
        <w:trPr>
          <w:jc w:val="center"/>
        </w:trPr>
        <w:tc>
          <w:tcPr>
            <w:tcW w:w="2938" w:type="dxa"/>
          </w:tcPr>
          <w:p w14:paraId="20796875" w14:textId="77777777" w:rsidR="004A06DC" w:rsidRDefault="00000000">
            <w:pPr>
              <w:spacing w:after="0" w:line="240" w:lineRule="auto"/>
            </w:pPr>
            <w:r>
              <w:rPr>
                <w:rFonts w:eastAsia="Times New Roman"/>
                <w:sz w:val="16"/>
              </w:rPr>
              <w:t>Alinaghizadeh M</w:t>
            </w:r>
            <w:r>
              <w:rPr>
                <w:rFonts w:eastAsia="Times New Roman"/>
                <w:sz w:val="16"/>
                <w:vertAlign w:val="superscript"/>
              </w:rPr>
              <w:t>25</w:t>
            </w:r>
          </w:p>
        </w:tc>
        <w:tc>
          <w:tcPr>
            <w:tcW w:w="2938" w:type="dxa"/>
          </w:tcPr>
          <w:p w14:paraId="6CA90CD2" w14:textId="77777777" w:rsidR="004A06DC" w:rsidRDefault="00000000">
            <w:pPr>
              <w:spacing w:after="0" w:line="240" w:lineRule="auto"/>
            </w:pPr>
            <w:r>
              <w:rPr>
                <w:sz w:val="14"/>
              </w:rPr>
              <w:t>36/36</w:t>
            </w:r>
          </w:p>
        </w:tc>
        <w:tc>
          <w:tcPr>
            <w:tcW w:w="2938" w:type="dxa"/>
          </w:tcPr>
          <w:p w14:paraId="2C5DB699" w14:textId="77777777" w:rsidR="004A06DC" w:rsidRDefault="00000000">
            <w:pPr>
              <w:spacing w:after="0" w:line="240" w:lineRule="auto"/>
            </w:pPr>
            <w:r>
              <w:rPr>
                <w:sz w:val="14"/>
              </w:rPr>
              <w:t>Sham/placebo or blinding control reported</w:t>
            </w:r>
          </w:p>
        </w:tc>
        <w:tc>
          <w:tcPr>
            <w:tcW w:w="2938" w:type="dxa"/>
          </w:tcPr>
          <w:p w14:paraId="2232CB0C" w14:textId="77777777" w:rsidR="004A06DC" w:rsidRDefault="00000000">
            <w:pPr>
              <w:spacing w:after="0" w:line="240" w:lineRule="auto"/>
            </w:pPr>
            <w:r>
              <w:rPr>
                <w:sz w:val="14"/>
              </w:rPr>
              <w:t>Sham/placebo comparator</w:t>
            </w:r>
          </w:p>
        </w:tc>
        <w:tc>
          <w:tcPr>
            <w:tcW w:w="2938" w:type="dxa"/>
          </w:tcPr>
          <w:p w14:paraId="11A45F6F" w14:textId="77777777" w:rsidR="004A06DC" w:rsidRDefault="00000000">
            <w:pPr>
              <w:spacing w:after="0" w:line="240" w:lineRule="auto"/>
            </w:pPr>
            <w:r>
              <w:rPr>
                <w:sz w:val="14"/>
              </w:rPr>
              <w:t>Duration: 5 days (2×/day).</w:t>
            </w:r>
            <w:r>
              <w:rPr>
                <w:sz w:val="14"/>
              </w:rPr>
              <w:br/>
              <w:t>Assessments: baseline, end of day 1, end of day 5, 10 days post-intervention.</w:t>
            </w:r>
          </w:p>
        </w:tc>
      </w:tr>
      <w:tr w:rsidR="004A06DC" w14:paraId="14FD084B" w14:textId="77777777">
        <w:trPr>
          <w:jc w:val="center"/>
        </w:trPr>
        <w:tc>
          <w:tcPr>
            <w:tcW w:w="2938" w:type="dxa"/>
          </w:tcPr>
          <w:p w14:paraId="637DCF55" w14:textId="77777777" w:rsidR="004A06DC" w:rsidRDefault="00000000">
            <w:pPr>
              <w:spacing w:after="0" w:line="240" w:lineRule="auto"/>
            </w:pPr>
            <w:r>
              <w:rPr>
                <w:rFonts w:eastAsia="Times New Roman"/>
                <w:sz w:val="16"/>
              </w:rPr>
              <w:t>Bunsanong T</w:t>
            </w:r>
            <w:r>
              <w:rPr>
                <w:rFonts w:eastAsia="Times New Roman"/>
                <w:sz w:val="16"/>
                <w:vertAlign w:val="superscript"/>
              </w:rPr>
              <w:t>26</w:t>
            </w:r>
          </w:p>
        </w:tc>
        <w:tc>
          <w:tcPr>
            <w:tcW w:w="2938" w:type="dxa"/>
          </w:tcPr>
          <w:p w14:paraId="6C87EDFB" w14:textId="77777777" w:rsidR="004A06DC" w:rsidRDefault="00000000">
            <w:pPr>
              <w:spacing w:after="0" w:line="240" w:lineRule="auto"/>
            </w:pPr>
            <w:r>
              <w:rPr>
                <w:sz w:val="14"/>
              </w:rPr>
              <w:t>20/20</w:t>
            </w:r>
          </w:p>
        </w:tc>
        <w:tc>
          <w:tcPr>
            <w:tcW w:w="2938" w:type="dxa"/>
          </w:tcPr>
          <w:p w14:paraId="35C1AAEC" w14:textId="77777777" w:rsidR="004A06DC" w:rsidRDefault="00000000">
            <w:pPr>
              <w:spacing w:after="0" w:line="240" w:lineRule="auto"/>
            </w:pPr>
            <w:r>
              <w:rPr>
                <w:sz w:val="14"/>
              </w:rPr>
              <w:t>No sham; usual/standard-care comparator</w:t>
            </w:r>
          </w:p>
        </w:tc>
        <w:tc>
          <w:tcPr>
            <w:tcW w:w="2938" w:type="dxa"/>
          </w:tcPr>
          <w:p w14:paraId="61C6F992" w14:textId="77777777" w:rsidR="004A06DC" w:rsidRDefault="00000000">
            <w:pPr>
              <w:spacing w:after="0" w:line="240" w:lineRule="auto"/>
            </w:pPr>
            <w:r>
              <w:rPr>
                <w:sz w:val="14"/>
              </w:rPr>
              <w:t>Usual/standard care</w:t>
            </w:r>
          </w:p>
        </w:tc>
        <w:tc>
          <w:tcPr>
            <w:tcW w:w="2938" w:type="dxa"/>
          </w:tcPr>
          <w:p w14:paraId="29614E13" w14:textId="77777777" w:rsidR="004A06DC" w:rsidRDefault="00000000">
            <w:pPr>
              <w:spacing w:after="0" w:line="240" w:lineRule="auto"/>
            </w:pPr>
            <w:r>
              <w:rPr>
                <w:sz w:val="14"/>
              </w:rPr>
              <w:t>Duration: 4 weeks (2×/week).</w:t>
            </w:r>
            <w:r>
              <w:rPr>
                <w:sz w:val="14"/>
              </w:rPr>
              <w:br/>
              <w:t>Assessments: baseline, immediately post-intervention, 4 weeks post-intervention.</w:t>
            </w:r>
          </w:p>
        </w:tc>
      </w:tr>
      <w:tr w:rsidR="004A06DC" w14:paraId="5FDFA1BE" w14:textId="77777777">
        <w:trPr>
          <w:jc w:val="center"/>
        </w:trPr>
        <w:tc>
          <w:tcPr>
            <w:tcW w:w="2938" w:type="dxa"/>
          </w:tcPr>
          <w:p w14:paraId="4A33F379" w14:textId="77777777" w:rsidR="004A06DC" w:rsidRDefault="00000000">
            <w:pPr>
              <w:spacing w:after="0" w:line="240" w:lineRule="auto"/>
            </w:pPr>
            <w:r>
              <w:rPr>
                <w:rFonts w:eastAsia="Times New Roman"/>
                <w:sz w:val="16"/>
              </w:rPr>
              <w:t>Guo JM</w:t>
            </w:r>
            <w:r>
              <w:rPr>
                <w:rFonts w:eastAsia="Times New Roman"/>
                <w:sz w:val="16"/>
                <w:vertAlign w:val="superscript"/>
              </w:rPr>
              <w:t>27</w:t>
            </w:r>
          </w:p>
        </w:tc>
        <w:tc>
          <w:tcPr>
            <w:tcW w:w="2938" w:type="dxa"/>
          </w:tcPr>
          <w:p w14:paraId="461034B6" w14:textId="77777777" w:rsidR="004A06DC" w:rsidRDefault="00000000">
            <w:pPr>
              <w:spacing w:after="0" w:line="240" w:lineRule="auto"/>
            </w:pPr>
            <w:r>
              <w:rPr>
                <w:sz w:val="14"/>
              </w:rPr>
              <w:t>351/345</w:t>
            </w:r>
          </w:p>
        </w:tc>
        <w:tc>
          <w:tcPr>
            <w:tcW w:w="2938" w:type="dxa"/>
          </w:tcPr>
          <w:p w14:paraId="76C2F617" w14:textId="46833480" w:rsidR="004A06DC" w:rsidRDefault="00ED3941">
            <w:pPr>
              <w:spacing w:after="0" w:line="240" w:lineRule="auto"/>
            </w:pPr>
            <w:r>
              <w:rPr>
                <w:sz w:val="14"/>
              </w:rPr>
              <w:t>Blinding not clearly reported</w:t>
            </w:r>
          </w:p>
        </w:tc>
        <w:tc>
          <w:tcPr>
            <w:tcW w:w="2938" w:type="dxa"/>
          </w:tcPr>
          <w:p w14:paraId="3067D79A" w14:textId="77777777" w:rsidR="004A06DC" w:rsidRDefault="00000000">
            <w:pPr>
              <w:spacing w:after="0" w:line="240" w:lineRule="auto"/>
            </w:pPr>
            <w:r>
              <w:rPr>
                <w:sz w:val="14"/>
              </w:rPr>
              <w:t>Active non-pharmacological or other comparator</w:t>
            </w:r>
          </w:p>
        </w:tc>
        <w:tc>
          <w:tcPr>
            <w:tcW w:w="2938" w:type="dxa"/>
          </w:tcPr>
          <w:p w14:paraId="1AC7038B" w14:textId="77777777" w:rsidR="004A06DC" w:rsidRDefault="00000000">
            <w:pPr>
              <w:spacing w:after="0" w:line="240" w:lineRule="auto"/>
            </w:pPr>
            <w:r>
              <w:rPr>
                <w:sz w:val="14"/>
              </w:rPr>
              <w:t>Duration: 4 weeks.</w:t>
            </w:r>
            <w:r>
              <w:rPr>
                <w:sz w:val="14"/>
              </w:rPr>
              <w:br/>
              <w:t>Assessments: baseline, week 2, week 4, and 1 &amp; 3 months post-treatment.</w:t>
            </w:r>
          </w:p>
        </w:tc>
      </w:tr>
      <w:tr w:rsidR="004A06DC" w14:paraId="0730A448" w14:textId="77777777">
        <w:trPr>
          <w:jc w:val="center"/>
        </w:trPr>
        <w:tc>
          <w:tcPr>
            <w:tcW w:w="2938" w:type="dxa"/>
          </w:tcPr>
          <w:p w14:paraId="214CE359" w14:textId="77777777" w:rsidR="004A06DC" w:rsidRDefault="00000000">
            <w:pPr>
              <w:spacing w:after="0" w:line="240" w:lineRule="auto"/>
            </w:pPr>
            <w:r>
              <w:rPr>
                <w:rFonts w:eastAsia="Times New Roman"/>
                <w:sz w:val="16"/>
              </w:rPr>
              <w:t>Lam WC</w:t>
            </w:r>
            <w:r>
              <w:rPr>
                <w:rFonts w:eastAsia="Times New Roman"/>
                <w:sz w:val="16"/>
                <w:vertAlign w:val="superscript"/>
              </w:rPr>
              <w:t>28</w:t>
            </w:r>
          </w:p>
        </w:tc>
        <w:tc>
          <w:tcPr>
            <w:tcW w:w="2938" w:type="dxa"/>
          </w:tcPr>
          <w:p w14:paraId="1DBA8156" w14:textId="77777777" w:rsidR="004A06DC" w:rsidRDefault="00000000">
            <w:pPr>
              <w:spacing w:after="0" w:line="240" w:lineRule="auto"/>
            </w:pPr>
            <w:r>
              <w:rPr>
                <w:sz w:val="14"/>
              </w:rPr>
              <w:t>39/36</w:t>
            </w:r>
          </w:p>
        </w:tc>
        <w:tc>
          <w:tcPr>
            <w:tcW w:w="2938" w:type="dxa"/>
          </w:tcPr>
          <w:p w14:paraId="170075F8" w14:textId="77777777" w:rsidR="004A06DC" w:rsidRDefault="00000000">
            <w:pPr>
              <w:spacing w:after="0" w:line="240" w:lineRule="auto"/>
            </w:pPr>
            <w:r>
              <w:rPr>
                <w:sz w:val="14"/>
              </w:rPr>
              <w:t>Sham/placebo or blinding control reported</w:t>
            </w:r>
          </w:p>
        </w:tc>
        <w:tc>
          <w:tcPr>
            <w:tcW w:w="2938" w:type="dxa"/>
          </w:tcPr>
          <w:p w14:paraId="07BA67A4" w14:textId="77777777" w:rsidR="004A06DC" w:rsidRDefault="00000000">
            <w:pPr>
              <w:spacing w:after="0" w:line="240" w:lineRule="auto"/>
            </w:pPr>
            <w:r>
              <w:rPr>
                <w:sz w:val="14"/>
              </w:rPr>
              <w:t>Sham/placebo comparator</w:t>
            </w:r>
          </w:p>
        </w:tc>
        <w:tc>
          <w:tcPr>
            <w:tcW w:w="2938" w:type="dxa"/>
          </w:tcPr>
          <w:p w14:paraId="1526A911" w14:textId="77777777" w:rsidR="004A06DC" w:rsidRDefault="00000000">
            <w:pPr>
              <w:spacing w:after="0" w:line="240" w:lineRule="auto"/>
            </w:pPr>
            <w:r>
              <w:rPr>
                <w:sz w:val="14"/>
              </w:rPr>
              <w:t>Duration: 4 weeks (10 sessions).</w:t>
            </w:r>
            <w:r>
              <w:rPr>
                <w:sz w:val="14"/>
              </w:rPr>
              <w:br/>
              <w:t>Assessments: baseline, after each session, week 2, 4, 6, and 10.</w:t>
            </w:r>
          </w:p>
        </w:tc>
      </w:tr>
      <w:tr w:rsidR="004A06DC" w14:paraId="1CBBCB87" w14:textId="77777777">
        <w:trPr>
          <w:jc w:val="center"/>
        </w:trPr>
        <w:tc>
          <w:tcPr>
            <w:tcW w:w="2938" w:type="dxa"/>
          </w:tcPr>
          <w:p w14:paraId="701B0CFC" w14:textId="77777777" w:rsidR="004A06DC" w:rsidRDefault="00000000">
            <w:pPr>
              <w:spacing w:after="0" w:line="240" w:lineRule="auto"/>
            </w:pPr>
            <w:r>
              <w:rPr>
                <w:rFonts w:eastAsia="Times New Roman"/>
                <w:sz w:val="16"/>
              </w:rPr>
              <w:t>Maheu E.</w:t>
            </w:r>
            <w:r>
              <w:rPr>
                <w:rFonts w:eastAsia="Times New Roman"/>
                <w:sz w:val="16"/>
                <w:vertAlign w:val="superscript"/>
              </w:rPr>
              <w:t>29</w:t>
            </w:r>
          </w:p>
        </w:tc>
        <w:tc>
          <w:tcPr>
            <w:tcW w:w="2938" w:type="dxa"/>
          </w:tcPr>
          <w:p w14:paraId="58CE0D8A" w14:textId="77777777" w:rsidR="004A06DC" w:rsidRDefault="00000000">
            <w:pPr>
              <w:spacing w:after="0" w:line="240" w:lineRule="auto"/>
            </w:pPr>
            <w:r>
              <w:rPr>
                <w:sz w:val="14"/>
              </w:rPr>
              <w:t>52/47</w:t>
            </w:r>
          </w:p>
        </w:tc>
        <w:tc>
          <w:tcPr>
            <w:tcW w:w="2938" w:type="dxa"/>
          </w:tcPr>
          <w:p w14:paraId="73EA59D8" w14:textId="77777777" w:rsidR="004A06DC" w:rsidRDefault="00000000">
            <w:pPr>
              <w:spacing w:after="0" w:line="240" w:lineRule="auto"/>
            </w:pPr>
            <w:r>
              <w:rPr>
                <w:sz w:val="14"/>
              </w:rPr>
              <w:t>No sham; pharmacological active comparator/background</w:t>
            </w:r>
          </w:p>
        </w:tc>
        <w:tc>
          <w:tcPr>
            <w:tcW w:w="2938" w:type="dxa"/>
          </w:tcPr>
          <w:p w14:paraId="0085B732" w14:textId="77777777" w:rsidR="004A06DC" w:rsidRDefault="00000000">
            <w:pPr>
              <w:spacing w:after="0" w:line="240" w:lineRule="auto"/>
            </w:pPr>
            <w:r>
              <w:rPr>
                <w:sz w:val="14"/>
              </w:rPr>
              <w:t>Pharmacological comparator/background</w:t>
            </w:r>
          </w:p>
        </w:tc>
        <w:tc>
          <w:tcPr>
            <w:tcW w:w="2938" w:type="dxa"/>
          </w:tcPr>
          <w:p w14:paraId="24D1B93B" w14:textId="77777777" w:rsidR="004A06DC" w:rsidRDefault="00000000">
            <w:pPr>
              <w:spacing w:after="0" w:line="240" w:lineRule="auto"/>
            </w:pPr>
            <w:r>
              <w:rPr>
                <w:sz w:val="14"/>
              </w:rPr>
              <w:t>Duration: 3 months.</w:t>
            </w:r>
            <w:r>
              <w:rPr>
                <w:sz w:val="14"/>
              </w:rPr>
              <w:br/>
              <w:t>Assessments: baseline, month 1, month 3 (wearable TENS extended to month 6).</w:t>
            </w:r>
          </w:p>
        </w:tc>
      </w:tr>
      <w:tr w:rsidR="004A06DC" w14:paraId="16AAB42F" w14:textId="77777777">
        <w:trPr>
          <w:jc w:val="center"/>
        </w:trPr>
        <w:tc>
          <w:tcPr>
            <w:tcW w:w="2938" w:type="dxa"/>
          </w:tcPr>
          <w:p w14:paraId="6B7BB6C5" w14:textId="77777777" w:rsidR="004A06DC" w:rsidRDefault="00000000">
            <w:pPr>
              <w:spacing w:after="0" w:line="240" w:lineRule="auto"/>
            </w:pPr>
            <w:r>
              <w:rPr>
                <w:rFonts w:eastAsia="Times New Roman"/>
                <w:sz w:val="16"/>
              </w:rPr>
              <w:t>Tu JF</w:t>
            </w:r>
            <w:r>
              <w:rPr>
                <w:rFonts w:eastAsia="Times New Roman"/>
                <w:sz w:val="16"/>
                <w:vertAlign w:val="superscript"/>
              </w:rPr>
              <w:t>30</w:t>
            </w:r>
          </w:p>
        </w:tc>
        <w:tc>
          <w:tcPr>
            <w:tcW w:w="2938" w:type="dxa"/>
          </w:tcPr>
          <w:p w14:paraId="041F9905" w14:textId="77777777" w:rsidR="004A06DC" w:rsidRDefault="00000000">
            <w:pPr>
              <w:spacing w:after="0" w:line="240" w:lineRule="auto"/>
            </w:pPr>
            <w:r>
              <w:rPr>
                <w:sz w:val="14"/>
              </w:rPr>
              <w:t>151/145/146</w:t>
            </w:r>
          </w:p>
        </w:tc>
        <w:tc>
          <w:tcPr>
            <w:tcW w:w="2938" w:type="dxa"/>
          </w:tcPr>
          <w:p w14:paraId="4B3E10D5" w14:textId="77777777" w:rsidR="004A06DC" w:rsidRDefault="00000000">
            <w:pPr>
              <w:spacing w:after="0" w:line="240" w:lineRule="auto"/>
            </w:pPr>
            <w:r>
              <w:rPr>
                <w:sz w:val="14"/>
              </w:rPr>
              <w:t>Sham/placebo or blinding control reported</w:t>
            </w:r>
          </w:p>
        </w:tc>
        <w:tc>
          <w:tcPr>
            <w:tcW w:w="2938" w:type="dxa"/>
          </w:tcPr>
          <w:p w14:paraId="2718A82D" w14:textId="77777777" w:rsidR="004A06DC" w:rsidRDefault="00000000">
            <w:pPr>
              <w:spacing w:after="0" w:line="240" w:lineRule="auto"/>
            </w:pPr>
            <w:r>
              <w:rPr>
                <w:sz w:val="14"/>
              </w:rPr>
              <w:t>Sham/placebo comparator</w:t>
            </w:r>
          </w:p>
        </w:tc>
        <w:tc>
          <w:tcPr>
            <w:tcW w:w="2938" w:type="dxa"/>
          </w:tcPr>
          <w:p w14:paraId="77F8964B" w14:textId="77777777" w:rsidR="004A06DC" w:rsidRDefault="00000000">
            <w:pPr>
              <w:spacing w:after="0" w:line="240" w:lineRule="auto"/>
            </w:pPr>
            <w:r>
              <w:rPr>
                <w:sz w:val="14"/>
              </w:rPr>
              <w:t>Duration: 8 weeks (3×/week).</w:t>
            </w:r>
            <w:r>
              <w:rPr>
                <w:sz w:val="14"/>
              </w:rPr>
              <w:br/>
              <w:t>Assessments: NR.</w:t>
            </w:r>
          </w:p>
        </w:tc>
      </w:tr>
      <w:tr w:rsidR="004A06DC" w14:paraId="7DC1E732" w14:textId="77777777">
        <w:trPr>
          <w:jc w:val="center"/>
        </w:trPr>
        <w:tc>
          <w:tcPr>
            <w:tcW w:w="2938" w:type="dxa"/>
          </w:tcPr>
          <w:p w14:paraId="2DCF2925" w14:textId="77777777" w:rsidR="004A06DC" w:rsidRDefault="00000000">
            <w:pPr>
              <w:spacing w:after="0" w:line="240" w:lineRule="auto"/>
            </w:pPr>
            <w:r>
              <w:rPr>
                <w:rFonts w:eastAsia="Times New Roman"/>
                <w:sz w:val="16"/>
              </w:rPr>
              <w:t>Zacaron KAM</w:t>
            </w:r>
            <w:r>
              <w:rPr>
                <w:rFonts w:eastAsia="Times New Roman"/>
                <w:sz w:val="16"/>
                <w:vertAlign w:val="superscript"/>
              </w:rPr>
              <w:t>31</w:t>
            </w:r>
          </w:p>
        </w:tc>
        <w:tc>
          <w:tcPr>
            <w:tcW w:w="2938" w:type="dxa"/>
          </w:tcPr>
          <w:p w14:paraId="7F6A4183" w14:textId="77777777" w:rsidR="004A06DC" w:rsidRDefault="00000000">
            <w:pPr>
              <w:spacing w:after="0" w:line="240" w:lineRule="auto"/>
            </w:pPr>
            <w:r>
              <w:rPr>
                <w:sz w:val="14"/>
              </w:rPr>
              <w:t>35/36/36</w:t>
            </w:r>
          </w:p>
        </w:tc>
        <w:tc>
          <w:tcPr>
            <w:tcW w:w="2938" w:type="dxa"/>
          </w:tcPr>
          <w:p w14:paraId="2A602CF6" w14:textId="3E574BA3" w:rsidR="004A06DC" w:rsidRDefault="00ED3941">
            <w:pPr>
              <w:spacing w:after="0" w:line="240" w:lineRule="auto"/>
            </w:pPr>
            <w:r>
              <w:rPr>
                <w:sz w:val="14"/>
              </w:rPr>
              <w:t>Blinding not clearly reported</w:t>
            </w:r>
          </w:p>
        </w:tc>
        <w:tc>
          <w:tcPr>
            <w:tcW w:w="2938" w:type="dxa"/>
          </w:tcPr>
          <w:p w14:paraId="46A9A246" w14:textId="77777777" w:rsidR="004A06DC" w:rsidRDefault="00000000">
            <w:pPr>
              <w:spacing w:after="0" w:line="240" w:lineRule="auto"/>
            </w:pPr>
            <w:r>
              <w:rPr>
                <w:sz w:val="14"/>
              </w:rPr>
              <w:t>Active non-pharmacological or other comparator</w:t>
            </w:r>
          </w:p>
        </w:tc>
        <w:tc>
          <w:tcPr>
            <w:tcW w:w="2938" w:type="dxa"/>
          </w:tcPr>
          <w:p w14:paraId="74C32727" w14:textId="77777777" w:rsidR="004A06DC" w:rsidRDefault="00000000">
            <w:pPr>
              <w:spacing w:after="0" w:line="240" w:lineRule="auto"/>
            </w:pPr>
            <w:r>
              <w:rPr>
                <w:sz w:val="14"/>
              </w:rPr>
              <w:t>Duration: 8 weeks.</w:t>
            </w:r>
            <w:r>
              <w:rPr>
                <w:sz w:val="14"/>
              </w:rPr>
              <w:br/>
              <w:t>Assessments: baseline, week 8, week 16.</w:t>
            </w:r>
          </w:p>
        </w:tc>
      </w:tr>
      <w:tr w:rsidR="004A06DC" w14:paraId="136A6CBA" w14:textId="77777777">
        <w:trPr>
          <w:jc w:val="center"/>
        </w:trPr>
        <w:tc>
          <w:tcPr>
            <w:tcW w:w="2938" w:type="dxa"/>
          </w:tcPr>
          <w:p w14:paraId="12CF55E3" w14:textId="77777777" w:rsidR="004A06DC" w:rsidRDefault="00000000">
            <w:pPr>
              <w:spacing w:after="0" w:line="240" w:lineRule="auto"/>
            </w:pPr>
            <w:r>
              <w:rPr>
                <w:rFonts w:eastAsia="Times New Roman"/>
                <w:sz w:val="16"/>
              </w:rPr>
              <w:lastRenderedPageBreak/>
              <w:t>Bennell KL</w:t>
            </w:r>
            <w:r>
              <w:rPr>
                <w:rFonts w:eastAsia="Times New Roman"/>
                <w:sz w:val="16"/>
                <w:vertAlign w:val="superscript"/>
              </w:rPr>
              <w:t>32</w:t>
            </w:r>
          </w:p>
        </w:tc>
        <w:tc>
          <w:tcPr>
            <w:tcW w:w="2938" w:type="dxa"/>
          </w:tcPr>
          <w:p w14:paraId="371EAE85" w14:textId="77777777" w:rsidR="004A06DC" w:rsidRDefault="00000000">
            <w:pPr>
              <w:spacing w:after="0" w:line="240" w:lineRule="auto"/>
            </w:pPr>
            <w:r>
              <w:rPr>
                <w:sz w:val="14"/>
              </w:rPr>
              <w:t>107/105</w:t>
            </w:r>
          </w:p>
        </w:tc>
        <w:tc>
          <w:tcPr>
            <w:tcW w:w="2938" w:type="dxa"/>
          </w:tcPr>
          <w:p w14:paraId="2F1A01FA" w14:textId="5BE4038C" w:rsidR="004A06DC" w:rsidRDefault="00ED3941">
            <w:pPr>
              <w:spacing w:after="0" w:line="240" w:lineRule="auto"/>
            </w:pPr>
            <w:r>
              <w:rPr>
                <w:sz w:val="14"/>
              </w:rPr>
              <w:t>Blinding not clearly reported</w:t>
            </w:r>
          </w:p>
        </w:tc>
        <w:tc>
          <w:tcPr>
            <w:tcW w:w="2938" w:type="dxa"/>
          </w:tcPr>
          <w:p w14:paraId="13CAAF9C" w14:textId="77777777" w:rsidR="004A06DC" w:rsidRDefault="00000000">
            <w:pPr>
              <w:spacing w:after="0" w:line="240" w:lineRule="auto"/>
            </w:pPr>
            <w:r>
              <w:rPr>
                <w:sz w:val="14"/>
              </w:rPr>
              <w:t>Active non-pharmacological or other comparator</w:t>
            </w:r>
          </w:p>
        </w:tc>
        <w:tc>
          <w:tcPr>
            <w:tcW w:w="2938" w:type="dxa"/>
          </w:tcPr>
          <w:p w14:paraId="61BFBAB4" w14:textId="77777777" w:rsidR="004A06DC" w:rsidRDefault="00000000">
            <w:pPr>
              <w:spacing w:after="0" w:line="240" w:lineRule="auto"/>
            </w:pPr>
            <w:r>
              <w:rPr>
                <w:sz w:val="14"/>
              </w:rPr>
              <w:t>Duration: 12 weeks (3×/week).</w:t>
            </w:r>
            <w:r>
              <w:rPr>
                <w:sz w:val="14"/>
              </w:rPr>
              <w:br/>
              <w:t>Assessments: baseline, week 12, week 24.</w:t>
            </w:r>
          </w:p>
        </w:tc>
      </w:tr>
      <w:tr w:rsidR="004A06DC" w14:paraId="36853AA8" w14:textId="77777777">
        <w:trPr>
          <w:jc w:val="center"/>
        </w:trPr>
        <w:tc>
          <w:tcPr>
            <w:tcW w:w="2938" w:type="dxa"/>
          </w:tcPr>
          <w:p w14:paraId="74D9CD2C" w14:textId="77777777" w:rsidR="004A06DC" w:rsidRDefault="00000000">
            <w:pPr>
              <w:spacing w:after="0" w:line="240" w:lineRule="auto"/>
            </w:pPr>
            <w:r>
              <w:rPr>
                <w:rFonts w:eastAsia="Times New Roman"/>
                <w:sz w:val="16"/>
              </w:rPr>
              <w:t>Dasa V</w:t>
            </w:r>
            <w:r>
              <w:rPr>
                <w:rFonts w:eastAsia="Times New Roman"/>
                <w:sz w:val="16"/>
                <w:vertAlign w:val="superscript"/>
              </w:rPr>
              <w:t>33</w:t>
            </w:r>
          </w:p>
        </w:tc>
        <w:tc>
          <w:tcPr>
            <w:tcW w:w="2938" w:type="dxa"/>
          </w:tcPr>
          <w:p w14:paraId="62A0F443" w14:textId="77777777" w:rsidR="004A06DC" w:rsidRDefault="00000000">
            <w:pPr>
              <w:spacing w:after="0" w:line="240" w:lineRule="auto"/>
            </w:pPr>
            <w:r>
              <w:rPr>
                <w:sz w:val="14"/>
              </w:rPr>
              <w:t>42/22</w:t>
            </w:r>
          </w:p>
        </w:tc>
        <w:tc>
          <w:tcPr>
            <w:tcW w:w="2938" w:type="dxa"/>
          </w:tcPr>
          <w:p w14:paraId="53C7A21A" w14:textId="77777777" w:rsidR="004A06DC" w:rsidRDefault="00000000">
            <w:pPr>
              <w:spacing w:after="0" w:line="240" w:lineRule="auto"/>
            </w:pPr>
            <w:r>
              <w:rPr>
                <w:sz w:val="14"/>
              </w:rPr>
              <w:t>Sham/placebo or blinding control reported</w:t>
            </w:r>
          </w:p>
        </w:tc>
        <w:tc>
          <w:tcPr>
            <w:tcW w:w="2938" w:type="dxa"/>
          </w:tcPr>
          <w:p w14:paraId="2CA2B1A3" w14:textId="77777777" w:rsidR="004A06DC" w:rsidRDefault="00000000">
            <w:pPr>
              <w:spacing w:after="0" w:line="240" w:lineRule="auto"/>
            </w:pPr>
            <w:r>
              <w:rPr>
                <w:sz w:val="14"/>
              </w:rPr>
              <w:t>Sham/placebo comparator</w:t>
            </w:r>
          </w:p>
        </w:tc>
        <w:tc>
          <w:tcPr>
            <w:tcW w:w="2938" w:type="dxa"/>
          </w:tcPr>
          <w:p w14:paraId="78858D28" w14:textId="77777777" w:rsidR="004A06DC" w:rsidRDefault="00000000">
            <w:pPr>
              <w:spacing w:after="0" w:line="240" w:lineRule="auto"/>
            </w:pPr>
            <w:r>
              <w:rPr>
                <w:sz w:val="14"/>
              </w:rPr>
              <w:t>Duration: 14 weeks (5 days/week; 2×/day; 20 min/session).</w:t>
            </w:r>
            <w:r>
              <w:rPr>
                <w:sz w:val="14"/>
              </w:rPr>
              <w:br/>
              <w:t>Assessments: baseline and week 14.</w:t>
            </w:r>
          </w:p>
        </w:tc>
      </w:tr>
      <w:tr w:rsidR="004A06DC" w14:paraId="51C00571" w14:textId="77777777">
        <w:trPr>
          <w:jc w:val="center"/>
        </w:trPr>
        <w:tc>
          <w:tcPr>
            <w:tcW w:w="2938" w:type="dxa"/>
          </w:tcPr>
          <w:p w14:paraId="30281413" w14:textId="77777777" w:rsidR="004A06DC" w:rsidRDefault="00000000">
            <w:pPr>
              <w:spacing w:after="0" w:line="240" w:lineRule="auto"/>
            </w:pPr>
            <w:r>
              <w:rPr>
                <w:rFonts w:eastAsia="Times New Roman"/>
                <w:sz w:val="16"/>
              </w:rPr>
              <w:t>Sax OC</w:t>
            </w:r>
            <w:r>
              <w:rPr>
                <w:rFonts w:eastAsia="Times New Roman"/>
                <w:sz w:val="16"/>
                <w:vertAlign w:val="superscript"/>
              </w:rPr>
              <w:t>34</w:t>
            </w:r>
          </w:p>
        </w:tc>
        <w:tc>
          <w:tcPr>
            <w:tcW w:w="2938" w:type="dxa"/>
          </w:tcPr>
          <w:p w14:paraId="0C96FCF7" w14:textId="77777777" w:rsidR="004A06DC" w:rsidRDefault="00000000">
            <w:pPr>
              <w:spacing w:after="0" w:line="240" w:lineRule="auto"/>
            </w:pPr>
            <w:r>
              <w:rPr>
                <w:sz w:val="14"/>
              </w:rPr>
              <w:t>106/50</w:t>
            </w:r>
          </w:p>
        </w:tc>
        <w:tc>
          <w:tcPr>
            <w:tcW w:w="2938" w:type="dxa"/>
          </w:tcPr>
          <w:p w14:paraId="17733DF7" w14:textId="77777777" w:rsidR="004A06DC" w:rsidRDefault="00000000">
            <w:pPr>
              <w:spacing w:after="0" w:line="240" w:lineRule="auto"/>
            </w:pPr>
            <w:r>
              <w:rPr>
                <w:sz w:val="14"/>
              </w:rPr>
              <w:t>Sham/placebo or blinding control reported</w:t>
            </w:r>
          </w:p>
        </w:tc>
        <w:tc>
          <w:tcPr>
            <w:tcW w:w="2938" w:type="dxa"/>
          </w:tcPr>
          <w:p w14:paraId="3B1CE2FB" w14:textId="77777777" w:rsidR="004A06DC" w:rsidRDefault="00000000">
            <w:pPr>
              <w:spacing w:after="0" w:line="240" w:lineRule="auto"/>
            </w:pPr>
            <w:r>
              <w:rPr>
                <w:sz w:val="14"/>
              </w:rPr>
              <w:t>Sham/placebo comparator</w:t>
            </w:r>
          </w:p>
        </w:tc>
        <w:tc>
          <w:tcPr>
            <w:tcW w:w="2938" w:type="dxa"/>
          </w:tcPr>
          <w:p w14:paraId="5E3C7E24" w14:textId="77777777" w:rsidR="004A06DC" w:rsidRDefault="00000000">
            <w:pPr>
              <w:spacing w:after="0" w:line="240" w:lineRule="auto"/>
            </w:pPr>
            <w:r>
              <w:rPr>
                <w:sz w:val="14"/>
              </w:rPr>
              <w:t>Duration: 12 weeks (5 days/week; 2×/day).</w:t>
            </w:r>
            <w:r>
              <w:rPr>
                <w:sz w:val="14"/>
              </w:rPr>
              <w:br/>
              <w:t>Assessments: baseline, week 4, 8, 12.</w:t>
            </w:r>
          </w:p>
        </w:tc>
      </w:tr>
      <w:tr w:rsidR="004A06DC" w14:paraId="5B3AB446" w14:textId="77777777">
        <w:trPr>
          <w:jc w:val="center"/>
        </w:trPr>
        <w:tc>
          <w:tcPr>
            <w:tcW w:w="2938" w:type="dxa"/>
          </w:tcPr>
          <w:p w14:paraId="4E9D9C23" w14:textId="77777777" w:rsidR="004A06DC" w:rsidRDefault="00000000">
            <w:pPr>
              <w:spacing w:after="0" w:line="240" w:lineRule="auto"/>
            </w:pPr>
            <w:r>
              <w:rPr>
                <w:rFonts w:eastAsia="Times New Roman"/>
                <w:sz w:val="16"/>
              </w:rPr>
              <w:t>Woo SH</w:t>
            </w:r>
            <w:r>
              <w:rPr>
                <w:rFonts w:eastAsia="Times New Roman"/>
                <w:sz w:val="16"/>
                <w:vertAlign w:val="superscript"/>
              </w:rPr>
              <w:t>35</w:t>
            </w:r>
          </w:p>
        </w:tc>
        <w:tc>
          <w:tcPr>
            <w:tcW w:w="2938" w:type="dxa"/>
          </w:tcPr>
          <w:p w14:paraId="0F7BCDA0" w14:textId="77777777" w:rsidR="004A06DC" w:rsidRDefault="00000000">
            <w:pPr>
              <w:spacing w:after="0" w:line="240" w:lineRule="auto"/>
            </w:pPr>
            <w:r>
              <w:rPr>
                <w:sz w:val="14"/>
              </w:rPr>
              <w:t>20/20</w:t>
            </w:r>
          </w:p>
        </w:tc>
        <w:tc>
          <w:tcPr>
            <w:tcW w:w="2938" w:type="dxa"/>
          </w:tcPr>
          <w:p w14:paraId="1B8C1D9D" w14:textId="37492B21" w:rsidR="004A06DC" w:rsidRDefault="00ED3941">
            <w:pPr>
              <w:spacing w:after="0" w:line="240" w:lineRule="auto"/>
            </w:pPr>
            <w:r>
              <w:rPr>
                <w:sz w:val="14"/>
              </w:rPr>
              <w:t>Blinding not clearly reported</w:t>
            </w:r>
          </w:p>
        </w:tc>
        <w:tc>
          <w:tcPr>
            <w:tcW w:w="2938" w:type="dxa"/>
          </w:tcPr>
          <w:p w14:paraId="6958C322" w14:textId="77777777" w:rsidR="004A06DC" w:rsidRDefault="00000000">
            <w:pPr>
              <w:spacing w:after="0" w:line="240" w:lineRule="auto"/>
            </w:pPr>
            <w:r>
              <w:rPr>
                <w:sz w:val="14"/>
              </w:rPr>
              <w:t>Active non-pharmacological or other comparator</w:t>
            </w:r>
          </w:p>
        </w:tc>
        <w:tc>
          <w:tcPr>
            <w:tcW w:w="2938" w:type="dxa"/>
          </w:tcPr>
          <w:p w14:paraId="0D42EAE9" w14:textId="77777777" w:rsidR="004A06DC" w:rsidRDefault="00000000">
            <w:pPr>
              <w:spacing w:after="0" w:line="240" w:lineRule="auto"/>
            </w:pPr>
            <w:r>
              <w:rPr>
                <w:sz w:val="14"/>
              </w:rPr>
              <w:t>Duration: 6 weeks.</w:t>
            </w:r>
            <w:r>
              <w:rPr>
                <w:sz w:val="14"/>
              </w:rPr>
              <w:br/>
              <w:t>Assessments: baseline, week 3, week 6, week 10.</w:t>
            </w:r>
          </w:p>
        </w:tc>
      </w:tr>
      <w:tr w:rsidR="004A06DC" w14:paraId="76276539" w14:textId="77777777">
        <w:trPr>
          <w:jc w:val="center"/>
        </w:trPr>
        <w:tc>
          <w:tcPr>
            <w:tcW w:w="2938" w:type="dxa"/>
          </w:tcPr>
          <w:p w14:paraId="7622D424" w14:textId="77777777" w:rsidR="004A06DC" w:rsidRDefault="00000000">
            <w:pPr>
              <w:spacing w:after="0" w:line="240" w:lineRule="auto"/>
            </w:pPr>
            <w:r>
              <w:rPr>
                <w:rFonts w:eastAsia="Times New Roman"/>
                <w:sz w:val="16"/>
              </w:rPr>
              <w:t>Artuç ŞE</w:t>
            </w:r>
            <w:r>
              <w:rPr>
                <w:rFonts w:eastAsia="Times New Roman"/>
                <w:sz w:val="16"/>
                <w:vertAlign w:val="superscript"/>
              </w:rPr>
              <w:t>36</w:t>
            </w:r>
          </w:p>
        </w:tc>
        <w:tc>
          <w:tcPr>
            <w:tcW w:w="2938" w:type="dxa"/>
          </w:tcPr>
          <w:p w14:paraId="31316CCE" w14:textId="77777777" w:rsidR="004A06DC" w:rsidRDefault="00000000">
            <w:pPr>
              <w:spacing w:after="0" w:line="240" w:lineRule="auto"/>
            </w:pPr>
            <w:r>
              <w:rPr>
                <w:sz w:val="14"/>
              </w:rPr>
              <w:t>20/20/20/20</w:t>
            </w:r>
          </w:p>
        </w:tc>
        <w:tc>
          <w:tcPr>
            <w:tcW w:w="2938" w:type="dxa"/>
          </w:tcPr>
          <w:p w14:paraId="5027DAE6" w14:textId="77777777" w:rsidR="004A06DC" w:rsidRDefault="00000000">
            <w:pPr>
              <w:spacing w:after="0" w:line="240" w:lineRule="auto"/>
            </w:pPr>
            <w:r>
              <w:rPr>
                <w:sz w:val="14"/>
              </w:rPr>
              <w:t>Sham/placebo or blinding control reported</w:t>
            </w:r>
          </w:p>
        </w:tc>
        <w:tc>
          <w:tcPr>
            <w:tcW w:w="2938" w:type="dxa"/>
          </w:tcPr>
          <w:p w14:paraId="24058F02" w14:textId="77777777" w:rsidR="004A06DC" w:rsidRDefault="00000000">
            <w:pPr>
              <w:spacing w:after="0" w:line="240" w:lineRule="auto"/>
            </w:pPr>
            <w:r>
              <w:rPr>
                <w:sz w:val="14"/>
              </w:rPr>
              <w:t>Sham/placebo comparator</w:t>
            </w:r>
          </w:p>
        </w:tc>
        <w:tc>
          <w:tcPr>
            <w:tcW w:w="2938" w:type="dxa"/>
          </w:tcPr>
          <w:p w14:paraId="044C1752" w14:textId="77777777" w:rsidR="004A06DC" w:rsidRDefault="00000000">
            <w:pPr>
              <w:spacing w:after="0" w:line="240" w:lineRule="auto"/>
            </w:pPr>
            <w:r>
              <w:rPr>
                <w:sz w:val="14"/>
              </w:rPr>
              <w:t>Duration: 2 weeks (5 days/week).</w:t>
            </w:r>
            <w:r>
              <w:rPr>
                <w:sz w:val="14"/>
              </w:rPr>
              <w:br/>
              <w:t>Assessments: baseline, week 2, 3-month follow-up.</w:t>
            </w:r>
          </w:p>
        </w:tc>
      </w:tr>
      <w:tr w:rsidR="004A06DC" w14:paraId="6C5C98F9" w14:textId="77777777">
        <w:trPr>
          <w:jc w:val="center"/>
        </w:trPr>
        <w:tc>
          <w:tcPr>
            <w:tcW w:w="2938" w:type="dxa"/>
          </w:tcPr>
          <w:p w14:paraId="60634400" w14:textId="77777777" w:rsidR="004A06DC" w:rsidRDefault="00000000">
            <w:pPr>
              <w:spacing w:after="0" w:line="240" w:lineRule="auto"/>
            </w:pPr>
            <w:r>
              <w:rPr>
                <w:rFonts w:eastAsia="Times New Roman"/>
                <w:sz w:val="16"/>
              </w:rPr>
              <w:t>Deng Y</w:t>
            </w:r>
            <w:r>
              <w:rPr>
                <w:rFonts w:eastAsia="Times New Roman"/>
                <w:sz w:val="16"/>
                <w:vertAlign w:val="superscript"/>
              </w:rPr>
              <w:t>37</w:t>
            </w:r>
          </w:p>
        </w:tc>
        <w:tc>
          <w:tcPr>
            <w:tcW w:w="2938" w:type="dxa"/>
          </w:tcPr>
          <w:p w14:paraId="5B349D6C" w14:textId="77777777" w:rsidR="004A06DC" w:rsidRDefault="00000000">
            <w:pPr>
              <w:spacing w:after="0" w:line="240" w:lineRule="auto"/>
            </w:pPr>
            <w:r>
              <w:rPr>
                <w:sz w:val="14"/>
              </w:rPr>
              <w:t>32/33</w:t>
            </w:r>
          </w:p>
        </w:tc>
        <w:tc>
          <w:tcPr>
            <w:tcW w:w="2938" w:type="dxa"/>
          </w:tcPr>
          <w:p w14:paraId="0C8827E2" w14:textId="77777777" w:rsidR="004A06DC" w:rsidRDefault="00000000">
            <w:pPr>
              <w:spacing w:after="0" w:line="240" w:lineRule="auto"/>
            </w:pPr>
            <w:r>
              <w:rPr>
                <w:sz w:val="14"/>
              </w:rPr>
              <w:t>No sham; pharmacological active comparator/background</w:t>
            </w:r>
          </w:p>
        </w:tc>
        <w:tc>
          <w:tcPr>
            <w:tcW w:w="2938" w:type="dxa"/>
          </w:tcPr>
          <w:p w14:paraId="5E6EAEF0" w14:textId="77777777" w:rsidR="004A06DC" w:rsidRDefault="00000000">
            <w:pPr>
              <w:spacing w:after="0" w:line="240" w:lineRule="auto"/>
            </w:pPr>
            <w:r>
              <w:rPr>
                <w:sz w:val="14"/>
              </w:rPr>
              <w:t>Pharmacological comparator/background</w:t>
            </w:r>
          </w:p>
        </w:tc>
        <w:tc>
          <w:tcPr>
            <w:tcW w:w="2938" w:type="dxa"/>
          </w:tcPr>
          <w:p w14:paraId="573A22F9" w14:textId="77777777" w:rsidR="004A06DC" w:rsidRDefault="00000000">
            <w:pPr>
              <w:spacing w:after="0" w:line="240" w:lineRule="auto"/>
            </w:pPr>
            <w:r>
              <w:rPr>
                <w:sz w:val="14"/>
              </w:rPr>
              <w:t>Duration: 2 weeks.</w:t>
            </w:r>
            <w:r>
              <w:rPr>
                <w:sz w:val="14"/>
              </w:rPr>
              <w:br/>
              <w:t>Assessments: baseline and week 2.</w:t>
            </w:r>
          </w:p>
        </w:tc>
      </w:tr>
      <w:tr w:rsidR="004A06DC" w14:paraId="77768D08" w14:textId="77777777">
        <w:trPr>
          <w:jc w:val="center"/>
        </w:trPr>
        <w:tc>
          <w:tcPr>
            <w:tcW w:w="2938" w:type="dxa"/>
          </w:tcPr>
          <w:p w14:paraId="37658597" w14:textId="77777777" w:rsidR="004A06DC" w:rsidRDefault="00000000">
            <w:pPr>
              <w:spacing w:after="0" w:line="240" w:lineRule="auto"/>
            </w:pPr>
            <w:r>
              <w:rPr>
                <w:rFonts w:eastAsia="Times New Roman"/>
                <w:sz w:val="16"/>
              </w:rPr>
              <w:t>Zheng A</w:t>
            </w:r>
            <w:r>
              <w:rPr>
                <w:rFonts w:eastAsia="Times New Roman"/>
                <w:sz w:val="16"/>
                <w:vertAlign w:val="superscript"/>
              </w:rPr>
              <w:t>38</w:t>
            </w:r>
          </w:p>
        </w:tc>
        <w:tc>
          <w:tcPr>
            <w:tcW w:w="2938" w:type="dxa"/>
          </w:tcPr>
          <w:p w14:paraId="4CC2B285" w14:textId="77777777" w:rsidR="004A06DC" w:rsidRDefault="00000000">
            <w:pPr>
              <w:spacing w:after="0" w:line="240" w:lineRule="auto"/>
            </w:pPr>
            <w:r>
              <w:rPr>
                <w:sz w:val="14"/>
              </w:rPr>
              <w:t>35/34/35</w:t>
            </w:r>
          </w:p>
        </w:tc>
        <w:tc>
          <w:tcPr>
            <w:tcW w:w="2938" w:type="dxa"/>
          </w:tcPr>
          <w:p w14:paraId="644768CA" w14:textId="148A34A0" w:rsidR="004A06DC" w:rsidRDefault="00ED3941">
            <w:pPr>
              <w:spacing w:after="0" w:line="240" w:lineRule="auto"/>
            </w:pPr>
            <w:r>
              <w:rPr>
                <w:sz w:val="14"/>
              </w:rPr>
              <w:t>Blinding not clearly reported</w:t>
            </w:r>
          </w:p>
        </w:tc>
        <w:tc>
          <w:tcPr>
            <w:tcW w:w="2938" w:type="dxa"/>
          </w:tcPr>
          <w:p w14:paraId="228BEA5F" w14:textId="77777777" w:rsidR="004A06DC" w:rsidRDefault="00000000">
            <w:pPr>
              <w:spacing w:after="0" w:line="240" w:lineRule="auto"/>
            </w:pPr>
            <w:r>
              <w:rPr>
                <w:sz w:val="14"/>
              </w:rPr>
              <w:t>Active non-pharmacological or other comparator</w:t>
            </w:r>
          </w:p>
        </w:tc>
        <w:tc>
          <w:tcPr>
            <w:tcW w:w="2938" w:type="dxa"/>
          </w:tcPr>
          <w:p w14:paraId="6CAB01F2" w14:textId="77777777" w:rsidR="004A06DC" w:rsidRDefault="00000000">
            <w:pPr>
              <w:spacing w:after="0" w:line="240" w:lineRule="auto"/>
            </w:pPr>
            <w:r>
              <w:rPr>
                <w:sz w:val="14"/>
              </w:rPr>
              <w:t>Duration: 4 weeks (6 sessions/week).</w:t>
            </w:r>
            <w:r>
              <w:rPr>
                <w:sz w:val="14"/>
              </w:rPr>
              <w:br/>
              <w:t>Assessments: baseline, week 4, week 8.</w:t>
            </w:r>
          </w:p>
        </w:tc>
      </w:tr>
      <w:tr w:rsidR="004A06DC" w14:paraId="4B35150E" w14:textId="77777777">
        <w:trPr>
          <w:jc w:val="center"/>
        </w:trPr>
        <w:tc>
          <w:tcPr>
            <w:tcW w:w="2938" w:type="dxa"/>
          </w:tcPr>
          <w:p w14:paraId="1A0D704F" w14:textId="77777777" w:rsidR="004A06DC" w:rsidRDefault="00000000">
            <w:pPr>
              <w:spacing w:after="0" w:line="240" w:lineRule="auto"/>
            </w:pPr>
            <w:r>
              <w:rPr>
                <w:rFonts w:eastAsia="Times New Roman"/>
                <w:sz w:val="16"/>
              </w:rPr>
              <w:t>Zhou J</w:t>
            </w:r>
            <w:r>
              <w:rPr>
                <w:rFonts w:eastAsia="Times New Roman"/>
                <w:sz w:val="16"/>
                <w:vertAlign w:val="superscript"/>
              </w:rPr>
              <w:t>39</w:t>
            </w:r>
          </w:p>
        </w:tc>
        <w:tc>
          <w:tcPr>
            <w:tcW w:w="2938" w:type="dxa"/>
          </w:tcPr>
          <w:p w14:paraId="109A38AE" w14:textId="77777777" w:rsidR="004A06DC" w:rsidRDefault="00000000">
            <w:pPr>
              <w:spacing w:after="0" w:line="240" w:lineRule="auto"/>
            </w:pPr>
            <w:r>
              <w:rPr>
                <w:sz w:val="14"/>
              </w:rPr>
              <w:t>36/36/36/36/36/41</w:t>
            </w:r>
          </w:p>
        </w:tc>
        <w:tc>
          <w:tcPr>
            <w:tcW w:w="2938" w:type="dxa"/>
          </w:tcPr>
          <w:p w14:paraId="077D249C" w14:textId="77777777" w:rsidR="004A06DC" w:rsidRDefault="00000000">
            <w:pPr>
              <w:spacing w:after="0" w:line="240" w:lineRule="auto"/>
            </w:pPr>
            <w:r>
              <w:rPr>
                <w:sz w:val="14"/>
              </w:rPr>
              <w:t>Sham/placebo or blinding control reported</w:t>
            </w:r>
          </w:p>
        </w:tc>
        <w:tc>
          <w:tcPr>
            <w:tcW w:w="2938" w:type="dxa"/>
          </w:tcPr>
          <w:p w14:paraId="66F22D64" w14:textId="77777777" w:rsidR="004A06DC" w:rsidRDefault="00000000">
            <w:pPr>
              <w:spacing w:after="0" w:line="240" w:lineRule="auto"/>
            </w:pPr>
            <w:r>
              <w:rPr>
                <w:sz w:val="14"/>
              </w:rPr>
              <w:t>Pharmacological comparator/background</w:t>
            </w:r>
          </w:p>
        </w:tc>
        <w:tc>
          <w:tcPr>
            <w:tcW w:w="2938" w:type="dxa"/>
          </w:tcPr>
          <w:p w14:paraId="73C4426C" w14:textId="77777777" w:rsidR="004A06DC" w:rsidRDefault="00000000">
            <w:pPr>
              <w:spacing w:after="0" w:line="240" w:lineRule="auto"/>
            </w:pPr>
            <w:r>
              <w:rPr>
                <w:sz w:val="14"/>
              </w:rPr>
              <w:t>Duration: 2 weeks.</w:t>
            </w:r>
            <w:r>
              <w:rPr>
                <w:sz w:val="14"/>
              </w:rPr>
              <w:br/>
              <w:t>Assessments: baseline and week 2.</w:t>
            </w:r>
          </w:p>
        </w:tc>
      </w:tr>
      <w:tr w:rsidR="004A06DC" w14:paraId="7F392D13" w14:textId="77777777">
        <w:trPr>
          <w:jc w:val="center"/>
        </w:trPr>
        <w:tc>
          <w:tcPr>
            <w:tcW w:w="2938" w:type="dxa"/>
          </w:tcPr>
          <w:p w14:paraId="4E75A29C" w14:textId="77777777" w:rsidR="004A06DC" w:rsidRDefault="00000000">
            <w:pPr>
              <w:spacing w:after="0" w:line="240" w:lineRule="auto"/>
            </w:pPr>
            <w:r>
              <w:rPr>
                <w:rFonts w:eastAsia="Times New Roman"/>
                <w:sz w:val="16"/>
              </w:rPr>
              <w:t>Gillcrist RL</w:t>
            </w:r>
            <w:r>
              <w:rPr>
                <w:rFonts w:eastAsia="Times New Roman"/>
                <w:sz w:val="16"/>
                <w:vertAlign w:val="superscript"/>
              </w:rPr>
              <w:t>40</w:t>
            </w:r>
          </w:p>
        </w:tc>
        <w:tc>
          <w:tcPr>
            <w:tcW w:w="2938" w:type="dxa"/>
          </w:tcPr>
          <w:p w14:paraId="11EC236D" w14:textId="77777777" w:rsidR="004A06DC" w:rsidRDefault="00000000">
            <w:pPr>
              <w:spacing w:after="0" w:line="240" w:lineRule="auto"/>
            </w:pPr>
            <w:r>
              <w:rPr>
                <w:sz w:val="14"/>
              </w:rPr>
              <w:t>31</w:t>
            </w:r>
          </w:p>
        </w:tc>
        <w:tc>
          <w:tcPr>
            <w:tcW w:w="2938" w:type="dxa"/>
          </w:tcPr>
          <w:p w14:paraId="2B17BD87" w14:textId="5F2545F1" w:rsidR="004A06DC" w:rsidRDefault="00ED3941">
            <w:pPr>
              <w:spacing w:after="0" w:line="240" w:lineRule="auto"/>
            </w:pPr>
            <w:r>
              <w:rPr>
                <w:sz w:val="14"/>
              </w:rPr>
              <w:t>Blinding not clearly reported</w:t>
            </w:r>
          </w:p>
        </w:tc>
        <w:tc>
          <w:tcPr>
            <w:tcW w:w="2938" w:type="dxa"/>
          </w:tcPr>
          <w:p w14:paraId="48CEAEF9" w14:textId="77777777" w:rsidR="004A06DC" w:rsidRDefault="00000000">
            <w:pPr>
              <w:spacing w:after="0" w:line="240" w:lineRule="auto"/>
            </w:pPr>
            <w:r>
              <w:rPr>
                <w:sz w:val="14"/>
              </w:rPr>
              <w:t>Active non-pharmacological or other comparator</w:t>
            </w:r>
          </w:p>
        </w:tc>
        <w:tc>
          <w:tcPr>
            <w:tcW w:w="2938" w:type="dxa"/>
          </w:tcPr>
          <w:p w14:paraId="3C1B5283" w14:textId="77777777" w:rsidR="004A06DC" w:rsidRDefault="00000000">
            <w:pPr>
              <w:spacing w:after="0" w:line="240" w:lineRule="auto"/>
            </w:pPr>
            <w:r>
              <w:rPr>
                <w:sz w:val="14"/>
              </w:rPr>
              <w:t>Duration: 32 weeks.</w:t>
            </w:r>
            <w:r>
              <w:rPr>
                <w:sz w:val="14"/>
              </w:rPr>
              <w:br/>
              <w:t>Assessments: electronic questionnaires every 2 weeks for 32 weeks.</w:t>
            </w:r>
          </w:p>
        </w:tc>
      </w:tr>
      <w:tr w:rsidR="004A06DC" w14:paraId="20431529" w14:textId="77777777">
        <w:trPr>
          <w:jc w:val="center"/>
        </w:trPr>
        <w:tc>
          <w:tcPr>
            <w:tcW w:w="2938" w:type="dxa"/>
          </w:tcPr>
          <w:p w14:paraId="4F8328AA" w14:textId="77777777" w:rsidR="004A06DC" w:rsidRDefault="00000000">
            <w:pPr>
              <w:spacing w:after="0" w:line="240" w:lineRule="auto"/>
            </w:pPr>
            <w:r>
              <w:rPr>
                <w:rFonts w:eastAsia="Times New Roman"/>
                <w:sz w:val="16"/>
              </w:rPr>
              <w:t>Döner Şİ</w:t>
            </w:r>
            <w:r>
              <w:rPr>
                <w:rFonts w:eastAsia="Times New Roman"/>
                <w:sz w:val="16"/>
                <w:vertAlign w:val="superscript"/>
              </w:rPr>
              <w:t>41</w:t>
            </w:r>
          </w:p>
        </w:tc>
        <w:tc>
          <w:tcPr>
            <w:tcW w:w="2938" w:type="dxa"/>
          </w:tcPr>
          <w:p w14:paraId="75BBD7D9" w14:textId="77777777" w:rsidR="004A06DC" w:rsidRDefault="00000000">
            <w:pPr>
              <w:spacing w:after="0" w:line="240" w:lineRule="auto"/>
            </w:pPr>
            <w:r>
              <w:rPr>
                <w:sz w:val="14"/>
              </w:rPr>
              <w:t>20/20/20</w:t>
            </w:r>
          </w:p>
        </w:tc>
        <w:tc>
          <w:tcPr>
            <w:tcW w:w="2938" w:type="dxa"/>
          </w:tcPr>
          <w:p w14:paraId="425494B8" w14:textId="766A177A" w:rsidR="004A06DC" w:rsidRDefault="00ED3941">
            <w:pPr>
              <w:spacing w:after="0" w:line="240" w:lineRule="auto"/>
            </w:pPr>
            <w:r>
              <w:rPr>
                <w:sz w:val="14"/>
              </w:rPr>
              <w:t>Blinding not clearly reported</w:t>
            </w:r>
          </w:p>
        </w:tc>
        <w:tc>
          <w:tcPr>
            <w:tcW w:w="2938" w:type="dxa"/>
          </w:tcPr>
          <w:p w14:paraId="41DA3E78" w14:textId="77777777" w:rsidR="004A06DC" w:rsidRDefault="00000000">
            <w:pPr>
              <w:spacing w:after="0" w:line="240" w:lineRule="auto"/>
            </w:pPr>
            <w:r>
              <w:rPr>
                <w:sz w:val="14"/>
              </w:rPr>
              <w:t>Active non-pharmacological or other comparator</w:t>
            </w:r>
          </w:p>
        </w:tc>
        <w:tc>
          <w:tcPr>
            <w:tcW w:w="2938" w:type="dxa"/>
          </w:tcPr>
          <w:p w14:paraId="6C9B6373" w14:textId="77777777" w:rsidR="004A06DC" w:rsidRDefault="00000000">
            <w:pPr>
              <w:spacing w:after="0" w:line="240" w:lineRule="auto"/>
            </w:pPr>
            <w:r>
              <w:rPr>
                <w:sz w:val="14"/>
              </w:rPr>
              <w:t>Duration: 4 weeks.</w:t>
            </w:r>
            <w:r>
              <w:rPr>
                <w:sz w:val="14"/>
              </w:rPr>
              <w:br/>
              <w:t>Assessments: baseline and week 4.</w:t>
            </w:r>
          </w:p>
        </w:tc>
      </w:tr>
      <w:tr w:rsidR="004A06DC" w14:paraId="5A597830" w14:textId="77777777">
        <w:trPr>
          <w:jc w:val="center"/>
        </w:trPr>
        <w:tc>
          <w:tcPr>
            <w:tcW w:w="2938" w:type="dxa"/>
          </w:tcPr>
          <w:p w14:paraId="488F8C67" w14:textId="77777777" w:rsidR="004A06DC" w:rsidRDefault="00000000">
            <w:pPr>
              <w:spacing w:after="0" w:line="240" w:lineRule="auto"/>
            </w:pPr>
            <w:r>
              <w:rPr>
                <w:rFonts w:eastAsia="Times New Roman"/>
                <w:sz w:val="16"/>
              </w:rPr>
              <w:t>Mou J</w:t>
            </w:r>
            <w:r>
              <w:rPr>
                <w:rFonts w:eastAsia="Times New Roman"/>
                <w:sz w:val="16"/>
                <w:vertAlign w:val="superscript"/>
              </w:rPr>
              <w:t>42</w:t>
            </w:r>
          </w:p>
        </w:tc>
        <w:tc>
          <w:tcPr>
            <w:tcW w:w="2938" w:type="dxa"/>
          </w:tcPr>
          <w:p w14:paraId="460A2256" w14:textId="77777777" w:rsidR="004A06DC" w:rsidRDefault="00000000">
            <w:pPr>
              <w:spacing w:after="0" w:line="240" w:lineRule="auto"/>
            </w:pPr>
            <w:r>
              <w:rPr>
                <w:sz w:val="14"/>
              </w:rPr>
              <w:t>30/30</w:t>
            </w:r>
          </w:p>
        </w:tc>
        <w:tc>
          <w:tcPr>
            <w:tcW w:w="2938" w:type="dxa"/>
          </w:tcPr>
          <w:p w14:paraId="0DD40BB2" w14:textId="0D5E757C" w:rsidR="004A06DC" w:rsidRDefault="00ED3941">
            <w:pPr>
              <w:spacing w:after="0" w:line="240" w:lineRule="auto"/>
            </w:pPr>
            <w:r>
              <w:rPr>
                <w:sz w:val="14"/>
              </w:rPr>
              <w:t>Blinding not clearly reported</w:t>
            </w:r>
          </w:p>
        </w:tc>
        <w:tc>
          <w:tcPr>
            <w:tcW w:w="2938" w:type="dxa"/>
          </w:tcPr>
          <w:p w14:paraId="1AD165F6" w14:textId="77777777" w:rsidR="004A06DC" w:rsidRDefault="00000000">
            <w:pPr>
              <w:spacing w:after="0" w:line="240" w:lineRule="auto"/>
            </w:pPr>
            <w:r>
              <w:rPr>
                <w:sz w:val="14"/>
              </w:rPr>
              <w:t>Active non-pharmacological or other comparator</w:t>
            </w:r>
          </w:p>
        </w:tc>
        <w:tc>
          <w:tcPr>
            <w:tcW w:w="2938" w:type="dxa"/>
          </w:tcPr>
          <w:p w14:paraId="6E414DFB" w14:textId="77777777" w:rsidR="004A06DC" w:rsidRDefault="00000000">
            <w:pPr>
              <w:spacing w:after="0" w:line="240" w:lineRule="auto"/>
            </w:pPr>
            <w:r>
              <w:rPr>
                <w:sz w:val="14"/>
              </w:rPr>
              <w:t>Duration: 6 weeks (3×/week, 30 min).</w:t>
            </w:r>
            <w:r>
              <w:rPr>
                <w:sz w:val="14"/>
              </w:rPr>
              <w:br/>
              <w:t>Assessments: baseline, post-treatment, 3-month follow-up.</w:t>
            </w:r>
          </w:p>
        </w:tc>
      </w:tr>
      <w:tr w:rsidR="004A06DC" w14:paraId="7AD0F36D" w14:textId="77777777">
        <w:trPr>
          <w:jc w:val="center"/>
        </w:trPr>
        <w:tc>
          <w:tcPr>
            <w:tcW w:w="2938" w:type="dxa"/>
          </w:tcPr>
          <w:p w14:paraId="3564B9C2" w14:textId="77777777" w:rsidR="004A06DC" w:rsidRDefault="00000000">
            <w:pPr>
              <w:spacing w:after="0" w:line="240" w:lineRule="auto"/>
            </w:pPr>
            <w:r>
              <w:rPr>
                <w:rFonts w:eastAsia="Times New Roman"/>
                <w:sz w:val="16"/>
              </w:rPr>
              <w:t>Abafita BJ</w:t>
            </w:r>
            <w:r>
              <w:rPr>
                <w:rFonts w:eastAsia="Times New Roman"/>
                <w:sz w:val="16"/>
                <w:vertAlign w:val="superscript"/>
              </w:rPr>
              <w:t>43</w:t>
            </w:r>
          </w:p>
        </w:tc>
        <w:tc>
          <w:tcPr>
            <w:tcW w:w="2938" w:type="dxa"/>
          </w:tcPr>
          <w:p w14:paraId="743705AA" w14:textId="77777777" w:rsidR="004A06DC" w:rsidRDefault="00000000">
            <w:pPr>
              <w:spacing w:after="0" w:line="240" w:lineRule="auto"/>
            </w:pPr>
            <w:r>
              <w:rPr>
                <w:sz w:val="14"/>
              </w:rPr>
              <w:t>58/59</w:t>
            </w:r>
          </w:p>
        </w:tc>
        <w:tc>
          <w:tcPr>
            <w:tcW w:w="2938" w:type="dxa"/>
          </w:tcPr>
          <w:p w14:paraId="7DE141D1" w14:textId="21964165" w:rsidR="004A06DC" w:rsidRDefault="00ED3941">
            <w:pPr>
              <w:spacing w:after="0" w:line="240" w:lineRule="auto"/>
            </w:pPr>
            <w:r>
              <w:rPr>
                <w:sz w:val="14"/>
              </w:rPr>
              <w:t>Blinding not clearly reported</w:t>
            </w:r>
          </w:p>
        </w:tc>
        <w:tc>
          <w:tcPr>
            <w:tcW w:w="2938" w:type="dxa"/>
          </w:tcPr>
          <w:p w14:paraId="45A6E0E4" w14:textId="77777777" w:rsidR="004A06DC" w:rsidRDefault="00000000">
            <w:pPr>
              <w:spacing w:after="0" w:line="240" w:lineRule="auto"/>
            </w:pPr>
            <w:r>
              <w:rPr>
                <w:sz w:val="14"/>
              </w:rPr>
              <w:t>Active non-pharmacological or other comparator</w:t>
            </w:r>
          </w:p>
        </w:tc>
        <w:tc>
          <w:tcPr>
            <w:tcW w:w="2938" w:type="dxa"/>
          </w:tcPr>
          <w:p w14:paraId="2E0E6F4F" w14:textId="77777777" w:rsidR="004A06DC" w:rsidRDefault="00000000">
            <w:pPr>
              <w:spacing w:after="0" w:line="240" w:lineRule="auto"/>
            </w:pPr>
            <w:r>
              <w:rPr>
                <w:sz w:val="14"/>
              </w:rPr>
              <w:t>Duration: 24 weeks.</w:t>
            </w:r>
            <w:r>
              <w:rPr>
                <w:sz w:val="14"/>
              </w:rPr>
              <w:br/>
              <w:t>Assessments: baseline, weeks 4, 8, 12, 16, 20, 24.</w:t>
            </w:r>
          </w:p>
        </w:tc>
      </w:tr>
      <w:tr w:rsidR="004A06DC" w14:paraId="7401F6E2" w14:textId="77777777">
        <w:trPr>
          <w:jc w:val="center"/>
        </w:trPr>
        <w:tc>
          <w:tcPr>
            <w:tcW w:w="2938" w:type="dxa"/>
          </w:tcPr>
          <w:p w14:paraId="3D17929C" w14:textId="77777777" w:rsidR="004A06DC" w:rsidRDefault="00000000">
            <w:pPr>
              <w:spacing w:after="0" w:line="240" w:lineRule="auto"/>
            </w:pPr>
            <w:r>
              <w:rPr>
                <w:rFonts w:eastAsia="Times New Roman"/>
                <w:sz w:val="16"/>
              </w:rPr>
              <w:t>Agost-González A</w:t>
            </w:r>
            <w:r>
              <w:rPr>
                <w:rFonts w:eastAsia="Times New Roman"/>
                <w:sz w:val="16"/>
                <w:vertAlign w:val="superscript"/>
              </w:rPr>
              <w:t>44</w:t>
            </w:r>
          </w:p>
        </w:tc>
        <w:tc>
          <w:tcPr>
            <w:tcW w:w="2938" w:type="dxa"/>
          </w:tcPr>
          <w:p w14:paraId="4C6047CF" w14:textId="77777777" w:rsidR="004A06DC" w:rsidRDefault="00000000">
            <w:pPr>
              <w:spacing w:after="0" w:line="240" w:lineRule="auto"/>
            </w:pPr>
            <w:r>
              <w:rPr>
                <w:sz w:val="14"/>
              </w:rPr>
              <w:t>18/20</w:t>
            </w:r>
          </w:p>
        </w:tc>
        <w:tc>
          <w:tcPr>
            <w:tcW w:w="2938" w:type="dxa"/>
          </w:tcPr>
          <w:p w14:paraId="24AFA193" w14:textId="77777777" w:rsidR="004A06DC" w:rsidRDefault="00000000">
            <w:pPr>
              <w:spacing w:after="0" w:line="240" w:lineRule="auto"/>
            </w:pPr>
            <w:r>
              <w:rPr>
                <w:sz w:val="14"/>
              </w:rPr>
              <w:t>Sham/placebo or blinding control reported</w:t>
            </w:r>
          </w:p>
        </w:tc>
        <w:tc>
          <w:tcPr>
            <w:tcW w:w="2938" w:type="dxa"/>
          </w:tcPr>
          <w:p w14:paraId="00D641EC" w14:textId="77777777" w:rsidR="004A06DC" w:rsidRDefault="00000000">
            <w:pPr>
              <w:spacing w:after="0" w:line="240" w:lineRule="auto"/>
            </w:pPr>
            <w:r>
              <w:rPr>
                <w:sz w:val="14"/>
              </w:rPr>
              <w:t>Sham/placebo comparator</w:t>
            </w:r>
          </w:p>
        </w:tc>
        <w:tc>
          <w:tcPr>
            <w:tcW w:w="2938" w:type="dxa"/>
          </w:tcPr>
          <w:p w14:paraId="36ABB315" w14:textId="77777777" w:rsidR="004A06DC" w:rsidRDefault="00000000">
            <w:pPr>
              <w:spacing w:after="0" w:line="240" w:lineRule="auto"/>
            </w:pPr>
            <w:r>
              <w:rPr>
                <w:sz w:val="14"/>
              </w:rPr>
              <w:t>Duration: 3 weeks.</w:t>
            </w:r>
            <w:r>
              <w:rPr>
                <w:sz w:val="14"/>
              </w:rPr>
              <w:br/>
              <w:t>Assessments: baseline, post-treatment, 3 and 6 months post-treatment.</w:t>
            </w:r>
          </w:p>
        </w:tc>
      </w:tr>
      <w:tr w:rsidR="004A06DC" w14:paraId="490EB1D3" w14:textId="77777777">
        <w:trPr>
          <w:jc w:val="center"/>
        </w:trPr>
        <w:tc>
          <w:tcPr>
            <w:tcW w:w="2938" w:type="dxa"/>
          </w:tcPr>
          <w:p w14:paraId="0A6921A2" w14:textId="77777777" w:rsidR="004A06DC" w:rsidRDefault="00000000">
            <w:pPr>
              <w:spacing w:after="0" w:line="240" w:lineRule="auto"/>
            </w:pPr>
            <w:r>
              <w:rPr>
                <w:rFonts w:eastAsia="Times New Roman"/>
                <w:sz w:val="16"/>
              </w:rPr>
              <w:t>Akdeniz G</w:t>
            </w:r>
            <w:r>
              <w:rPr>
                <w:rFonts w:eastAsia="Times New Roman"/>
                <w:sz w:val="16"/>
                <w:vertAlign w:val="superscript"/>
              </w:rPr>
              <w:t>45</w:t>
            </w:r>
          </w:p>
        </w:tc>
        <w:tc>
          <w:tcPr>
            <w:tcW w:w="2938" w:type="dxa"/>
          </w:tcPr>
          <w:p w14:paraId="7E3BFC1F" w14:textId="77777777" w:rsidR="004A06DC" w:rsidRDefault="00000000">
            <w:pPr>
              <w:spacing w:after="0" w:line="240" w:lineRule="auto"/>
            </w:pPr>
            <w:r>
              <w:rPr>
                <w:sz w:val="14"/>
              </w:rPr>
              <w:t>24/24</w:t>
            </w:r>
          </w:p>
        </w:tc>
        <w:tc>
          <w:tcPr>
            <w:tcW w:w="2938" w:type="dxa"/>
          </w:tcPr>
          <w:p w14:paraId="5E441AE9" w14:textId="660BDAB3" w:rsidR="004A06DC" w:rsidRDefault="00ED3941">
            <w:pPr>
              <w:spacing w:after="0" w:line="240" w:lineRule="auto"/>
            </w:pPr>
            <w:r>
              <w:rPr>
                <w:sz w:val="14"/>
              </w:rPr>
              <w:t>Blinding not clearly reported</w:t>
            </w:r>
          </w:p>
        </w:tc>
        <w:tc>
          <w:tcPr>
            <w:tcW w:w="2938" w:type="dxa"/>
          </w:tcPr>
          <w:p w14:paraId="75C93AFA" w14:textId="77777777" w:rsidR="004A06DC" w:rsidRDefault="00000000">
            <w:pPr>
              <w:spacing w:after="0" w:line="240" w:lineRule="auto"/>
            </w:pPr>
            <w:r>
              <w:rPr>
                <w:sz w:val="14"/>
              </w:rPr>
              <w:t>Active non-pharmacological or other comparator</w:t>
            </w:r>
          </w:p>
        </w:tc>
        <w:tc>
          <w:tcPr>
            <w:tcW w:w="2938" w:type="dxa"/>
          </w:tcPr>
          <w:p w14:paraId="43E87CF6" w14:textId="77777777" w:rsidR="004A06DC" w:rsidRDefault="00000000">
            <w:pPr>
              <w:spacing w:after="0" w:line="240" w:lineRule="auto"/>
            </w:pPr>
            <w:r>
              <w:rPr>
                <w:sz w:val="14"/>
              </w:rPr>
              <w:t>Duration: 10 days (1×/day, 45 min).</w:t>
            </w:r>
            <w:r>
              <w:rPr>
                <w:sz w:val="14"/>
              </w:rPr>
              <w:br/>
              <w:t>Assessments: pre- and post-intervention.</w:t>
            </w:r>
          </w:p>
        </w:tc>
      </w:tr>
      <w:tr w:rsidR="004A06DC" w14:paraId="689A0496" w14:textId="77777777">
        <w:trPr>
          <w:jc w:val="center"/>
        </w:trPr>
        <w:tc>
          <w:tcPr>
            <w:tcW w:w="2938" w:type="dxa"/>
          </w:tcPr>
          <w:p w14:paraId="53C8B7EE" w14:textId="77777777" w:rsidR="004A06DC" w:rsidRDefault="00000000">
            <w:pPr>
              <w:spacing w:after="0" w:line="240" w:lineRule="auto"/>
            </w:pPr>
            <w:r>
              <w:rPr>
                <w:rFonts w:eastAsia="Times New Roman"/>
                <w:sz w:val="16"/>
              </w:rPr>
              <w:t>Atan T</w:t>
            </w:r>
            <w:r>
              <w:rPr>
                <w:rFonts w:eastAsia="Times New Roman"/>
                <w:sz w:val="16"/>
                <w:vertAlign w:val="superscript"/>
              </w:rPr>
              <w:t>46</w:t>
            </w:r>
          </w:p>
        </w:tc>
        <w:tc>
          <w:tcPr>
            <w:tcW w:w="2938" w:type="dxa"/>
          </w:tcPr>
          <w:p w14:paraId="5644FBDA" w14:textId="77777777" w:rsidR="004A06DC" w:rsidRDefault="00000000">
            <w:pPr>
              <w:spacing w:after="0" w:line="240" w:lineRule="auto"/>
            </w:pPr>
            <w:r>
              <w:rPr>
                <w:sz w:val="14"/>
              </w:rPr>
              <w:t>10/10/10</w:t>
            </w:r>
          </w:p>
        </w:tc>
        <w:tc>
          <w:tcPr>
            <w:tcW w:w="2938" w:type="dxa"/>
          </w:tcPr>
          <w:p w14:paraId="2F7EC498" w14:textId="77777777" w:rsidR="004A06DC" w:rsidRDefault="00000000">
            <w:pPr>
              <w:spacing w:after="0" w:line="240" w:lineRule="auto"/>
            </w:pPr>
            <w:r>
              <w:rPr>
                <w:sz w:val="14"/>
              </w:rPr>
              <w:t>No sham; usual/standard-care comparator</w:t>
            </w:r>
          </w:p>
        </w:tc>
        <w:tc>
          <w:tcPr>
            <w:tcW w:w="2938" w:type="dxa"/>
          </w:tcPr>
          <w:p w14:paraId="2D48D25D" w14:textId="77777777" w:rsidR="004A06DC" w:rsidRDefault="00000000">
            <w:pPr>
              <w:spacing w:after="0" w:line="240" w:lineRule="auto"/>
            </w:pPr>
            <w:r>
              <w:rPr>
                <w:sz w:val="14"/>
              </w:rPr>
              <w:t>Usual/standard care</w:t>
            </w:r>
          </w:p>
        </w:tc>
        <w:tc>
          <w:tcPr>
            <w:tcW w:w="2938" w:type="dxa"/>
          </w:tcPr>
          <w:p w14:paraId="5DBAF6C6" w14:textId="77777777" w:rsidR="004A06DC" w:rsidRDefault="00000000">
            <w:pPr>
              <w:spacing w:after="0" w:line="240" w:lineRule="auto"/>
            </w:pPr>
            <w:r>
              <w:rPr>
                <w:sz w:val="14"/>
              </w:rPr>
              <w:t>Duration: 8 weeks (3×/week, 60 min).</w:t>
            </w:r>
            <w:r>
              <w:rPr>
                <w:sz w:val="14"/>
              </w:rPr>
              <w:br/>
              <w:t>Assessments: baseline, week 4, week 8.</w:t>
            </w:r>
          </w:p>
        </w:tc>
      </w:tr>
      <w:tr w:rsidR="004A06DC" w14:paraId="56106A56" w14:textId="77777777">
        <w:trPr>
          <w:jc w:val="center"/>
        </w:trPr>
        <w:tc>
          <w:tcPr>
            <w:tcW w:w="2938" w:type="dxa"/>
          </w:tcPr>
          <w:p w14:paraId="77AED597" w14:textId="77777777" w:rsidR="004A06DC" w:rsidRDefault="00000000">
            <w:pPr>
              <w:spacing w:after="0" w:line="240" w:lineRule="auto"/>
            </w:pPr>
            <w:r>
              <w:rPr>
                <w:rFonts w:eastAsia="Times New Roman"/>
                <w:sz w:val="16"/>
              </w:rPr>
              <w:t>Awan S</w:t>
            </w:r>
            <w:r>
              <w:rPr>
                <w:rFonts w:eastAsia="Times New Roman"/>
                <w:sz w:val="16"/>
                <w:vertAlign w:val="superscript"/>
              </w:rPr>
              <w:t>47</w:t>
            </w:r>
          </w:p>
        </w:tc>
        <w:tc>
          <w:tcPr>
            <w:tcW w:w="2938" w:type="dxa"/>
          </w:tcPr>
          <w:p w14:paraId="0944FFAA" w14:textId="77777777" w:rsidR="004A06DC" w:rsidRDefault="00000000">
            <w:pPr>
              <w:spacing w:after="0" w:line="240" w:lineRule="auto"/>
            </w:pPr>
            <w:r>
              <w:rPr>
                <w:sz w:val="14"/>
              </w:rPr>
              <w:t>30/30</w:t>
            </w:r>
          </w:p>
        </w:tc>
        <w:tc>
          <w:tcPr>
            <w:tcW w:w="2938" w:type="dxa"/>
          </w:tcPr>
          <w:p w14:paraId="3710CF56" w14:textId="64005E0E" w:rsidR="004A06DC" w:rsidRDefault="00ED3941">
            <w:pPr>
              <w:spacing w:after="0" w:line="240" w:lineRule="auto"/>
            </w:pPr>
            <w:r>
              <w:rPr>
                <w:sz w:val="14"/>
              </w:rPr>
              <w:t>Blinding not clearly reported</w:t>
            </w:r>
          </w:p>
        </w:tc>
        <w:tc>
          <w:tcPr>
            <w:tcW w:w="2938" w:type="dxa"/>
          </w:tcPr>
          <w:p w14:paraId="1AEEE106" w14:textId="77777777" w:rsidR="004A06DC" w:rsidRDefault="00000000">
            <w:pPr>
              <w:spacing w:after="0" w:line="240" w:lineRule="auto"/>
            </w:pPr>
            <w:r>
              <w:rPr>
                <w:sz w:val="14"/>
              </w:rPr>
              <w:t>Active non-pharmacological or other comparator</w:t>
            </w:r>
          </w:p>
        </w:tc>
        <w:tc>
          <w:tcPr>
            <w:tcW w:w="2938" w:type="dxa"/>
          </w:tcPr>
          <w:p w14:paraId="593B614B" w14:textId="77777777" w:rsidR="004A06DC" w:rsidRDefault="00000000">
            <w:pPr>
              <w:spacing w:after="0" w:line="240" w:lineRule="auto"/>
            </w:pPr>
            <w:r>
              <w:rPr>
                <w:sz w:val="14"/>
              </w:rPr>
              <w:t>Duration: 12 weeks (3×/week).</w:t>
            </w:r>
            <w:r>
              <w:rPr>
                <w:sz w:val="14"/>
              </w:rPr>
              <w:br/>
              <w:t>Assessments: baseline and week 12.</w:t>
            </w:r>
          </w:p>
        </w:tc>
      </w:tr>
      <w:tr w:rsidR="004A06DC" w14:paraId="5A3E0C44" w14:textId="77777777">
        <w:trPr>
          <w:jc w:val="center"/>
        </w:trPr>
        <w:tc>
          <w:tcPr>
            <w:tcW w:w="2938" w:type="dxa"/>
          </w:tcPr>
          <w:p w14:paraId="4ECC5B41" w14:textId="77777777" w:rsidR="004A06DC" w:rsidRDefault="00000000">
            <w:pPr>
              <w:spacing w:after="0" w:line="240" w:lineRule="auto"/>
            </w:pPr>
            <w:r>
              <w:rPr>
                <w:rFonts w:eastAsia="Times New Roman"/>
                <w:sz w:val="16"/>
              </w:rPr>
              <w:t>Dantas AT</w:t>
            </w:r>
            <w:r>
              <w:rPr>
                <w:rFonts w:eastAsia="Times New Roman"/>
                <w:sz w:val="16"/>
                <w:vertAlign w:val="superscript"/>
              </w:rPr>
              <w:t>48</w:t>
            </w:r>
          </w:p>
        </w:tc>
        <w:tc>
          <w:tcPr>
            <w:tcW w:w="2938" w:type="dxa"/>
          </w:tcPr>
          <w:p w14:paraId="10D5A9AD" w14:textId="77777777" w:rsidR="004A06DC" w:rsidRDefault="00000000">
            <w:pPr>
              <w:spacing w:after="0" w:line="240" w:lineRule="auto"/>
            </w:pPr>
            <w:r>
              <w:rPr>
                <w:sz w:val="14"/>
              </w:rPr>
              <w:t>12/12/12</w:t>
            </w:r>
          </w:p>
        </w:tc>
        <w:tc>
          <w:tcPr>
            <w:tcW w:w="2938" w:type="dxa"/>
          </w:tcPr>
          <w:p w14:paraId="6FDB1C40" w14:textId="77777777" w:rsidR="004A06DC" w:rsidRDefault="00000000">
            <w:pPr>
              <w:spacing w:after="0" w:line="240" w:lineRule="auto"/>
            </w:pPr>
            <w:r>
              <w:rPr>
                <w:sz w:val="14"/>
              </w:rPr>
              <w:t>Sham/placebo or blinding control reported</w:t>
            </w:r>
          </w:p>
        </w:tc>
        <w:tc>
          <w:tcPr>
            <w:tcW w:w="2938" w:type="dxa"/>
          </w:tcPr>
          <w:p w14:paraId="43D7AB40" w14:textId="77777777" w:rsidR="004A06DC" w:rsidRDefault="00000000">
            <w:pPr>
              <w:spacing w:after="0" w:line="240" w:lineRule="auto"/>
            </w:pPr>
            <w:r>
              <w:rPr>
                <w:sz w:val="14"/>
              </w:rPr>
              <w:t>Sham/placebo comparator</w:t>
            </w:r>
          </w:p>
        </w:tc>
        <w:tc>
          <w:tcPr>
            <w:tcW w:w="2938" w:type="dxa"/>
          </w:tcPr>
          <w:p w14:paraId="43D19496" w14:textId="77777777" w:rsidR="004A06DC" w:rsidRDefault="00000000">
            <w:pPr>
              <w:spacing w:after="0" w:line="240" w:lineRule="auto"/>
            </w:pPr>
            <w:r>
              <w:rPr>
                <w:sz w:val="14"/>
              </w:rPr>
              <w:t>Duration: Single session.</w:t>
            </w:r>
            <w:r>
              <w:rPr>
                <w:sz w:val="14"/>
              </w:rPr>
              <w:br/>
              <w:t>Assessments: baseline, immediately post-treatment, and 5, 15, 30 days post-treatment.</w:t>
            </w:r>
          </w:p>
        </w:tc>
      </w:tr>
      <w:tr w:rsidR="004A06DC" w14:paraId="560B0992" w14:textId="77777777">
        <w:trPr>
          <w:jc w:val="center"/>
        </w:trPr>
        <w:tc>
          <w:tcPr>
            <w:tcW w:w="2938" w:type="dxa"/>
          </w:tcPr>
          <w:p w14:paraId="19697B60" w14:textId="77777777" w:rsidR="004A06DC" w:rsidRDefault="00000000">
            <w:pPr>
              <w:spacing w:after="0" w:line="240" w:lineRule="auto"/>
            </w:pPr>
            <w:r>
              <w:rPr>
                <w:rFonts w:eastAsia="Times New Roman"/>
                <w:sz w:val="16"/>
              </w:rPr>
              <w:t>Godziuk K</w:t>
            </w:r>
            <w:r>
              <w:rPr>
                <w:rFonts w:eastAsia="Times New Roman"/>
                <w:sz w:val="16"/>
                <w:vertAlign w:val="superscript"/>
              </w:rPr>
              <w:t>49</w:t>
            </w:r>
          </w:p>
        </w:tc>
        <w:tc>
          <w:tcPr>
            <w:tcW w:w="2938" w:type="dxa"/>
          </w:tcPr>
          <w:p w14:paraId="7EAED036" w14:textId="77777777" w:rsidR="004A06DC" w:rsidRDefault="00000000">
            <w:pPr>
              <w:spacing w:after="0" w:line="240" w:lineRule="auto"/>
            </w:pPr>
            <w:r>
              <w:rPr>
                <w:sz w:val="14"/>
              </w:rPr>
              <w:t>25/25</w:t>
            </w:r>
          </w:p>
        </w:tc>
        <w:tc>
          <w:tcPr>
            <w:tcW w:w="2938" w:type="dxa"/>
          </w:tcPr>
          <w:p w14:paraId="1376AC9E" w14:textId="181F5563" w:rsidR="004A06DC" w:rsidRDefault="00ED3941">
            <w:pPr>
              <w:spacing w:after="0" w:line="240" w:lineRule="auto"/>
            </w:pPr>
            <w:r>
              <w:rPr>
                <w:sz w:val="14"/>
              </w:rPr>
              <w:t>Blinding not clearly reported</w:t>
            </w:r>
          </w:p>
        </w:tc>
        <w:tc>
          <w:tcPr>
            <w:tcW w:w="2938" w:type="dxa"/>
          </w:tcPr>
          <w:p w14:paraId="4AC8ECC2" w14:textId="77777777" w:rsidR="004A06DC" w:rsidRDefault="00000000">
            <w:pPr>
              <w:spacing w:after="0" w:line="240" w:lineRule="auto"/>
            </w:pPr>
            <w:r>
              <w:rPr>
                <w:sz w:val="14"/>
              </w:rPr>
              <w:t>Active non-pharmacological or other comparator</w:t>
            </w:r>
          </w:p>
        </w:tc>
        <w:tc>
          <w:tcPr>
            <w:tcW w:w="2938" w:type="dxa"/>
          </w:tcPr>
          <w:p w14:paraId="192FB3A2" w14:textId="77777777" w:rsidR="004A06DC" w:rsidRDefault="00000000">
            <w:pPr>
              <w:spacing w:after="0" w:line="240" w:lineRule="auto"/>
            </w:pPr>
            <w:r>
              <w:rPr>
                <w:sz w:val="14"/>
              </w:rPr>
              <w:t>Duration: 3 months.</w:t>
            </w:r>
            <w:r>
              <w:rPr>
                <w:sz w:val="14"/>
              </w:rPr>
              <w:br/>
              <w:t>Assessments: baseline, 3 months, 9 months.</w:t>
            </w:r>
          </w:p>
        </w:tc>
      </w:tr>
      <w:tr w:rsidR="004A06DC" w14:paraId="26C1789F" w14:textId="77777777">
        <w:trPr>
          <w:jc w:val="center"/>
        </w:trPr>
        <w:tc>
          <w:tcPr>
            <w:tcW w:w="2938" w:type="dxa"/>
          </w:tcPr>
          <w:p w14:paraId="007AF6F7" w14:textId="77777777" w:rsidR="004A06DC" w:rsidRDefault="00000000">
            <w:pPr>
              <w:spacing w:after="0" w:line="240" w:lineRule="auto"/>
            </w:pPr>
            <w:r>
              <w:rPr>
                <w:rFonts w:eastAsia="Times New Roman"/>
                <w:sz w:val="16"/>
              </w:rPr>
              <w:t>Guo X</w:t>
            </w:r>
            <w:r>
              <w:rPr>
                <w:rFonts w:eastAsia="Times New Roman"/>
                <w:sz w:val="16"/>
                <w:vertAlign w:val="superscript"/>
              </w:rPr>
              <w:t>50</w:t>
            </w:r>
          </w:p>
        </w:tc>
        <w:tc>
          <w:tcPr>
            <w:tcW w:w="2938" w:type="dxa"/>
          </w:tcPr>
          <w:p w14:paraId="08611BCE" w14:textId="77777777" w:rsidR="004A06DC" w:rsidRDefault="00000000">
            <w:pPr>
              <w:spacing w:after="0" w:line="240" w:lineRule="auto"/>
            </w:pPr>
            <w:r>
              <w:rPr>
                <w:sz w:val="14"/>
              </w:rPr>
              <w:t>30/30</w:t>
            </w:r>
          </w:p>
        </w:tc>
        <w:tc>
          <w:tcPr>
            <w:tcW w:w="2938" w:type="dxa"/>
          </w:tcPr>
          <w:p w14:paraId="1074588D" w14:textId="08B53861" w:rsidR="004A06DC" w:rsidRDefault="00ED3941">
            <w:pPr>
              <w:spacing w:after="0" w:line="240" w:lineRule="auto"/>
            </w:pPr>
            <w:r>
              <w:rPr>
                <w:sz w:val="14"/>
              </w:rPr>
              <w:t>Blinding not clearly reported</w:t>
            </w:r>
          </w:p>
        </w:tc>
        <w:tc>
          <w:tcPr>
            <w:tcW w:w="2938" w:type="dxa"/>
          </w:tcPr>
          <w:p w14:paraId="5A75C65E" w14:textId="77777777" w:rsidR="004A06DC" w:rsidRDefault="00000000">
            <w:pPr>
              <w:spacing w:after="0" w:line="240" w:lineRule="auto"/>
            </w:pPr>
            <w:r>
              <w:rPr>
                <w:sz w:val="14"/>
              </w:rPr>
              <w:t>Active non-pharmacological or other comparator</w:t>
            </w:r>
          </w:p>
        </w:tc>
        <w:tc>
          <w:tcPr>
            <w:tcW w:w="2938" w:type="dxa"/>
          </w:tcPr>
          <w:p w14:paraId="7347DBA0" w14:textId="77777777" w:rsidR="004A06DC" w:rsidRDefault="00000000">
            <w:pPr>
              <w:spacing w:after="0" w:line="240" w:lineRule="auto"/>
            </w:pPr>
            <w:r>
              <w:rPr>
                <w:sz w:val="14"/>
              </w:rPr>
              <w:t>Duration: 4 weeks (3×/week).</w:t>
            </w:r>
            <w:r>
              <w:rPr>
                <w:sz w:val="14"/>
              </w:rPr>
              <w:br/>
              <w:t>Assessments: baseline, immediately post-treatment, 1 week post-treatment.</w:t>
            </w:r>
          </w:p>
        </w:tc>
      </w:tr>
      <w:tr w:rsidR="004A06DC" w14:paraId="45DE4F01" w14:textId="77777777">
        <w:trPr>
          <w:jc w:val="center"/>
        </w:trPr>
        <w:tc>
          <w:tcPr>
            <w:tcW w:w="2938" w:type="dxa"/>
          </w:tcPr>
          <w:p w14:paraId="673D2A06" w14:textId="77777777" w:rsidR="004A06DC" w:rsidRDefault="00000000">
            <w:pPr>
              <w:spacing w:after="0" w:line="240" w:lineRule="auto"/>
            </w:pPr>
            <w:r>
              <w:rPr>
                <w:rFonts w:eastAsia="Times New Roman"/>
                <w:sz w:val="16"/>
              </w:rPr>
              <w:t>Hanley AW</w:t>
            </w:r>
            <w:r>
              <w:rPr>
                <w:rFonts w:eastAsia="Times New Roman"/>
                <w:sz w:val="16"/>
                <w:vertAlign w:val="superscript"/>
              </w:rPr>
              <w:t>51</w:t>
            </w:r>
          </w:p>
        </w:tc>
        <w:tc>
          <w:tcPr>
            <w:tcW w:w="2938" w:type="dxa"/>
          </w:tcPr>
          <w:p w14:paraId="30822636" w14:textId="77777777" w:rsidR="004A06DC" w:rsidRDefault="00000000">
            <w:pPr>
              <w:spacing w:after="0" w:line="240" w:lineRule="auto"/>
            </w:pPr>
            <w:r>
              <w:rPr>
                <w:sz w:val="14"/>
              </w:rPr>
              <w:t>41/41/41/41</w:t>
            </w:r>
          </w:p>
        </w:tc>
        <w:tc>
          <w:tcPr>
            <w:tcW w:w="2938" w:type="dxa"/>
          </w:tcPr>
          <w:p w14:paraId="0C00AD07" w14:textId="77777777" w:rsidR="004A06DC" w:rsidRDefault="00000000">
            <w:pPr>
              <w:spacing w:after="0" w:line="240" w:lineRule="auto"/>
            </w:pPr>
            <w:r>
              <w:rPr>
                <w:sz w:val="14"/>
              </w:rPr>
              <w:t>Sham/placebo or blinding control reported</w:t>
            </w:r>
          </w:p>
        </w:tc>
        <w:tc>
          <w:tcPr>
            <w:tcW w:w="2938" w:type="dxa"/>
          </w:tcPr>
          <w:p w14:paraId="10FA9CFE" w14:textId="77777777" w:rsidR="004A06DC" w:rsidRDefault="00000000">
            <w:pPr>
              <w:spacing w:after="0" w:line="240" w:lineRule="auto"/>
            </w:pPr>
            <w:r>
              <w:rPr>
                <w:sz w:val="14"/>
              </w:rPr>
              <w:t>Sham/placebo comparator</w:t>
            </w:r>
          </w:p>
        </w:tc>
        <w:tc>
          <w:tcPr>
            <w:tcW w:w="2938" w:type="dxa"/>
          </w:tcPr>
          <w:p w14:paraId="79657FA1" w14:textId="77777777" w:rsidR="004A06DC" w:rsidRDefault="00000000">
            <w:pPr>
              <w:spacing w:after="0" w:line="240" w:lineRule="auto"/>
            </w:pPr>
            <w:r>
              <w:rPr>
                <w:sz w:val="14"/>
              </w:rPr>
              <w:t>Duration: 4 weeks (1×/week, 30 min).</w:t>
            </w:r>
            <w:r>
              <w:rPr>
                <w:sz w:val="14"/>
              </w:rPr>
              <w:br/>
              <w:t>Assessments: baseline, 1 month, 2 months.</w:t>
            </w:r>
          </w:p>
        </w:tc>
      </w:tr>
      <w:tr w:rsidR="004A06DC" w14:paraId="7D1EF225" w14:textId="77777777">
        <w:trPr>
          <w:jc w:val="center"/>
        </w:trPr>
        <w:tc>
          <w:tcPr>
            <w:tcW w:w="2938" w:type="dxa"/>
          </w:tcPr>
          <w:p w14:paraId="7C89BB97" w14:textId="77777777" w:rsidR="004A06DC" w:rsidRDefault="00000000">
            <w:pPr>
              <w:spacing w:after="0" w:line="240" w:lineRule="auto"/>
            </w:pPr>
            <w:r>
              <w:rPr>
                <w:rFonts w:eastAsia="Times New Roman"/>
                <w:sz w:val="16"/>
              </w:rPr>
              <w:t>Katz JN</w:t>
            </w:r>
            <w:r>
              <w:rPr>
                <w:rFonts w:eastAsia="Times New Roman"/>
                <w:sz w:val="16"/>
                <w:vertAlign w:val="superscript"/>
              </w:rPr>
              <w:t>52</w:t>
            </w:r>
          </w:p>
        </w:tc>
        <w:tc>
          <w:tcPr>
            <w:tcW w:w="2938" w:type="dxa"/>
          </w:tcPr>
          <w:p w14:paraId="4AEE9514" w14:textId="77777777" w:rsidR="004A06DC" w:rsidRDefault="00000000">
            <w:pPr>
              <w:spacing w:after="0" w:line="240" w:lineRule="auto"/>
            </w:pPr>
            <w:r>
              <w:rPr>
                <w:sz w:val="14"/>
              </w:rPr>
              <w:t>219/220/222/218</w:t>
            </w:r>
          </w:p>
        </w:tc>
        <w:tc>
          <w:tcPr>
            <w:tcW w:w="2938" w:type="dxa"/>
          </w:tcPr>
          <w:p w14:paraId="3DD9F89B" w14:textId="77777777" w:rsidR="004A06DC" w:rsidRDefault="00000000">
            <w:pPr>
              <w:spacing w:after="0" w:line="240" w:lineRule="auto"/>
            </w:pPr>
            <w:r>
              <w:rPr>
                <w:sz w:val="14"/>
              </w:rPr>
              <w:t>Sham/placebo or blinding control reported</w:t>
            </w:r>
          </w:p>
        </w:tc>
        <w:tc>
          <w:tcPr>
            <w:tcW w:w="2938" w:type="dxa"/>
          </w:tcPr>
          <w:p w14:paraId="6E233211" w14:textId="77777777" w:rsidR="004A06DC" w:rsidRDefault="00000000">
            <w:pPr>
              <w:spacing w:after="0" w:line="240" w:lineRule="auto"/>
            </w:pPr>
            <w:r>
              <w:rPr>
                <w:sz w:val="14"/>
              </w:rPr>
              <w:t>Sham/placebo comparator</w:t>
            </w:r>
          </w:p>
        </w:tc>
        <w:tc>
          <w:tcPr>
            <w:tcW w:w="2938" w:type="dxa"/>
          </w:tcPr>
          <w:p w14:paraId="57449542" w14:textId="77777777" w:rsidR="004A06DC" w:rsidRDefault="00000000">
            <w:pPr>
              <w:spacing w:after="0" w:line="240" w:lineRule="auto"/>
            </w:pPr>
            <w:r>
              <w:rPr>
                <w:sz w:val="14"/>
              </w:rPr>
              <w:t>Duration: 3 months.</w:t>
            </w:r>
            <w:r>
              <w:rPr>
                <w:sz w:val="14"/>
              </w:rPr>
              <w:br/>
              <w:t>Assessments: baseline, 3, 6, 12 months.</w:t>
            </w:r>
          </w:p>
        </w:tc>
      </w:tr>
      <w:tr w:rsidR="004A06DC" w14:paraId="525F4281" w14:textId="77777777">
        <w:trPr>
          <w:jc w:val="center"/>
        </w:trPr>
        <w:tc>
          <w:tcPr>
            <w:tcW w:w="2938" w:type="dxa"/>
          </w:tcPr>
          <w:p w14:paraId="273C683C" w14:textId="77777777" w:rsidR="004A06DC" w:rsidRDefault="00000000">
            <w:pPr>
              <w:spacing w:after="0" w:line="240" w:lineRule="auto"/>
            </w:pPr>
            <w:r>
              <w:rPr>
                <w:rFonts w:eastAsia="Times New Roman"/>
                <w:sz w:val="16"/>
              </w:rPr>
              <w:t>Kızkın ZY</w:t>
            </w:r>
            <w:r>
              <w:rPr>
                <w:rFonts w:eastAsia="Times New Roman"/>
                <w:sz w:val="16"/>
                <w:vertAlign w:val="superscript"/>
              </w:rPr>
              <w:t>53</w:t>
            </w:r>
          </w:p>
        </w:tc>
        <w:tc>
          <w:tcPr>
            <w:tcW w:w="2938" w:type="dxa"/>
          </w:tcPr>
          <w:p w14:paraId="537783C3" w14:textId="77777777" w:rsidR="004A06DC" w:rsidRDefault="00000000">
            <w:pPr>
              <w:spacing w:after="0" w:line="240" w:lineRule="auto"/>
            </w:pPr>
            <w:r>
              <w:rPr>
                <w:sz w:val="14"/>
              </w:rPr>
              <w:t>23/23</w:t>
            </w:r>
          </w:p>
        </w:tc>
        <w:tc>
          <w:tcPr>
            <w:tcW w:w="2938" w:type="dxa"/>
          </w:tcPr>
          <w:p w14:paraId="2B06B1FF" w14:textId="77777777" w:rsidR="004A06DC" w:rsidRDefault="00000000">
            <w:pPr>
              <w:spacing w:after="0" w:line="240" w:lineRule="auto"/>
            </w:pPr>
            <w:r>
              <w:rPr>
                <w:sz w:val="14"/>
              </w:rPr>
              <w:t>No sham; usual/standard-care comparator</w:t>
            </w:r>
          </w:p>
        </w:tc>
        <w:tc>
          <w:tcPr>
            <w:tcW w:w="2938" w:type="dxa"/>
          </w:tcPr>
          <w:p w14:paraId="3AE75B87" w14:textId="77777777" w:rsidR="004A06DC" w:rsidRDefault="00000000">
            <w:pPr>
              <w:spacing w:after="0" w:line="240" w:lineRule="auto"/>
            </w:pPr>
            <w:r>
              <w:rPr>
                <w:sz w:val="14"/>
              </w:rPr>
              <w:t>Usual/standard care</w:t>
            </w:r>
          </w:p>
        </w:tc>
        <w:tc>
          <w:tcPr>
            <w:tcW w:w="2938" w:type="dxa"/>
          </w:tcPr>
          <w:p w14:paraId="58AF265A" w14:textId="77777777" w:rsidR="004A06DC" w:rsidRDefault="00000000">
            <w:pPr>
              <w:spacing w:after="0" w:line="240" w:lineRule="auto"/>
            </w:pPr>
            <w:r>
              <w:rPr>
                <w:sz w:val="14"/>
              </w:rPr>
              <w:t>Duration: 8 weeks (3×/week).</w:t>
            </w:r>
            <w:r>
              <w:rPr>
                <w:sz w:val="14"/>
              </w:rPr>
              <w:br/>
              <w:t>Assessments: NR.</w:t>
            </w:r>
          </w:p>
        </w:tc>
      </w:tr>
      <w:tr w:rsidR="004A06DC" w14:paraId="7C690746" w14:textId="77777777">
        <w:trPr>
          <w:jc w:val="center"/>
        </w:trPr>
        <w:tc>
          <w:tcPr>
            <w:tcW w:w="2938" w:type="dxa"/>
          </w:tcPr>
          <w:p w14:paraId="2B8739B6" w14:textId="77777777" w:rsidR="004A06DC" w:rsidRDefault="00000000">
            <w:pPr>
              <w:spacing w:after="0" w:line="240" w:lineRule="auto"/>
            </w:pPr>
            <w:r>
              <w:rPr>
                <w:rFonts w:eastAsia="Times New Roman"/>
                <w:sz w:val="16"/>
              </w:rPr>
              <w:t>Ma P</w:t>
            </w:r>
            <w:r>
              <w:rPr>
                <w:rFonts w:eastAsia="Times New Roman"/>
                <w:sz w:val="16"/>
                <w:vertAlign w:val="superscript"/>
              </w:rPr>
              <w:t>54</w:t>
            </w:r>
          </w:p>
        </w:tc>
        <w:tc>
          <w:tcPr>
            <w:tcW w:w="2938" w:type="dxa"/>
          </w:tcPr>
          <w:p w14:paraId="7DBDD5B4" w14:textId="77777777" w:rsidR="004A06DC" w:rsidRDefault="00000000">
            <w:pPr>
              <w:spacing w:after="0" w:line="240" w:lineRule="auto"/>
            </w:pPr>
            <w:r>
              <w:rPr>
                <w:sz w:val="14"/>
              </w:rPr>
              <w:t>70/70</w:t>
            </w:r>
          </w:p>
        </w:tc>
        <w:tc>
          <w:tcPr>
            <w:tcW w:w="2938" w:type="dxa"/>
          </w:tcPr>
          <w:p w14:paraId="76BC4B61" w14:textId="69DAA807" w:rsidR="004A06DC" w:rsidRDefault="00ED3941">
            <w:pPr>
              <w:spacing w:after="0" w:line="240" w:lineRule="auto"/>
            </w:pPr>
            <w:r>
              <w:rPr>
                <w:sz w:val="14"/>
              </w:rPr>
              <w:t>Blinding not clearly reported</w:t>
            </w:r>
          </w:p>
        </w:tc>
        <w:tc>
          <w:tcPr>
            <w:tcW w:w="2938" w:type="dxa"/>
          </w:tcPr>
          <w:p w14:paraId="30A4C525" w14:textId="77777777" w:rsidR="004A06DC" w:rsidRDefault="00000000">
            <w:pPr>
              <w:spacing w:after="0" w:line="240" w:lineRule="auto"/>
            </w:pPr>
            <w:r>
              <w:rPr>
                <w:sz w:val="14"/>
              </w:rPr>
              <w:t>Active non-pharmacological or other comparator</w:t>
            </w:r>
          </w:p>
        </w:tc>
        <w:tc>
          <w:tcPr>
            <w:tcW w:w="2938" w:type="dxa"/>
          </w:tcPr>
          <w:p w14:paraId="3C2BEE7D" w14:textId="77777777" w:rsidR="004A06DC" w:rsidRDefault="00000000">
            <w:pPr>
              <w:spacing w:after="0" w:line="240" w:lineRule="auto"/>
            </w:pPr>
            <w:r>
              <w:rPr>
                <w:sz w:val="14"/>
              </w:rPr>
              <w:t>Duration: 3 weeks (8 sessions; 20 min/session).</w:t>
            </w:r>
            <w:r>
              <w:rPr>
                <w:sz w:val="14"/>
              </w:rPr>
              <w:br/>
              <w:t>Assessments: baseline, week 4, week 8, week 16.</w:t>
            </w:r>
          </w:p>
        </w:tc>
      </w:tr>
      <w:tr w:rsidR="004A06DC" w14:paraId="0ED1108D" w14:textId="77777777">
        <w:trPr>
          <w:jc w:val="center"/>
        </w:trPr>
        <w:tc>
          <w:tcPr>
            <w:tcW w:w="2938" w:type="dxa"/>
          </w:tcPr>
          <w:p w14:paraId="64490EC6" w14:textId="77777777" w:rsidR="004A06DC" w:rsidRDefault="00000000">
            <w:pPr>
              <w:spacing w:after="0" w:line="240" w:lineRule="auto"/>
            </w:pPr>
            <w:r>
              <w:rPr>
                <w:rFonts w:eastAsia="Times New Roman"/>
                <w:sz w:val="16"/>
              </w:rPr>
              <w:t>Momen Arani Z</w:t>
            </w:r>
            <w:r>
              <w:rPr>
                <w:rFonts w:eastAsia="Times New Roman"/>
                <w:sz w:val="16"/>
                <w:vertAlign w:val="superscript"/>
              </w:rPr>
              <w:t>55</w:t>
            </w:r>
          </w:p>
        </w:tc>
        <w:tc>
          <w:tcPr>
            <w:tcW w:w="2938" w:type="dxa"/>
          </w:tcPr>
          <w:p w14:paraId="61C8B5FE" w14:textId="77777777" w:rsidR="004A06DC" w:rsidRDefault="00000000">
            <w:pPr>
              <w:spacing w:after="0" w:line="240" w:lineRule="auto"/>
            </w:pPr>
            <w:r>
              <w:rPr>
                <w:sz w:val="14"/>
              </w:rPr>
              <w:t>40/40/40</w:t>
            </w:r>
          </w:p>
        </w:tc>
        <w:tc>
          <w:tcPr>
            <w:tcW w:w="2938" w:type="dxa"/>
          </w:tcPr>
          <w:p w14:paraId="6BFAB8F9" w14:textId="63AB6422" w:rsidR="004A06DC" w:rsidRDefault="00ED3941">
            <w:pPr>
              <w:spacing w:after="0" w:line="240" w:lineRule="auto"/>
            </w:pPr>
            <w:r>
              <w:rPr>
                <w:sz w:val="14"/>
              </w:rPr>
              <w:t>Blinding not clearly reported</w:t>
            </w:r>
          </w:p>
        </w:tc>
        <w:tc>
          <w:tcPr>
            <w:tcW w:w="2938" w:type="dxa"/>
          </w:tcPr>
          <w:p w14:paraId="0C971149" w14:textId="77777777" w:rsidR="004A06DC" w:rsidRDefault="00000000">
            <w:pPr>
              <w:spacing w:after="0" w:line="240" w:lineRule="auto"/>
            </w:pPr>
            <w:r>
              <w:rPr>
                <w:sz w:val="14"/>
              </w:rPr>
              <w:t>Active non-pharmacological or other comparator</w:t>
            </w:r>
          </w:p>
        </w:tc>
        <w:tc>
          <w:tcPr>
            <w:tcW w:w="2938" w:type="dxa"/>
          </w:tcPr>
          <w:p w14:paraId="1A7ED57E" w14:textId="77777777" w:rsidR="004A06DC" w:rsidRDefault="00000000">
            <w:pPr>
              <w:spacing w:after="0" w:line="240" w:lineRule="auto"/>
            </w:pPr>
            <w:r>
              <w:rPr>
                <w:sz w:val="14"/>
              </w:rPr>
              <w:t>Duration: 4 weeks (2×/week; 15 min).</w:t>
            </w:r>
            <w:r>
              <w:rPr>
                <w:sz w:val="14"/>
              </w:rPr>
              <w:br/>
              <w:t>Assessments: baseline, week 4, 1-month follow-up.</w:t>
            </w:r>
          </w:p>
        </w:tc>
      </w:tr>
      <w:tr w:rsidR="004A06DC" w14:paraId="17028AB6" w14:textId="77777777">
        <w:trPr>
          <w:jc w:val="center"/>
        </w:trPr>
        <w:tc>
          <w:tcPr>
            <w:tcW w:w="2938" w:type="dxa"/>
          </w:tcPr>
          <w:p w14:paraId="0574B988" w14:textId="77777777" w:rsidR="004A06DC" w:rsidRDefault="00000000">
            <w:pPr>
              <w:spacing w:after="0" w:line="240" w:lineRule="auto"/>
            </w:pPr>
            <w:r>
              <w:rPr>
                <w:rFonts w:eastAsia="Times New Roman"/>
                <w:sz w:val="16"/>
              </w:rPr>
              <w:t>Ng HP</w:t>
            </w:r>
            <w:r>
              <w:rPr>
                <w:rFonts w:eastAsia="Times New Roman"/>
                <w:sz w:val="16"/>
                <w:vertAlign w:val="superscript"/>
              </w:rPr>
              <w:t>56</w:t>
            </w:r>
          </w:p>
        </w:tc>
        <w:tc>
          <w:tcPr>
            <w:tcW w:w="2938" w:type="dxa"/>
          </w:tcPr>
          <w:p w14:paraId="69FE54BF" w14:textId="77777777" w:rsidR="004A06DC" w:rsidRDefault="00000000">
            <w:pPr>
              <w:spacing w:after="0" w:line="240" w:lineRule="auto"/>
            </w:pPr>
            <w:r>
              <w:rPr>
                <w:sz w:val="14"/>
              </w:rPr>
              <w:t>50/51</w:t>
            </w:r>
          </w:p>
        </w:tc>
        <w:tc>
          <w:tcPr>
            <w:tcW w:w="2938" w:type="dxa"/>
          </w:tcPr>
          <w:p w14:paraId="5D060205" w14:textId="77777777" w:rsidR="004A06DC" w:rsidRDefault="00000000">
            <w:pPr>
              <w:spacing w:after="0" w:line="240" w:lineRule="auto"/>
            </w:pPr>
            <w:r>
              <w:rPr>
                <w:sz w:val="14"/>
              </w:rPr>
              <w:t>No sham; usual/standard-care comparator</w:t>
            </w:r>
          </w:p>
        </w:tc>
        <w:tc>
          <w:tcPr>
            <w:tcW w:w="2938" w:type="dxa"/>
          </w:tcPr>
          <w:p w14:paraId="4A886377" w14:textId="77777777" w:rsidR="004A06DC" w:rsidRDefault="00000000">
            <w:pPr>
              <w:spacing w:after="0" w:line="240" w:lineRule="auto"/>
            </w:pPr>
            <w:r>
              <w:rPr>
                <w:sz w:val="14"/>
              </w:rPr>
              <w:t>Usual/standard care</w:t>
            </w:r>
          </w:p>
        </w:tc>
        <w:tc>
          <w:tcPr>
            <w:tcW w:w="2938" w:type="dxa"/>
          </w:tcPr>
          <w:p w14:paraId="6D5CAA6A" w14:textId="77777777" w:rsidR="004A06DC" w:rsidRDefault="00000000">
            <w:pPr>
              <w:spacing w:after="0" w:line="240" w:lineRule="auto"/>
            </w:pPr>
            <w:r>
              <w:rPr>
                <w:sz w:val="14"/>
              </w:rPr>
              <w:t>Duration: 6 weeks (2×/week, 30 min).</w:t>
            </w:r>
            <w:r>
              <w:rPr>
                <w:sz w:val="14"/>
              </w:rPr>
              <w:br/>
              <w:t>Assessments: baseline, week 6, week 12, week 24.</w:t>
            </w:r>
          </w:p>
        </w:tc>
      </w:tr>
      <w:tr w:rsidR="004A06DC" w14:paraId="5656887F" w14:textId="77777777">
        <w:trPr>
          <w:jc w:val="center"/>
        </w:trPr>
        <w:tc>
          <w:tcPr>
            <w:tcW w:w="2938" w:type="dxa"/>
          </w:tcPr>
          <w:p w14:paraId="579038AA" w14:textId="77777777" w:rsidR="004A06DC" w:rsidRDefault="00000000">
            <w:pPr>
              <w:spacing w:after="0" w:line="240" w:lineRule="auto"/>
            </w:pPr>
            <w:r>
              <w:rPr>
                <w:rFonts w:eastAsia="Times New Roman"/>
                <w:sz w:val="16"/>
              </w:rPr>
              <w:t>Sun J</w:t>
            </w:r>
            <w:r>
              <w:rPr>
                <w:rFonts w:eastAsia="Times New Roman"/>
                <w:sz w:val="16"/>
                <w:vertAlign w:val="superscript"/>
              </w:rPr>
              <w:t>57</w:t>
            </w:r>
          </w:p>
        </w:tc>
        <w:tc>
          <w:tcPr>
            <w:tcW w:w="2938" w:type="dxa"/>
          </w:tcPr>
          <w:p w14:paraId="52DAB5B6" w14:textId="77777777" w:rsidR="004A06DC" w:rsidRDefault="00000000">
            <w:pPr>
              <w:spacing w:after="0" w:line="240" w:lineRule="auto"/>
            </w:pPr>
            <w:r>
              <w:rPr>
                <w:sz w:val="14"/>
              </w:rPr>
              <w:t>60/60/60/60/60/60</w:t>
            </w:r>
          </w:p>
        </w:tc>
        <w:tc>
          <w:tcPr>
            <w:tcW w:w="2938" w:type="dxa"/>
          </w:tcPr>
          <w:p w14:paraId="2B79ECCC" w14:textId="77777777" w:rsidR="004A06DC" w:rsidRDefault="00000000">
            <w:pPr>
              <w:spacing w:after="0" w:line="240" w:lineRule="auto"/>
            </w:pPr>
            <w:r>
              <w:rPr>
                <w:sz w:val="14"/>
              </w:rPr>
              <w:t>Sham/placebo or blinding control reported</w:t>
            </w:r>
          </w:p>
        </w:tc>
        <w:tc>
          <w:tcPr>
            <w:tcW w:w="2938" w:type="dxa"/>
          </w:tcPr>
          <w:p w14:paraId="7F7E143D" w14:textId="77777777" w:rsidR="004A06DC" w:rsidRDefault="00000000">
            <w:pPr>
              <w:spacing w:after="0" w:line="240" w:lineRule="auto"/>
            </w:pPr>
            <w:r>
              <w:rPr>
                <w:sz w:val="14"/>
              </w:rPr>
              <w:t>Pharmacological comparator/background</w:t>
            </w:r>
          </w:p>
        </w:tc>
        <w:tc>
          <w:tcPr>
            <w:tcW w:w="2938" w:type="dxa"/>
          </w:tcPr>
          <w:p w14:paraId="22DB68F7" w14:textId="77777777" w:rsidR="004A06DC" w:rsidRDefault="00000000">
            <w:pPr>
              <w:spacing w:after="0" w:line="240" w:lineRule="auto"/>
            </w:pPr>
            <w:r>
              <w:rPr>
                <w:sz w:val="14"/>
              </w:rPr>
              <w:t>Duration: 4 weeks.</w:t>
            </w:r>
            <w:r>
              <w:rPr>
                <w:sz w:val="14"/>
              </w:rPr>
              <w:br/>
              <w:t>Assessments: NR.</w:t>
            </w:r>
          </w:p>
        </w:tc>
      </w:tr>
      <w:tr w:rsidR="004A06DC" w14:paraId="52369793" w14:textId="77777777">
        <w:trPr>
          <w:jc w:val="center"/>
        </w:trPr>
        <w:tc>
          <w:tcPr>
            <w:tcW w:w="2938" w:type="dxa"/>
          </w:tcPr>
          <w:p w14:paraId="50BF55E3" w14:textId="77777777" w:rsidR="004A06DC" w:rsidRDefault="00000000">
            <w:pPr>
              <w:spacing w:after="0" w:line="240" w:lineRule="auto"/>
            </w:pPr>
            <w:r>
              <w:rPr>
                <w:rFonts w:eastAsia="Times New Roman"/>
                <w:sz w:val="16"/>
              </w:rPr>
              <w:lastRenderedPageBreak/>
              <w:t>Tsai AWW</w:t>
            </w:r>
            <w:r>
              <w:rPr>
                <w:rFonts w:eastAsia="Times New Roman"/>
                <w:sz w:val="16"/>
                <w:vertAlign w:val="superscript"/>
              </w:rPr>
              <w:t>58</w:t>
            </w:r>
          </w:p>
        </w:tc>
        <w:tc>
          <w:tcPr>
            <w:tcW w:w="2938" w:type="dxa"/>
          </w:tcPr>
          <w:p w14:paraId="574ED8EE" w14:textId="77777777" w:rsidR="004A06DC" w:rsidRDefault="00000000">
            <w:pPr>
              <w:spacing w:after="0" w:line="240" w:lineRule="auto"/>
            </w:pPr>
            <w:r>
              <w:rPr>
                <w:sz w:val="14"/>
              </w:rPr>
              <w:t>30/30/30/30</w:t>
            </w:r>
          </w:p>
        </w:tc>
        <w:tc>
          <w:tcPr>
            <w:tcW w:w="2938" w:type="dxa"/>
          </w:tcPr>
          <w:p w14:paraId="06E4F8C8" w14:textId="77777777" w:rsidR="004A06DC" w:rsidRDefault="00000000">
            <w:pPr>
              <w:spacing w:after="0" w:line="240" w:lineRule="auto"/>
            </w:pPr>
            <w:r>
              <w:rPr>
                <w:sz w:val="14"/>
              </w:rPr>
              <w:t>Sham/placebo or blinding control reported</w:t>
            </w:r>
          </w:p>
        </w:tc>
        <w:tc>
          <w:tcPr>
            <w:tcW w:w="2938" w:type="dxa"/>
          </w:tcPr>
          <w:p w14:paraId="1928CDBA" w14:textId="77777777" w:rsidR="004A06DC" w:rsidRDefault="00000000">
            <w:pPr>
              <w:spacing w:after="0" w:line="240" w:lineRule="auto"/>
            </w:pPr>
            <w:r>
              <w:rPr>
                <w:sz w:val="14"/>
              </w:rPr>
              <w:t>Sham/placebo comparator</w:t>
            </w:r>
          </w:p>
        </w:tc>
        <w:tc>
          <w:tcPr>
            <w:tcW w:w="2938" w:type="dxa"/>
          </w:tcPr>
          <w:p w14:paraId="4D690D78" w14:textId="77777777" w:rsidR="004A06DC" w:rsidRDefault="00000000">
            <w:pPr>
              <w:spacing w:after="0" w:line="240" w:lineRule="auto"/>
            </w:pPr>
            <w:r>
              <w:rPr>
                <w:sz w:val="14"/>
              </w:rPr>
              <w:t>Duration: 5 weeks (2×/week, 30 min).</w:t>
            </w:r>
            <w:r>
              <w:rPr>
                <w:sz w:val="14"/>
              </w:rPr>
              <w:br/>
              <w:t>Assessments: baseline and end of treatment.</w:t>
            </w:r>
          </w:p>
        </w:tc>
      </w:tr>
      <w:tr w:rsidR="004A06DC" w14:paraId="226FB3EE" w14:textId="77777777">
        <w:trPr>
          <w:jc w:val="center"/>
        </w:trPr>
        <w:tc>
          <w:tcPr>
            <w:tcW w:w="2938" w:type="dxa"/>
          </w:tcPr>
          <w:p w14:paraId="1361BA39" w14:textId="77777777" w:rsidR="004A06DC" w:rsidRDefault="00000000">
            <w:pPr>
              <w:spacing w:after="0" w:line="240" w:lineRule="auto"/>
            </w:pPr>
            <w:r>
              <w:rPr>
                <w:rFonts w:eastAsia="Times New Roman"/>
                <w:sz w:val="16"/>
              </w:rPr>
              <w:t>Wei XY</w:t>
            </w:r>
            <w:r>
              <w:rPr>
                <w:rFonts w:eastAsia="Times New Roman"/>
                <w:sz w:val="16"/>
                <w:vertAlign w:val="superscript"/>
              </w:rPr>
              <w:t>59</w:t>
            </w:r>
          </w:p>
        </w:tc>
        <w:tc>
          <w:tcPr>
            <w:tcW w:w="2938" w:type="dxa"/>
          </w:tcPr>
          <w:p w14:paraId="2731CBB0" w14:textId="77777777" w:rsidR="004A06DC" w:rsidRDefault="00000000">
            <w:pPr>
              <w:spacing w:after="0" w:line="240" w:lineRule="auto"/>
            </w:pPr>
            <w:r>
              <w:rPr>
                <w:sz w:val="14"/>
              </w:rPr>
              <w:t>27/25/22</w:t>
            </w:r>
          </w:p>
        </w:tc>
        <w:tc>
          <w:tcPr>
            <w:tcW w:w="2938" w:type="dxa"/>
          </w:tcPr>
          <w:p w14:paraId="3C5FF482" w14:textId="77777777" w:rsidR="004A06DC" w:rsidRDefault="00000000">
            <w:pPr>
              <w:spacing w:after="0" w:line="240" w:lineRule="auto"/>
            </w:pPr>
            <w:r>
              <w:rPr>
                <w:sz w:val="14"/>
              </w:rPr>
              <w:t>Sham/placebo or blinding control reported</w:t>
            </w:r>
          </w:p>
        </w:tc>
        <w:tc>
          <w:tcPr>
            <w:tcW w:w="2938" w:type="dxa"/>
          </w:tcPr>
          <w:p w14:paraId="4833E356" w14:textId="77777777" w:rsidR="004A06DC" w:rsidRDefault="00000000">
            <w:pPr>
              <w:spacing w:after="0" w:line="240" w:lineRule="auto"/>
            </w:pPr>
            <w:r>
              <w:rPr>
                <w:sz w:val="14"/>
              </w:rPr>
              <w:t>Sham/placebo comparator</w:t>
            </w:r>
          </w:p>
        </w:tc>
        <w:tc>
          <w:tcPr>
            <w:tcW w:w="2938" w:type="dxa"/>
          </w:tcPr>
          <w:p w14:paraId="09A5385B" w14:textId="77777777" w:rsidR="004A06DC" w:rsidRDefault="00000000">
            <w:pPr>
              <w:spacing w:after="0" w:line="240" w:lineRule="auto"/>
            </w:pPr>
            <w:r>
              <w:rPr>
                <w:sz w:val="14"/>
              </w:rPr>
              <w:t>Duration: 4 weeks (3×/week).</w:t>
            </w:r>
            <w:r>
              <w:rPr>
                <w:sz w:val="14"/>
              </w:rPr>
              <w:br/>
              <w:t>Assessments: baseline and week 4.</w:t>
            </w:r>
          </w:p>
        </w:tc>
      </w:tr>
      <w:tr w:rsidR="004A06DC" w14:paraId="3D904EB1" w14:textId="77777777">
        <w:trPr>
          <w:jc w:val="center"/>
        </w:trPr>
        <w:tc>
          <w:tcPr>
            <w:tcW w:w="2938" w:type="dxa"/>
          </w:tcPr>
          <w:p w14:paraId="32568622" w14:textId="77777777" w:rsidR="004A06DC" w:rsidRDefault="00000000">
            <w:pPr>
              <w:spacing w:after="0" w:line="240" w:lineRule="auto"/>
            </w:pPr>
            <w:r>
              <w:rPr>
                <w:rFonts w:eastAsia="Times New Roman"/>
                <w:sz w:val="16"/>
              </w:rPr>
              <w:t>Bakir E</w:t>
            </w:r>
            <w:r>
              <w:rPr>
                <w:rFonts w:eastAsia="Times New Roman"/>
                <w:sz w:val="16"/>
                <w:vertAlign w:val="superscript"/>
              </w:rPr>
              <w:t>60</w:t>
            </w:r>
          </w:p>
        </w:tc>
        <w:tc>
          <w:tcPr>
            <w:tcW w:w="2938" w:type="dxa"/>
          </w:tcPr>
          <w:p w14:paraId="3C648392" w14:textId="77777777" w:rsidR="004A06DC" w:rsidRDefault="00000000">
            <w:pPr>
              <w:spacing w:after="0" w:line="240" w:lineRule="auto"/>
            </w:pPr>
            <w:r>
              <w:rPr>
                <w:sz w:val="14"/>
              </w:rPr>
              <w:t>30/30/30/30/30</w:t>
            </w:r>
          </w:p>
        </w:tc>
        <w:tc>
          <w:tcPr>
            <w:tcW w:w="2938" w:type="dxa"/>
          </w:tcPr>
          <w:p w14:paraId="77183ADF" w14:textId="77777777" w:rsidR="004A06DC" w:rsidRDefault="00000000">
            <w:pPr>
              <w:spacing w:after="0" w:line="240" w:lineRule="auto"/>
            </w:pPr>
            <w:r>
              <w:rPr>
                <w:sz w:val="14"/>
              </w:rPr>
              <w:t>Sham/placebo or blinding control reported</w:t>
            </w:r>
          </w:p>
        </w:tc>
        <w:tc>
          <w:tcPr>
            <w:tcW w:w="2938" w:type="dxa"/>
          </w:tcPr>
          <w:p w14:paraId="77977E1C" w14:textId="77777777" w:rsidR="004A06DC" w:rsidRDefault="00000000">
            <w:pPr>
              <w:spacing w:after="0" w:line="240" w:lineRule="auto"/>
            </w:pPr>
            <w:r>
              <w:rPr>
                <w:sz w:val="14"/>
              </w:rPr>
              <w:t>Sham/placebo comparator</w:t>
            </w:r>
          </w:p>
        </w:tc>
        <w:tc>
          <w:tcPr>
            <w:tcW w:w="2938" w:type="dxa"/>
          </w:tcPr>
          <w:p w14:paraId="09CDF72E" w14:textId="77777777" w:rsidR="004A06DC" w:rsidRDefault="00000000">
            <w:pPr>
              <w:spacing w:after="0" w:line="240" w:lineRule="auto"/>
            </w:pPr>
            <w:r>
              <w:rPr>
                <w:sz w:val="14"/>
              </w:rPr>
              <w:t>Duration: 6 weeks (1×/week, 30 min).</w:t>
            </w:r>
            <w:r>
              <w:rPr>
                <w:sz w:val="14"/>
              </w:rPr>
              <w:br/>
              <w:t>Assessments: pre- and post-intervention.</w:t>
            </w:r>
          </w:p>
        </w:tc>
      </w:tr>
    </w:tbl>
    <w:p w14:paraId="6427B1DE" w14:textId="77777777" w:rsidR="004A06DC" w:rsidRDefault="004A06DC"/>
    <w:sectPr w:rsidR="004A06DC">
      <w:pgSz w:w="15840" w:h="12240" w:orient="landscape"/>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D6A6" w14:textId="77777777" w:rsidR="001517E1" w:rsidRDefault="001517E1">
      <w:pPr>
        <w:spacing w:line="240" w:lineRule="auto"/>
      </w:pPr>
      <w:r>
        <w:separator/>
      </w:r>
    </w:p>
  </w:endnote>
  <w:endnote w:type="continuationSeparator" w:id="0">
    <w:p w14:paraId="5DA6DA49" w14:textId="77777777" w:rsidR="001517E1" w:rsidRDefault="001517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0B41" w14:textId="77777777" w:rsidR="004A06DC" w:rsidRDefault="00000000">
    <w:pPr>
      <w:pStyle w:val="ad"/>
    </w:pPr>
    <w:r>
      <w:rPr>
        <w:noProof/>
      </w:rPr>
      <mc:AlternateContent>
        <mc:Choice Requires="wps">
          <w:drawing>
            <wp:anchor distT="0" distB="0" distL="0" distR="0" simplePos="0" relativeHeight="251660288" behindDoc="0" locked="0" layoutInCell="1" allowOverlap="1" wp14:anchorId="59FDE538" wp14:editId="7C4F801D">
              <wp:simplePos x="0" y="0"/>
              <wp:positionH relativeFrom="page">
                <wp:align>left</wp:align>
              </wp:positionH>
              <wp:positionV relativeFrom="page">
                <wp:align>bottom</wp:align>
              </wp:positionV>
              <wp:extent cx="2085975" cy="344805"/>
              <wp:effectExtent l="0" t="0" r="9525" b="0"/>
              <wp:wrapNone/>
              <wp:docPr id="845454273" name="Text Box 2" descr="Information Classification: General"/>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543B0A24" w14:textId="77777777" w:rsidR="004A06DC" w:rsidRDefault="00000000">
                          <w:pPr>
                            <w:spacing w:after="0"/>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59FDE538"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" filled="f" stroked="f">
              <v:textbox style="mso-fit-shape-to-text:t" inset="20pt,0,0,15pt">
                <w:txbxContent>
                  <w:p w14:paraId="543B0A24" w14:textId="77777777" w:rsidR="004A06DC" w:rsidRDefault="00000000">
                    <w:pPr>
                      <w:spacing w:after="0"/>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45EF" w14:textId="77777777" w:rsidR="004A06DC" w:rsidRDefault="00000000">
    <w:pPr>
      <w:pStyle w:val="ad"/>
    </w:pPr>
    <w:r>
      <w:rPr>
        <w:noProof/>
      </w:rPr>
      <mc:AlternateContent>
        <mc:Choice Requires="wps">
          <w:drawing>
            <wp:anchor distT="0" distB="0" distL="0" distR="0" simplePos="0" relativeHeight="251661312" behindDoc="0" locked="0" layoutInCell="1" allowOverlap="1" wp14:anchorId="10F2D286" wp14:editId="4E830711">
              <wp:simplePos x="0" y="0"/>
              <wp:positionH relativeFrom="page">
                <wp:align>left</wp:align>
              </wp:positionH>
              <wp:positionV relativeFrom="page">
                <wp:align>bottom</wp:align>
              </wp:positionV>
              <wp:extent cx="2085975" cy="344805"/>
              <wp:effectExtent l="0" t="0" r="9525" b="0"/>
              <wp:wrapNone/>
              <wp:docPr id="599046007" name="Text Box 3" descr="Information Classification: General"/>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721A75E1" w14:textId="77777777" w:rsidR="004A06DC" w:rsidRDefault="00000000">
                          <w:pPr>
                            <w:spacing w:after="0"/>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10F2D286"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" filled="f" stroked="f">
              <v:textbox style="mso-fit-shape-to-text:t" inset="20pt,0,0,15pt">
                <w:txbxContent>
                  <w:p w14:paraId="721A75E1" w14:textId="77777777" w:rsidR="004A06DC" w:rsidRDefault="00000000">
                    <w:pPr>
                      <w:spacing w:after="0"/>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8A27" w14:textId="77777777" w:rsidR="004A06DC" w:rsidRDefault="00000000">
    <w:pPr>
      <w:pStyle w:val="ad"/>
    </w:pPr>
    <w:r>
      <w:rPr>
        <w:noProof/>
      </w:rPr>
      <mc:AlternateContent>
        <mc:Choice Requires="wps">
          <w:drawing>
            <wp:anchor distT="0" distB="0" distL="0" distR="0" simplePos="0" relativeHeight="251659264" behindDoc="0" locked="0" layoutInCell="1" allowOverlap="1" wp14:anchorId="13B2ED59" wp14:editId="52481E76">
              <wp:simplePos x="0" y="0"/>
              <wp:positionH relativeFrom="page">
                <wp:align>left</wp:align>
              </wp:positionH>
              <wp:positionV relativeFrom="page">
                <wp:align>bottom</wp:align>
              </wp:positionV>
              <wp:extent cx="2085975" cy="344805"/>
              <wp:effectExtent l="0" t="0" r="9525" b="0"/>
              <wp:wrapNone/>
              <wp:docPr id="1977411039" name="Text Box 1" descr="Information Classification: General"/>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33C5785F" w14:textId="77777777" w:rsidR="004A06DC" w:rsidRDefault="00000000">
                          <w:pPr>
                            <w:spacing w:after="0"/>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13B2ED59"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" filled="f" stroked="f">
              <v:textbox style="mso-fit-shape-to-text:t" inset="20pt,0,0,15pt">
                <w:txbxContent>
                  <w:p w14:paraId="33C5785F" w14:textId="77777777" w:rsidR="004A06DC" w:rsidRDefault="00000000">
                    <w:pPr>
                      <w:spacing w:after="0"/>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0F104" w14:textId="77777777" w:rsidR="001517E1" w:rsidRDefault="001517E1">
      <w:pPr>
        <w:spacing w:after="0"/>
      </w:pPr>
      <w:r>
        <w:separator/>
      </w:r>
    </w:p>
  </w:footnote>
  <w:footnote w:type="continuationSeparator" w:id="0">
    <w:p w14:paraId="1637E252" w14:textId="77777777" w:rsidR="001517E1" w:rsidRDefault="001517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num w:numId="1" w16cid:durableId="1807039658">
    <w:abstractNumId w:val="1"/>
  </w:num>
  <w:num w:numId="2" w16cid:durableId="1235891138">
    <w:abstractNumId w:val="4"/>
  </w:num>
  <w:num w:numId="3" w16cid:durableId="395128334">
    <w:abstractNumId w:val="5"/>
  </w:num>
  <w:num w:numId="4" w16cid:durableId="1877572289">
    <w:abstractNumId w:val="2"/>
  </w:num>
  <w:num w:numId="5" w16cid:durableId="1953131027">
    <w:abstractNumId w:val="0"/>
  </w:num>
  <w:num w:numId="6" w16cid:durableId="1109006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03A0"/>
    <w:rsid w:val="00092699"/>
    <w:rsid w:val="0015074B"/>
    <w:rsid w:val="001517E1"/>
    <w:rsid w:val="00180622"/>
    <w:rsid w:val="0029639D"/>
    <w:rsid w:val="002A0EDB"/>
    <w:rsid w:val="00326F90"/>
    <w:rsid w:val="004A06DC"/>
    <w:rsid w:val="007A4615"/>
    <w:rsid w:val="008347AC"/>
    <w:rsid w:val="00AA1D8D"/>
    <w:rsid w:val="00B47730"/>
    <w:rsid w:val="00CB0664"/>
    <w:rsid w:val="00ED3941"/>
    <w:rsid w:val="00FC693F"/>
    <w:rsid w:val="0D947AB6"/>
    <w:rsid w:val="533F1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865EEE"/>
  <w14:defaultImageDpi w14:val="300"/>
  <w15:docId w15:val="{417278F9-113D-4B56-B007-37910E84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qFormat="1"/>
    <w:lsdException w:name="List Bullet" w:unhideWhenUsed="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unhideWhenUsed="1" w:qFormat="1"/>
    <w:lsdException w:name="List Continue 2" w:unhideWhenUsed="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lsdException w:name="Medium Shading 1 Accent 1" w:uiPriority="63" w:qFormat="1"/>
    <w:lsdException w:name="Medium Shading 2 Accent 1" w:uiPriority="64" w:qFormat="1"/>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lsdException w:name="Light List Accent 5" w:uiPriority="61" w:qFormat="1"/>
    <w:lsdException w:name="Light Grid Accent 5" w:uiPriority="62"/>
    <w:lsdException w:name="Medium Shading 1 Accent 5" w:uiPriority="63" w:qFormat="1"/>
    <w:lsdException w:name="Medium Shading 2 Accent 5" w:uiPriority="64"/>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lsdException w:name="Medium Shading 1 Accent 6" w:uiPriority="63" w:qFormat="1"/>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after="200" w:line="276" w:lineRule="auto"/>
    </w:pPr>
    <w:rPr>
      <w:rFonts w:ascii="Times New Roman" w:hAnsi="Times New Roman"/>
      <w:szCs w:val="22"/>
      <w:lang w:eastAsia="en-US"/>
    </w:rPr>
  </w:style>
  <w:style w:type="paragraph" w:styleId="1">
    <w:name w:val="heading 1"/>
    <w:basedOn w:val="a1"/>
    <w:next w:val="a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1"/>
    <w:next w:val="a1"/>
    <w:link w:val="60"/>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1"/>
    <w:next w:val="a1"/>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pPr>
      <w:keepNext/>
      <w:keepLines/>
      <w:spacing w:before="200" w:after="0"/>
      <w:outlineLvl w:val="7"/>
    </w:pPr>
    <w:rPr>
      <w:rFonts w:asciiTheme="majorHAnsi" w:eastAsiaTheme="majorEastAsia" w:hAnsiTheme="majorHAnsi" w:cstheme="majorBidi"/>
      <w:color w:val="4F81BD" w:themeColor="accent1"/>
      <w:szCs w:val="20"/>
    </w:rPr>
  </w:style>
  <w:style w:type="paragraph" w:styleId="9">
    <w:name w:val="heading 9"/>
    <w:basedOn w:val="a1"/>
    <w:next w:val="a1"/>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lang w:eastAsia="en-US"/>
    </w:rPr>
  </w:style>
  <w:style w:type="paragraph" w:styleId="33">
    <w:name w:val="List 3"/>
    <w:basedOn w:val="a1"/>
    <w:uiPriority w:val="99"/>
    <w:unhideWhenUsed/>
    <w:qFormat/>
    <w:pPr>
      <w:ind w:left="1080" w:hanging="360"/>
      <w:contextualSpacing/>
    </w:pPr>
  </w:style>
  <w:style w:type="paragraph" w:styleId="2">
    <w:name w:val="List Number 2"/>
    <w:basedOn w:val="a1"/>
    <w:uiPriority w:val="99"/>
    <w:unhideWhenUsed/>
    <w:qFormat/>
    <w:pPr>
      <w:numPr>
        <w:numId w:val="1"/>
      </w:numPr>
      <w:contextualSpacing/>
    </w:pPr>
  </w:style>
  <w:style w:type="paragraph" w:styleId="a">
    <w:name w:val="List Number"/>
    <w:basedOn w:val="a1"/>
    <w:uiPriority w:val="99"/>
    <w:unhideWhenUsed/>
    <w:qFormat/>
    <w:pPr>
      <w:numPr>
        <w:numId w:val="2"/>
      </w:numPr>
      <w:contextualSpacing/>
    </w:pPr>
  </w:style>
  <w:style w:type="paragraph" w:styleId="a7">
    <w:name w:val="caption"/>
    <w:basedOn w:val="a1"/>
    <w:next w:val="a1"/>
    <w:uiPriority w:val="35"/>
    <w:semiHidden/>
    <w:unhideWhenUsed/>
    <w:qFormat/>
    <w:pPr>
      <w:spacing w:line="240" w:lineRule="auto"/>
    </w:pPr>
    <w:rPr>
      <w:b/>
      <w:bCs/>
      <w:color w:val="4F81BD" w:themeColor="accent1"/>
      <w:sz w:val="18"/>
      <w:szCs w:val="18"/>
    </w:rPr>
  </w:style>
  <w:style w:type="paragraph" w:styleId="a0">
    <w:name w:val="List Bullet"/>
    <w:basedOn w:val="a1"/>
    <w:uiPriority w:val="99"/>
    <w:unhideWhenUsed/>
    <w:pPr>
      <w:numPr>
        <w:numId w:val="3"/>
      </w:numPr>
      <w:contextualSpacing/>
    </w:pPr>
  </w:style>
  <w:style w:type="paragraph" w:styleId="a8">
    <w:name w:val="annotation text"/>
    <w:basedOn w:val="a1"/>
    <w:link w:val="a9"/>
    <w:uiPriority w:val="99"/>
    <w:unhideWhenUsed/>
    <w:qFormat/>
    <w:pPr>
      <w:spacing w:line="240" w:lineRule="auto"/>
    </w:pPr>
    <w:rPr>
      <w:szCs w:val="20"/>
    </w:rPr>
  </w:style>
  <w:style w:type="paragraph" w:styleId="34">
    <w:name w:val="Body Text 3"/>
    <w:basedOn w:val="a1"/>
    <w:link w:val="35"/>
    <w:uiPriority w:val="99"/>
    <w:unhideWhenUsed/>
    <w:qFormat/>
    <w:pPr>
      <w:spacing w:after="120"/>
    </w:pPr>
    <w:rPr>
      <w:sz w:val="16"/>
      <w:szCs w:val="16"/>
    </w:rPr>
  </w:style>
  <w:style w:type="paragraph" w:styleId="30">
    <w:name w:val="List Bullet 3"/>
    <w:basedOn w:val="a1"/>
    <w:uiPriority w:val="99"/>
    <w:unhideWhenUsed/>
    <w:qFormat/>
    <w:pPr>
      <w:numPr>
        <w:numId w:val="4"/>
      </w:numPr>
      <w:contextualSpacing/>
    </w:pPr>
  </w:style>
  <w:style w:type="paragraph" w:styleId="aa">
    <w:name w:val="Body Text"/>
    <w:basedOn w:val="a1"/>
    <w:link w:val="ab"/>
    <w:uiPriority w:val="99"/>
    <w:unhideWhenUsed/>
    <w:qFormat/>
    <w:pPr>
      <w:spacing w:after="120"/>
    </w:pPr>
  </w:style>
  <w:style w:type="paragraph" w:styleId="3">
    <w:name w:val="List Number 3"/>
    <w:basedOn w:val="a1"/>
    <w:uiPriority w:val="99"/>
    <w:unhideWhenUsed/>
    <w:pPr>
      <w:numPr>
        <w:numId w:val="5"/>
      </w:numPr>
      <w:contextualSpacing/>
    </w:pPr>
  </w:style>
  <w:style w:type="paragraph" w:styleId="23">
    <w:name w:val="List 2"/>
    <w:basedOn w:val="a1"/>
    <w:uiPriority w:val="99"/>
    <w:unhideWhenUsed/>
    <w:qFormat/>
    <w:pPr>
      <w:ind w:left="720" w:hanging="360"/>
      <w:contextualSpacing/>
    </w:pPr>
  </w:style>
  <w:style w:type="paragraph" w:styleId="ac">
    <w:name w:val="List Continue"/>
    <w:basedOn w:val="a1"/>
    <w:uiPriority w:val="99"/>
    <w:unhideWhenUsed/>
    <w:qFormat/>
    <w:pPr>
      <w:spacing w:after="120"/>
      <w:ind w:left="360"/>
      <w:contextualSpacing/>
    </w:pPr>
  </w:style>
  <w:style w:type="paragraph" w:styleId="20">
    <w:name w:val="List Bullet 2"/>
    <w:basedOn w:val="a1"/>
    <w:uiPriority w:val="99"/>
    <w:unhideWhenUsed/>
    <w:qFormat/>
    <w:pPr>
      <w:numPr>
        <w:numId w:val="6"/>
      </w:numPr>
      <w:contextualSpacing/>
    </w:pPr>
  </w:style>
  <w:style w:type="paragraph" w:styleId="ad">
    <w:name w:val="footer"/>
    <w:basedOn w:val="a1"/>
    <w:link w:val="ae"/>
    <w:uiPriority w:val="99"/>
    <w:unhideWhenUsed/>
    <w:pPr>
      <w:tabs>
        <w:tab w:val="center" w:pos="4680"/>
        <w:tab w:val="right" w:pos="9360"/>
      </w:tabs>
      <w:spacing w:after="0" w:line="240" w:lineRule="auto"/>
    </w:pPr>
  </w:style>
  <w:style w:type="paragraph" w:styleId="af">
    <w:name w:val="header"/>
    <w:basedOn w:val="a1"/>
    <w:link w:val="af0"/>
    <w:uiPriority w:val="99"/>
    <w:unhideWhenUsed/>
    <w:qFormat/>
    <w:pPr>
      <w:tabs>
        <w:tab w:val="center" w:pos="4680"/>
        <w:tab w:val="right" w:pos="9360"/>
      </w:tabs>
      <w:spacing w:after="0" w:line="240" w:lineRule="auto"/>
    </w:pPr>
  </w:style>
  <w:style w:type="paragraph" w:styleId="af1">
    <w:name w:val="Subtitle"/>
    <w:basedOn w:val="a1"/>
    <w:next w:val="a1"/>
    <w:link w:val="af2"/>
    <w:uiPriority w:val="11"/>
    <w:qFormat/>
    <w:rPr>
      <w:rFonts w:asciiTheme="majorHAnsi" w:eastAsiaTheme="majorEastAsia" w:hAnsiTheme="majorHAnsi" w:cstheme="majorBidi"/>
      <w:i/>
      <w:iCs/>
      <w:color w:val="4F81BD" w:themeColor="accent1"/>
      <w:spacing w:val="15"/>
      <w:sz w:val="24"/>
      <w:szCs w:val="24"/>
    </w:rPr>
  </w:style>
  <w:style w:type="paragraph" w:styleId="af3">
    <w:name w:val="List"/>
    <w:basedOn w:val="a1"/>
    <w:uiPriority w:val="99"/>
    <w:unhideWhenUsed/>
    <w:qFormat/>
    <w:pPr>
      <w:ind w:left="360" w:hanging="360"/>
      <w:contextualSpacing/>
    </w:pPr>
  </w:style>
  <w:style w:type="paragraph" w:styleId="24">
    <w:name w:val="Body Text 2"/>
    <w:basedOn w:val="a1"/>
    <w:link w:val="25"/>
    <w:uiPriority w:val="99"/>
    <w:unhideWhenUsed/>
    <w:qFormat/>
    <w:pPr>
      <w:spacing w:after="120" w:line="480" w:lineRule="auto"/>
    </w:pPr>
  </w:style>
  <w:style w:type="paragraph" w:styleId="26">
    <w:name w:val="List Continue 2"/>
    <w:basedOn w:val="a1"/>
    <w:uiPriority w:val="99"/>
    <w:unhideWhenUsed/>
    <w:pPr>
      <w:spacing w:after="120"/>
      <w:ind w:left="720"/>
      <w:contextualSpacing/>
    </w:pPr>
  </w:style>
  <w:style w:type="paragraph" w:styleId="36">
    <w:name w:val="List Continue 3"/>
    <w:basedOn w:val="a1"/>
    <w:uiPriority w:val="99"/>
    <w:unhideWhenUsed/>
    <w:qFormat/>
    <w:pPr>
      <w:spacing w:after="120"/>
      <w:ind w:left="1080"/>
      <w:contextualSpacing/>
    </w:pPr>
  </w:style>
  <w:style w:type="paragraph" w:styleId="af4">
    <w:name w:val="Title"/>
    <w:basedOn w:val="a1"/>
    <w:next w:val="a1"/>
    <w:link w:val="af5"/>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af6">
    <w:name w:val="annotation subject"/>
    <w:basedOn w:val="a8"/>
    <w:next w:val="a8"/>
    <w:link w:val="af7"/>
    <w:uiPriority w:val="99"/>
    <w:semiHidden/>
    <w:unhideWhenUsed/>
    <w:rPr>
      <w:b/>
      <w:bCs/>
    </w:rPr>
  </w:style>
  <w:style w:type="table" w:styleId="af8">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Light Shading"/>
    <w:basedOn w:val="a3"/>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a">
    <w:name w:val="Light List"/>
    <w:basedOn w:val="a3"/>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b">
    <w:name w:val="Light Grid"/>
    <w:basedOn w:val="a3"/>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21">
    <w:name w:val="Light Grid Accent 2"/>
    <w:basedOn w:val="a3"/>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1">
    <w:name w:val="Light Grid Accent 3"/>
    <w:basedOn w:val="a3"/>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1">
    <w:name w:val="Light Grid Accent 4"/>
    <w:basedOn w:val="a3"/>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1">
    <w:name w:val="Light Grid Accent 5"/>
    <w:basedOn w:val="a3"/>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1">
    <w:name w:val="Light Grid Accent 6"/>
    <w:basedOn w:val="a3"/>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11">
    <w:name w:val="Medium Shading 1"/>
    <w:basedOn w:val="a3"/>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afc">
    <w:name w:val="Dark List"/>
    <w:basedOn w:val="a3"/>
    <w:uiPriority w:val="70"/>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qFormat/>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qFormat/>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qFormat/>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qFormat/>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qFormat/>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qFormat/>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d">
    <w:name w:val="Colorful Shading"/>
    <w:basedOn w:val="a3"/>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e">
    <w:name w:val="Colorful List"/>
    <w:basedOn w:val="a3"/>
    <w:uiPriority w:val="72"/>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qFormat/>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qFormat/>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qFormat/>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qFormat/>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qFormat/>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qFormat/>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
    <w:name w:val="Colorful Grid"/>
    <w:basedOn w:val="a3"/>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0">
    <w:name w:val="Strong"/>
    <w:basedOn w:val="a2"/>
    <w:uiPriority w:val="22"/>
    <w:qFormat/>
    <w:rPr>
      <w:b/>
      <w:bCs/>
    </w:rPr>
  </w:style>
  <w:style w:type="character" w:styleId="aff1">
    <w:name w:val="Emphasis"/>
    <w:basedOn w:val="a2"/>
    <w:uiPriority w:val="20"/>
    <w:qFormat/>
    <w:rPr>
      <w:i/>
      <w:iCs/>
    </w:rPr>
  </w:style>
  <w:style w:type="character" w:styleId="aff2">
    <w:name w:val="annotation reference"/>
    <w:basedOn w:val="a2"/>
    <w:uiPriority w:val="99"/>
    <w:semiHidden/>
    <w:unhideWhenUsed/>
    <w:qFormat/>
    <w:rPr>
      <w:sz w:val="16"/>
      <w:szCs w:val="16"/>
    </w:rPr>
  </w:style>
  <w:style w:type="character" w:customStyle="1" w:styleId="af0">
    <w:name w:val="页眉 字符"/>
    <w:basedOn w:val="a2"/>
    <w:link w:val="af"/>
    <w:uiPriority w:val="99"/>
    <w:qFormat/>
  </w:style>
  <w:style w:type="character" w:customStyle="1" w:styleId="ae">
    <w:name w:val="页脚 字符"/>
    <w:basedOn w:val="a2"/>
    <w:link w:val="ad"/>
    <w:uiPriority w:val="99"/>
    <w:qFormat/>
  </w:style>
  <w:style w:type="paragraph" w:styleId="aff3">
    <w:name w:val="No Spacing"/>
    <w:uiPriority w:val="1"/>
    <w:qFormat/>
    <w:rPr>
      <w:sz w:val="22"/>
      <w:szCs w:val="22"/>
      <w:lang w:eastAsia="en-US"/>
    </w:rPr>
  </w:style>
  <w:style w:type="character" w:customStyle="1" w:styleId="10">
    <w:name w:val="标题 1 字符"/>
    <w:basedOn w:val="a2"/>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qFormat/>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qFormat/>
    <w:rPr>
      <w:rFonts w:asciiTheme="majorHAnsi" w:eastAsiaTheme="majorEastAsia" w:hAnsiTheme="majorHAnsi" w:cstheme="majorBidi"/>
      <w:b/>
      <w:bCs/>
      <w:color w:val="4F81BD" w:themeColor="accent1"/>
    </w:rPr>
  </w:style>
  <w:style w:type="character" w:customStyle="1" w:styleId="af5">
    <w:name w:val="标题 字符"/>
    <w:basedOn w:val="a2"/>
    <w:link w:val="af4"/>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af2">
    <w:name w:val="副标题 字符"/>
    <w:basedOn w:val="a2"/>
    <w:link w:val="af1"/>
    <w:uiPriority w:val="11"/>
    <w:qFormat/>
    <w:rPr>
      <w:rFonts w:asciiTheme="majorHAnsi" w:eastAsiaTheme="majorEastAsia" w:hAnsiTheme="majorHAnsi" w:cstheme="majorBidi"/>
      <w:i/>
      <w:iCs/>
      <w:color w:val="4F81BD" w:themeColor="accent1"/>
      <w:spacing w:val="15"/>
      <w:sz w:val="24"/>
      <w:szCs w:val="24"/>
    </w:rPr>
  </w:style>
  <w:style w:type="paragraph" w:styleId="aff4">
    <w:name w:val="List Paragraph"/>
    <w:basedOn w:val="a1"/>
    <w:uiPriority w:val="34"/>
    <w:qFormat/>
    <w:pPr>
      <w:ind w:left="720"/>
      <w:contextualSpacing/>
    </w:pPr>
  </w:style>
  <w:style w:type="character" w:customStyle="1" w:styleId="ab">
    <w:name w:val="正文文本 字符"/>
    <w:basedOn w:val="a2"/>
    <w:link w:val="aa"/>
    <w:uiPriority w:val="99"/>
    <w:qFormat/>
  </w:style>
  <w:style w:type="character" w:customStyle="1" w:styleId="25">
    <w:name w:val="正文文本 2 字符"/>
    <w:basedOn w:val="a2"/>
    <w:link w:val="24"/>
    <w:uiPriority w:val="99"/>
  </w:style>
  <w:style w:type="character" w:customStyle="1" w:styleId="35">
    <w:name w:val="正文文本 3 字符"/>
    <w:basedOn w:val="a2"/>
    <w:link w:val="34"/>
    <w:uiPriority w:val="99"/>
    <w:qFormat/>
    <w:rPr>
      <w:sz w:val="16"/>
      <w:szCs w:val="16"/>
    </w:rPr>
  </w:style>
  <w:style w:type="character" w:customStyle="1" w:styleId="a6">
    <w:name w:val="宏文本 字符"/>
    <w:basedOn w:val="a2"/>
    <w:link w:val="a5"/>
    <w:uiPriority w:val="99"/>
    <w:rPr>
      <w:rFonts w:ascii="Courier" w:hAnsi="Courier"/>
      <w:sz w:val="20"/>
      <w:szCs w:val="20"/>
    </w:rPr>
  </w:style>
  <w:style w:type="paragraph" w:styleId="aff5">
    <w:name w:val="Quote"/>
    <w:basedOn w:val="a1"/>
    <w:next w:val="a1"/>
    <w:link w:val="aff6"/>
    <w:uiPriority w:val="29"/>
    <w:qFormat/>
    <w:rPr>
      <w:i/>
      <w:iCs/>
      <w:color w:val="000000" w:themeColor="text1"/>
    </w:rPr>
  </w:style>
  <w:style w:type="character" w:customStyle="1" w:styleId="aff6">
    <w:name w:val="引用 字符"/>
    <w:basedOn w:val="a2"/>
    <w:link w:val="aff5"/>
    <w:uiPriority w:val="29"/>
    <w:qFormat/>
    <w:rPr>
      <w:i/>
      <w:iCs/>
      <w:color w:val="000000" w:themeColor="text1"/>
    </w:rPr>
  </w:style>
  <w:style w:type="character" w:customStyle="1" w:styleId="40">
    <w:name w:val="标题 4 字符"/>
    <w:basedOn w:val="a2"/>
    <w:link w:val="4"/>
    <w:uiPriority w:val="9"/>
    <w:semiHidden/>
    <w:qFormat/>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Pr>
      <w:rFonts w:asciiTheme="majorHAnsi" w:eastAsiaTheme="majorEastAsia" w:hAnsiTheme="majorHAnsi" w:cstheme="majorBidi"/>
      <w:color w:val="244061" w:themeColor="accent1" w:themeShade="80"/>
    </w:rPr>
  </w:style>
  <w:style w:type="character" w:customStyle="1" w:styleId="60">
    <w:name w:val="标题 6 字符"/>
    <w:basedOn w:val="a2"/>
    <w:link w:val="6"/>
    <w:uiPriority w:val="9"/>
    <w:semiHidden/>
    <w:qFormat/>
    <w:rPr>
      <w:rFonts w:asciiTheme="majorHAnsi" w:eastAsiaTheme="majorEastAsia" w:hAnsiTheme="majorHAnsi" w:cstheme="majorBidi"/>
      <w:i/>
      <w:iCs/>
      <w:color w:val="244061" w:themeColor="accent1" w:themeShade="80"/>
    </w:rPr>
  </w:style>
  <w:style w:type="character" w:customStyle="1" w:styleId="70">
    <w:name w:val="标题 7 字符"/>
    <w:basedOn w:val="a2"/>
    <w:link w:val="7"/>
    <w:uiPriority w:val="9"/>
    <w:semiHidden/>
    <w:qFormat/>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qFormat/>
    <w:rPr>
      <w:rFonts w:asciiTheme="majorHAnsi" w:eastAsiaTheme="majorEastAsia" w:hAnsiTheme="majorHAnsi" w:cstheme="majorBidi"/>
      <w:i/>
      <w:iCs/>
      <w:color w:val="404040" w:themeColor="text1" w:themeTint="BF"/>
      <w:sz w:val="20"/>
      <w:szCs w:val="20"/>
    </w:rPr>
  </w:style>
  <w:style w:type="paragraph" w:styleId="aff7">
    <w:name w:val="Intense Quote"/>
    <w:basedOn w:val="a1"/>
    <w:next w:val="a1"/>
    <w:link w:val="aff8"/>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ff8">
    <w:name w:val="明显引用 字符"/>
    <w:basedOn w:val="a2"/>
    <w:link w:val="aff7"/>
    <w:uiPriority w:val="30"/>
    <w:qFormat/>
    <w:rPr>
      <w:b/>
      <w:bCs/>
      <w:i/>
      <w:iCs/>
      <w:color w:val="4F81BD" w:themeColor="accent1"/>
    </w:rPr>
  </w:style>
  <w:style w:type="character" w:customStyle="1" w:styleId="14">
    <w:name w:val="不明显强调1"/>
    <w:basedOn w:val="a2"/>
    <w:uiPriority w:val="19"/>
    <w:qFormat/>
    <w:rPr>
      <w:i/>
      <w:iCs/>
      <w:color w:val="7F7F7F" w:themeColor="text1" w:themeTint="80"/>
    </w:rPr>
  </w:style>
  <w:style w:type="character" w:customStyle="1" w:styleId="15">
    <w:name w:val="明显强调1"/>
    <w:basedOn w:val="a2"/>
    <w:uiPriority w:val="21"/>
    <w:qFormat/>
    <w:rPr>
      <w:b/>
      <w:bCs/>
      <w:i/>
      <w:iCs/>
      <w:color w:val="4F81BD" w:themeColor="accent1"/>
    </w:rPr>
  </w:style>
  <w:style w:type="character" w:customStyle="1" w:styleId="16">
    <w:name w:val="不明显参考1"/>
    <w:basedOn w:val="a2"/>
    <w:uiPriority w:val="31"/>
    <w:qFormat/>
    <w:rPr>
      <w:smallCaps/>
      <w:color w:val="C0504D" w:themeColor="accent2"/>
      <w:u w:val="single"/>
    </w:rPr>
  </w:style>
  <w:style w:type="character" w:customStyle="1" w:styleId="17">
    <w:name w:val="明显参考1"/>
    <w:basedOn w:val="a2"/>
    <w:uiPriority w:val="32"/>
    <w:qFormat/>
    <w:rPr>
      <w:b/>
      <w:bCs/>
      <w:smallCaps/>
      <w:color w:val="C0504D" w:themeColor="accent2"/>
      <w:spacing w:val="5"/>
      <w:u w:val="single"/>
    </w:rPr>
  </w:style>
  <w:style w:type="character" w:customStyle="1" w:styleId="18">
    <w:name w:val="书籍标题1"/>
    <w:basedOn w:val="a2"/>
    <w:uiPriority w:val="33"/>
    <w:qFormat/>
    <w:rPr>
      <w:b/>
      <w:bCs/>
      <w:smallCaps/>
      <w:spacing w:val="5"/>
    </w:rPr>
  </w:style>
  <w:style w:type="paragraph" w:customStyle="1" w:styleId="TOC1">
    <w:name w:val="TOC 标题1"/>
    <w:basedOn w:val="1"/>
    <w:next w:val="a1"/>
    <w:uiPriority w:val="39"/>
    <w:semiHidden/>
    <w:unhideWhenUsed/>
    <w:qFormat/>
    <w:pPr>
      <w:outlineLvl w:val="9"/>
    </w:pPr>
  </w:style>
  <w:style w:type="character" w:customStyle="1" w:styleId="a9">
    <w:name w:val="批注文字 字符"/>
    <w:basedOn w:val="a2"/>
    <w:link w:val="a8"/>
    <w:uiPriority w:val="99"/>
    <w:qFormat/>
    <w:rPr>
      <w:rFonts w:ascii="Times New Roman" w:hAnsi="Times New Roman"/>
      <w:sz w:val="20"/>
      <w:szCs w:val="20"/>
    </w:rPr>
  </w:style>
  <w:style w:type="character" w:customStyle="1" w:styleId="af7">
    <w:name w:val="批注主题 字符"/>
    <w:basedOn w:val="a9"/>
    <w:link w:val="af6"/>
    <w:uiPriority w:val="99"/>
    <w:semiHidden/>
    <w:qFormat/>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1552</Words>
  <Characters>10668</Characters>
  <Application>Microsoft Office Word</Application>
  <DocSecurity>0</DocSecurity>
  <Lines>444</Lines>
  <Paragraphs>330</Paragraphs>
  <ScaleCrop>false</ScaleCrop>
  <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Microsoft</cp:lastModifiedBy>
  <cp:revision>4</cp:revision>
  <dcterms:created xsi:type="dcterms:W3CDTF">2013-12-23T23:15:00Z</dcterms:created>
  <dcterms:modified xsi:type="dcterms:W3CDTF">2026-05-29T02:36:00Z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75dce5df,32649bc1,23b4b777</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2026-05-21T22:38:40Z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b85df420-2089-4564-ae95-389cbc4679bf</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y fmtid="{D5CDD505-2E9C-101B-9397-08002B2CF9AE}" pid="13" name="KSOProductBuildVer">
    <vt:lpwstr>2052-12.1.0.26375</vt:lpwstr>
  </property>
  <property fmtid="{D5CDD505-2E9C-101B-9397-08002B2CF9AE}" pid="14" name="ICV">
    <vt:lpwstr>1247DAF28FB643CF88A54DF1E468AF81_13</vt:lpwstr>
  </property>
</Properties>
</file>