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065A" w14:textId="77777777" w:rsidR="00357E82" w:rsidRDefault="00357E82" w:rsidP="00357E82">
      <w:pPr>
        <w:spacing w:after="200"/>
      </w:pPr>
      <w:r>
        <w:rPr>
          <w:rFonts w:ascii="Times New Roman" w:eastAsia="Times New Roman" w:hAnsi="Times New Roman" w:cs="Times New Roman"/>
          <w:b/>
          <w:bCs/>
          <w:sz w:val="20"/>
          <w:szCs w:val="20"/>
        </w:rPr>
        <w:t xml:space="preserve">Supplementary Table S1. </w:t>
      </w:r>
      <w:r>
        <w:rPr>
          <w:rFonts w:ascii="Times New Roman" w:eastAsia="Times New Roman" w:hAnsi="Times New Roman" w:cs="Times New Roman"/>
          <w:sz w:val="20"/>
          <w:szCs w:val="20"/>
        </w:rPr>
        <w:t>Sensitivity analyses for the association between hypofibrinogenemia and major bleeding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12"/>
        <w:gridCol w:w="2995"/>
        <w:gridCol w:w="677"/>
        <w:gridCol w:w="1839"/>
        <w:gridCol w:w="1196"/>
        <w:gridCol w:w="941"/>
      </w:tblGrid>
      <w:tr w:rsidR="00357E82" w14:paraId="5A372ABB" w14:textId="77777777" w:rsidTr="00022AB3">
        <w:trPr>
          <w:tblHeader/>
        </w:trPr>
        <w:tc>
          <w:tcPr>
            <w:tcW w:w="1800" w:type="dxa"/>
            <w:tcBorders>
              <w:top w:val="single" w:sz="12"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2BA28523" w14:textId="77777777" w:rsidR="00357E82" w:rsidRDefault="00357E82" w:rsidP="00022AB3">
            <w:r>
              <w:rPr>
                <w:rFonts w:ascii="Times New Roman" w:eastAsia="Times New Roman" w:hAnsi="Times New Roman" w:cs="Times New Roman"/>
                <w:b/>
                <w:bCs/>
                <w:sz w:val="19"/>
                <w:szCs w:val="19"/>
              </w:rPr>
              <w:t>Model</w:t>
            </w:r>
          </w:p>
        </w:tc>
        <w:tc>
          <w:tcPr>
            <w:tcW w:w="3200" w:type="dxa"/>
            <w:tcBorders>
              <w:top w:val="single" w:sz="12"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14DA4C69" w14:textId="77777777" w:rsidR="00357E82" w:rsidRDefault="00357E82" w:rsidP="00022AB3">
            <w:pPr>
              <w:jc w:val="center"/>
            </w:pPr>
            <w:r>
              <w:rPr>
                <w:rFonts w:ascii="Times New Roman" w:eastAsia="Times New Roman" w:hAnsi="Times New Roman" w:cs="Times New Roman"/>
                <w:b/>
                <w:bCs/>
                <w:sz w:val="19"/>
                <w:szCs w:val="19"/>
              </w:rPr>
              <w:t>Covariates included</w:t>
            </w:r>
          </w:p>
        </w:tc>
        <w:tc>
          <w:tcPr>
            <w:tcW w:w="700" w:type="dxa"/>
            <w:tcBorders>
              <w:top w:val="single" w:sz="12"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15B21092" w14:textId="77777777" w:rsidR="00357E82" w:rsidRDefault="00357E82" w:rsidP="00022AB3">
            <w:pPr>
              <w:jc w:val="center"/>
            </w:pPr>
            <w:r>
              <w:rPr>
                <w:rFonts w:ascii="Times New Roman" w:eastAsia="Times New Roman" w:hAnsi="Times New Roman" w:cs="Times New Roman"/>
                <w:b/>
                <w:bCs/>
                <w:sz w:val="19"/>
                <w:szCs w:val="19"/>
              </w:rPr>
              <w:t>EPV</w:t>
            </w:r>
          </w:p>
        </w:tc>
        <w:tc>
          <w:tcPr>
            <w:tcW w:w="1360" w:type="dxa"/>
            <w:tcBorders>
              <w:top w:val="single" w:sz="12"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6B325BE5" w14:textId="77777777" w:rsidR="00357E82" w:rsidRDefault="00357E82" w:rsidP="00022AB3">
            <w:pPr>
              <w:jc w:val="center"/>
            </w:pPr>
            <w:r>
              <w:rPr>
                <w:rFonts w:ascii="Times New Roman" w:eastAsia="Times New Roman" w:hAnsi="Times New Roman" w:cs="Times New Roman"/>
                <w:b/>
                <w:bCs/>
                <w:sz w:val="19"/>
                <w:szCs w:val="19"/>
              </w:rPr>
              <w:t xml:space="preserve">Hypofibrinogenemia </w:t>
            </w:r>
            <w:proofErr w:type="spellStart"/>
            <w:r>
              <w:rPr>
                <w:rFonts w:ascii="Times New Roman" w:eastAsia="Times New Roman" w:hAnsi="Times New Roman" w:cs="Times New Roman"/>
                <w:b/>
                <w:bCs/>
                <w:sz w:val="19"/>
                <w:szCs w:val="19"/>
              </w:rPr>
              <w:t>aOR</w:t>
            </w:r>
            <w:proofErr w:type="spellEnd"/>
          </w:p>
        </w:tc>
        <w:tc>
          <w:tcPr>
            <w:tcW w:w="1300" w:type="dxa"/>
            <w:tcBorders>
              <w:top w:val="single" w:sz="12"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05FC5C80" w14:textId="77777777" w:rsidR="00357E82" w:rsidRDefault="00357E82" w:rsidP="00022AB3">
            <w:pPr>
              <w:jc w:val="center"/>
            </w:pPr>
            <w:r>
              <w:rPr>
                <w:rFonts w:ascii="Times New Roman" w:eastAsia="Times New Roman" w:hAnsi="Times New Roman" w:cs="Times New Roman"/>
                <w:b/>
                <w:bCs/>
                <w:sz w:val="19"/>
                <w:szCs w:val="19"/>
              </w:rPr>
              <w:t>95% CI</w:t>
            </w:r>
          </w:p>
        </w:tc>
        <w:tc>
          <w:tcPr>
            <w:tcW w:w="1000" w:type="dxa"/>
            <w:tcBorders>
              <w:top w:val="single" w:sz="12"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3D755B2A" w14:textId="77777777" w:rsidR="00357E82" w:rsidRDefault="00357E82" w:rsidP="00022AB3">
            <w:pPr>
              <w:jc w:val="center"/>
            </w:pPr>
            <w:r>
              <w:rPr>
                <w:rFonts w:ascii="Times New Roman" w:eastAsia="Times New Roman" w:hAnsi="Times New Roman" w:cs="Times New Roman"/>
                <w:b/>
                <w:bCs/>
                <w:sz w:val="19"/>
                <w:szCs w:val="19"/>
              </w:rPr>
              <w:t>p-value</w:t>
            </w:r>
          </w:p>
        </w:tc>
      </w:tr>
      <w:tr w:rsidR="00357E82" w14:paraId="33B00B46" w14:textId="77777777" w:rsidTr="00022AB3">
        <w:tc>
          <w:tcPr>
            <w:tcW w:w="180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116F24EC" w14:textId="77777777" w:rsidR="00357E82" w:rsidRDefault="00357E82" w:rsidP="00022AB3">
            <w:r>
              <w:rPr>
                <w:rFonts w:ascii="Times New Roman" w:eastAsia="Times New Roman" w:hAnsi="Times New Roman" w:cs="Times New Roman"/>
                <w:sz w:val="19"/>
                <w:szCs w:val="19"/>
              </w:rPr>
              <w:t>Original model</w:t>
            </w:r>
          </w:p>
        </w:tc>
        <w:tc>
          <w:tcPr>
            <w:tcW w:w="320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6FE8352B" w14:textId="77777777" w:rsidR="00357E82" w:rsidRDefault="00357E82" w:rsidP="00022AB3">
            <w:pPr>
              <w:jc w:val="center"/>
            </w:pPr>
            <w:r>
              <w:rPr>
                <w:rFonts w:ascii="Times New Roman" w:eastAsia="Times New Roman" w:hAnsi="Times New Roman" w:cs="Times New Roman"/>
                <w:sz w:val="19"/>
                <w:szCs w:val="19"/>
              </w:rPr>
              <w:t>Hypofibrinogenemia, ALT, BUN, hemodialysis, liver disease, antithrombotic therapy</w:t>
            </w:r>
          </w:p>
        </w:tc>
        <w:tc>
          <w:tcPr>
            <w:tcW w:w="70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3A4C9EBE" w14:textId="77777777" w:rsidR="00357E82" w:rsidRDefault="00357E82" w:rsidP="00022AB3">
            <w:pPr>
              <w:jc w:val="center"/>
            </w:pPr>
            <w:r>
              <w:rPr>
                <w:rFonts w:ascii="Times New Roman" w:eastAsia="Times New Roman" w:hAnsi="Times New Roman" w:cs="Times New Roman"/>
                <w:sz w:val="19"/>
                <w:szCs w:val="19"/>
              </w:rPr>
              <w:t>8.7</w:t>
            </w:r>
          </w:p>
        </w:tc>
        <w:tc>
          <w:tcPr>
            <w:tcW w:w="136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2872BD0F" w14:textId="77777777" w:rsidR="00357E82" w:rsidRDefault="00357E82" w:rsidP="00022AB3">
            <w:pPr>
              <w:jc w:val="center"/>
            </w:pPr>
            <w:r>
              <w:rPr>
                <w:rFonts w:ascii="Times New Roman" w:eastAsia="Times New Roman" w:hAnsi="Times New Roman" w:cs="Times New Roman"/>
                <w:b/>
                <w:bCs/>
                <w:sz w:val="19"/>
                <w:szCs w:val="19"/>
              </w:rPr>
              <w:t>2.25</w:t>
            </w:r>
          </w:p>
        </w:tc>
        <w:tc>
          <w:tcPr>
            <w:tcW w:w="130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54CBC0B7" w14:textId="77777777" w:rsidR="00357E82" w:rsidRDefault="00357E82" w:rsidP="00022AB3">
            <w:pPr>
              <w:jc w:val="center"/>
            </w:pPr>
            <w:r>
              <w:rPr>
                <w:rFonts w:ascii="Times New Roman" w:eastAsia="Times New Roman" w:hAnsi="Times New Roman" w:cs="Times New Roman"/>
                <w:sz w:val="19"/>
                <w:szCs w:val="19"/>
              </w:rPr>
              <w:t>1.14–4.44</w:t>
            </w:r>
          </w:p>
        </w:tc>
        <w:tc>
          <w:tcPr>
            <w:tcW w:w="100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27AD0546" w14:textId="77777777" w:rsidR="00357E82" w:rsidRDefault="00357E82" w:rsidP="00022AB3">
            <w:pPr>
              <w:jc w:val="center"/>
            </w:pPr>
            <w:r>
              <w:rPr>
                <w:rFonts w:ascii="Times New Roman" w:eastAsia="Times New Roman" w:hAnsi="Times New Roman" w:cs="Times New Roman"/>
                <w:sz w:val="19"/>
                <w:szCs w:val="19"/>
              </w:rPr>
              <w:t>0.020</w:t>
            </w:r>
          </w:p>
        </w:tc>
      </w:tr>
      <w:tr w:rsidR="00357E82" w14:paraId="2A9E5CD4" w14:textId="77777777" w:rsidTr="00022AB3">
        <w:tc>
          <w:tcPr>
            <w:tcW w:w="180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03AD42CB" w14:textId="77777777" w:rsidR="00357E82" w:rsidRDefault="00357E82" w:rsidP="00022AB3">
            <w:r>
              <w:rPr>
                <w:rFonts w:ascii="Times New Roman" w:eastAsia="Times New Roman" w:hAnsi="Times New Roman" w:cs="Times New Roman"/>
                <w:sz w:val="19"/>
                <w:szCs w:val="19"/>
              </w:rPr>
              <w:t>Parsimonious model</w:t>
            </w:r>
          </w:p>
        </w:tc>
        <w:tc>
          <w:tcPr>
            <w:tcW w:w="320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28E8085D" w14:textId="77777777" w:rsidR="00357E82" w:rsidRDefault="00357E82" w:rsidP="00022AB3">
            <w:pPr>
              <w:jc w:val="center"/>
            </w:pPr>
            <w:r>
              <w:rPr>
                <w:rFonts w:ascii="Times New Roman" w:eastAsia="Times New Roman" w:hAnsi="Times New Roman" w:cs="Times New Roman"/>
                <w:sz w:val="19"/>
                <w:szCs w:val="19"/>
              </w:rPr>
              <w:t>Hypofibrinogenemia, BUN, hemodialysis</w:t>
            </w:r>
          </w:p>
        </w:tc>
        <w:tc>
          <w:tcPr>
            <w:tcW w:w="70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6895AE7A" w14:textId="77777777" w:rsidR="00357E82" w:rsidRDefault="00357E82" w:rsidP="00022AB3">
            <w:pPr>
              <w:jc w:val="center"/>
            </w:pPr>
            <w:r>
              <w:rPr>
                <w:rFonts w:ascii="Times New Roman" w:eastAsia="Times New Roman" w:hAnsi="Times New Roman" w:cs="Times New Roman"/>
                <w:sz w:val="19"/>
                <w:szCs w:val="19"/>
              </w:rPr>
              <w:t>17.0</w:t>
            </w:r>
          </w:p>
        </w:tc>
        <w:tc>
          <w:tcPr>
            <w:tcW w:w="136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51535E3A" w14:textId="77777777" w:rsidR="00357E82" w:rsidRDefault="00357E82" w:rsidP="00022AB3">
            <w:pPr>
              <w:jc w:val="center"/>
            </w:pPr>
            <w:r>
              <w:rPr>
                <w:rFonts w:ascii="Times New Roman" w:eastAsia="Times New Roman" w:hAnsi="Times New Roman" w:cs="Times New Roman"/>
                <w:b/>
                <w:bCs/>
                <w:sz w:val="19"/>
                <w:szCs w:val="19"/>
              </w:rPr>
              <w:t>2.04</w:t>
            </w:r>
          </w:p>
        </w:tc>
        <w:tc>
          <w:tcPr>
            <w:tcW w:w="130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0652C418" w14:textId="77777777" w:rsidR="00357E82" w:rsidRDefault="00357E82" w:rsidP="00022AB3">
            <w:pPr>
              <w:jc w:val="center"/>
            </w:pPr>
            <w:r>
              <w:rPr>
                <w:rFonts w:ascii="Times New Roman" w:eastAsia="Times New Roman" w:hAnsi="Times New Roman" w:cs="Times New Roman"/>
                <w:sz w:val="19"/>
                <w:szCs w:val="19"/>
              </w:rPr>
              <w:t>1.06–3.93</w:t>
            </w:r>
          </w:p>
        </w:tc>
        <w:tc>
          <w:tcPr>
            <w:tcW w:w="1000" w:type="dxa"/>
            <w:tcBorders>
              <w:top w:val="single" w:sz="4" w:space="0" w:color="000000"/>
              <w:left w:val="none" w:sz="0" w:space="0" w:color="FFFFFF"/>
              <w:bottom w:val="single" w:sz="4" w:space="0" w:color="000000"/>
              <w:right w:val="none" w:sz="0" w:space="0" w:color="FFFFFF"/>
            </w:tcBorders>
            <w:tcMar>
              <w:top w:w="80" w:type="dxa"/>
              <w:left w:w="80" w:type="dxa"/>
              <w:bottom w:w="80" w:type="dxa"/>
              <w:right w:w="80" w:type="dxa"/>
            </w:tcMar>
            <w:vAlign w:val="center"/>
          </w:tcPr>
          <w:p w14:paraId="30398B36" w14:textId="77777777" w:rsidR="00357E82" w:rsidRDefault="00357E82" w:rsidP="00022AB3">
            <w:pPr>
              <w:jc w:val="center"/>
            </w:pPr>
            <w:r>
              <w:rPr>
                <w:rFonts w:ascii="Times New Roman" w:eastAsia="Times New Roman" w:hAnsi="Times New Roman" w:cs="Times New Roman"/>
                <w:sz w:val="19"/>
                <w:szCs w:val="19"/>
              </w:rPr>
              <w:t>0.034</w:t>
            </w:r>
          </w:p>
        </w:tc>
      </w:tr>
      <w:tr w:rsidR="00357E82" w14:paraId="63188826" w14:textId="77777777" w:rsidTr="00022AB3">
        <w:tc>
          <w:tcPr>
            <w:tcW w:w="1800" w:type="dxa"/>
            <w:tcBorders>
              <w:top w:val="single" w:sz="4"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185BEC10" w14:textId="77777777" w:rsidR="00357E82" w:rsidRDefault="00357E82" w:rsidP="00022AB3">
            <w:r>
              <w:rPr>
                <w:rFonts w:ascii="Times New Roman" w:eastAsia="Times New Roman" w:hAnsi="Times New Roman" w:cs="Times New Roman"/>
                <w:sz w:val="19"/>
                <w:szCs w:val="19"/>
              </w:rPr>
              <w:t>Clinically informed model</w:t>
            </w:r>
          </w:p>
        </w:tc>
        <w:tc>
          <w:tcPr>
            <w:tcW w:w="3200" w:type="dxa"/>
            <w:tcBorders>
              <w:top w:val="single" w:sz="4"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197BDA63" w14:textId="77777777" w:rsidR="00357E82" w:rsidRDefault="00357E82" w:rsidP="00022AB3">
            <w:pPr>
              <w:jc w:val="center"/>
            </w:pPr>
            <w:r>
              <w:rPr>
                <w:rFonts w:ascii="Times New Roman" w:eastAsia="Times New Roman" w:hAnsi="Times New Roman" w:cs="Times New Roman"/>
                <w:sz w:val="19"/>
                <w:szCs w:val="19"/>
              </w:rPr>
              <w:t>Hypofibrinogenemia, BUN, hemodialysis, antithrombotic therapy*, ICU admission*</w:t>
            </w:r>
          </w:p>
        </w:tc>
        <w:tc>
          <w:tcPr>
            <w:tcW w:w="700" w:type="dxa"/>
            <w:tcBorders>
              <w:top w:val="single" w:sz="4"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3F75C0C3" w14:textId="77777777" w:rsidR="00357E82" w:rsidRDefault="00357E82" w:rsidP="00022AB3">
            <w:pPr>
              <w:jc w:val="center"/>
            </w:pPr>
            <w:r>
              <w:rPr>
                <w:rFonts w:ascii="Times New Roman" w:eastAsia="Times New Roman" w:hAnsi="Times New Roman" w:cs="Times New Roman"/>
                <w:sz w:val="19"/>
                <w:szCs w:val="19"/>
              </w:rPr>
              <w:t>10.4</w:t>
            </w:r>
          </w:p>
        </w:tc>
        <w:tc>
          <w:tcPr>
            <w:tcW w:w="1360" w:type="dxa"/>
            <w:tcBorders>
              <w:top w:val="single" w:sz="4"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2370C68B" w14:textId="77777777" w:rsidR="00357E82" w:rsidRDefault="00357E82" w:rsidP="00022AB3">
            <w:pPr>
              <w:jc w:val="center"/>
            </w:pPr>
            <w:r>
              <w:rPr>
                <w:rFonts w:ascii="Times New Roman" w:eastAsia="Times New Roman" w:hAnsi="Times New Roman" w:cs="Times New Roman"/>
                <w:b/>
                <w:bCs/>
                <w:sz w:val="19"/>
                <w:szCs w:val="19"/>
              </w:rPr>
              <w:t>2.01</w:t>
            </w:r>
          </w:p>
        </w:tc>
        <w:tc>
          <w:tcPr>
            <w:tcW w:w="1300" w:type="dxa"/>
            <w:tcBorders>
              <w:top w:val="single" w:sz="4"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387D83D6" w14:textId="77777777" w:rsidR="00357E82" w:rsidRDefault="00357E82" w:rsidP="00022AB3">
            <w:pPr>
              <w:jc w:val="center"/>
            </w:pPr>
            <w:r>
              <w:rPr>
                <w:rFonts w:ascii="Times New Roman" w:eastAsia="Times New Roman" w:hAnsi="Times New Roman" w:cs="Times New Roman"/>
                <w:sz w:val="19"/>
                <w:szCs w:val="19"/>
              </w:rPr>
              <w:t>1.03–3.92</w:t>
            </w:r>
          </w:p>
        </w:tc>
        <w:tc>
          <w:tcPr>
            <w:tcW w:w="1000" w:type="dxa"/>
            <w:tcBorders>
              <w:top w:val="single" w:sz="4" w:space="0" w:color="000000"/>
              <w:left w:val="none" w:sz="0" w:space="0" w:color="FFFFFF"/>
              <w:bottom w:val="single" w:sz="12" w:space="0" w:color="000000"/>
              <w:right w:val="none" w:sz="0" w:space="0" w:color="FFFFFF"/>
            </w:tcBorders>
            <w:tcMar>
              <w:top w:w="80" w:type="dxa"/>
              <w:left w:w="80" w:type="dxa"/>
              <w:bottom w:w="80" w:type="dxa"/>
              <w:right w:w="80" w:type="dxa"/>
            </w:tcMar>
            <w:vAlign w:val="center"/>
          </w:tcPr>
          <w:p w14:paraId="42376B34" w14:textId="77777777" w:rsidR="00357E82" w:rsidRDefault="00357E82" w:rsidP="00022AB3">
            <w:pPr>
              <w:jc w:val="center"/>
            </w:pPr>
            <w:r>
              <w:rPr>
                <w:rFonts w:ascii="Times New Roman" w:eastAsia="Times New Roman" w:hAnsi="Times New Roman" w:cs="Times New Roman"/>
                <w:sz w:val="19"/>
                <w:szCs w:val="19"/>
              </w:rPr>
              <w:t>0.040</w:t>
            </w:r>
          </w:p>
        </w:tc>
      </w:tr>
    </w:tbl>
    <w:p w14:paraId="3F2C06FA" w14:textId="77777777" w:rsidR="00357E82" w:rsidRDefault="00357E82" w:rsidP="00357E82">
      <w:pPr>
        <w:spacing w:before="80"/>
      </w:pPr>
    </w:p>
    <w:p w14:paraId="3327F688" w14:textId="77777777" w:rsidR="00590825" w:rsidRPr="00590825" w:rsidRDefault="00590825" w:rsidP="00357E82">
      <w:pPr>
        <w:spacing w:before="60"/>
        <w:rPr>
          <w:rFonts w:ascii="Times New Roman" w:eastAsia="Times New Roman" w:hAnsi="Times New Roman" w:cs="Times New Roman"/>
          <w:sz w:val="17"/>
          <w:szCs w:val="17"/>
        </w:rPr>
      </w:pPr>
      <w:r w:rsidRPr="00590825">
        <w:rPr>
          <w:rFonts w:ascii="Times New Roman" w:eastAsia="Times New Roman" w:hAnsi="Times New Roman" w:cs="Times New Roman"/>
          <w:sz w:val="17"/>
          <w:szCs w:val="17"/>
        </w:rPr>
        <w:t>Bold values indicate the adjusted odds ratios (</w:t>
      </w:r>
      <w:proofErr w:type="spellStart"/>
      <w:r w:rsidRPr="00590825">
        <w:rPr>
          <w:rFonts w:ascii="Times New Roman" w:eastAsia="Times New Roman" w:hAnsi="Times New Roman" w:cs="Times New Roman"/>
          <w:sz w:val="17"/>
          <w:szCs w:val="17"/>
        </w:rPr>
        <w:t>aORs</w:t>
      </w:r>
      <w:proofErr w:type="spellEnd"/>
      <w:r w:rsidRPr="00590825">
        <w:rPr>
          <w:rFonts w:ascii="Times New Roman" w:eastAsia="Times New Roman" w:hAnsi="Times New Roman" w:cs="Times New Roman"/>
          <w:sz w:val="17"/>
          <w:szCs w:val="17"/>
        </w:rPr>
        <w:t>) for the primary exposure (hypofibrinogenemia) across all three models.</w:t>
      </w:r>
    </w:p>
    <w:p w14:paraId="17147140" w14:textId="1F298B3C" w:rsidR="00357E82" w:rsidRDefault="00590825" w:rsidP="00357E82">
      <w:pPr>
        <w:spacing w:before="60"/>
      </w:pPr>
      <w:r w:rsidRPr="00590825">
        <w:rPr>
          <w:rFonts w:ascii="Times New Roman" w:eastAsia="Times New Roman" w:hAnsi="Times New Roman" w:cs="Times New Roman"/>
          <w:sz w:val="17"/>
          <w:szCs w:val="17"/>
        </w:rPr>
        <w:t>*Antithrombotic therapy and ICU admission were forced into the clinically informed model</w:t>
      </w:r>
      <w:r w:rsidR="00357E82">
        <w:rPr>
          <w:rFonts w:ascii="Times New Roman" w:eastAsia="Times New Roman" w:hAnsi="Times New Roman" w:cs="Times New Roman"/>
          <w:sz w:val="17"/>
          <w:szCs w:val="17"/>
        </w:rPr>
        <w:t xml:space="preserve"> regardless of univariate p-value to address potential omitted-variable bias.</w:t>
      </w:r>
    </w:p>
    <w:p w14:paraId="06496238" w14:textId="77777777" w:rsidR="00357E82" w:rsidRDefault="00357E82" w:rsidP="00357E82">
      <w:pPr>
        <w:spacing w:before="60"/>
      </w:pPr>
      <w:r>
        <w:rPr>
          <w:rFonts w:ascii="Times New Roman" w:eastAsia="Times New Roman" w:hAnsi="Times New Roman" w:cs="Times New Roman"/>
          <w:b/>
          <w:bCs/>
          <w:sz w:val="17"/>
          <w:szCs w:val="17"/>
        </w:rPr>
        <w:t xml:space="preserve">Abbreviations: </w:t>
      </w:r>
      <w:proofErr w:type="spellStart"/>
      <w:r>
        <w:rPr>
          <w:rFonts w:ascii="Times New Roman" w:eastAsia="Times New Roman" w:hAnsi="Times New Roman" w:cs="Times New Roman"/>
          <w:sz w:val="17"/>
          <w:szCs w:val="17"/>
        </w:rPr>
        <w:t>aOR</w:t>
      </w:r>
      <w:proofErr w:type="spellEnd"/>
      <w:r>
        <w:rPr>
          <w:rFonts w:ascii="Times New Roman" w:eastAsia="Times New Roman" w:hAnsi="Times New Roman" w:cs="Times New Roman"/>
          <w:sz w:val="17"/>
          <w:szCs w:val="17"/>
        </w:rPr>
        <w:t>, adjusted odds ratio; CI, confidence interval; EPV, events per variable; ICU, intensive care unit.</w:t>
      </w:r>
    </w:p>
    <w:p w14:paraId="4849BA23" w14:textId="77777777" w:rsidR="00357E82" w:rsidRDefault="00357E82" w:rsidP="00357E82">
      <w:pPr>
        <w:spacing w:before="60"/>
      </w:pPr>
      <w:r>
        <w:rPr>
          <w:rFonts w:ascii="Times New Roman" w:eastAsia="Times New Roman" w:hAnsi="Times New Roman" w:cs="Times New Roman"/>
          <w:sz w:val="17"/>
          <w:szCs w:val="17"/>
        </w:rPr>
        <w:t>The outcome variable was major bleeding (52 events among 231 patients). Adjusted odds ratios and 95% confidence intervals are shown for hypofibrinogenemia as the primary exposure of interest across all models. The parsimonious model (EPV 17.0) and clinically informed model (EPV 10.4) were constructed to assess the robustness of the association and to address concerns regarding limited EPV in the original model (EPV 8.7).</w:t>
      </w:r>
    </w:p>
    <w:p w14:paraId="663592B1" w14:textId="77777777" w:rsidR="00C81602" w:rsidRPr="00357E82" w:rsidRDefault="00C81602"/>
    <w:sectPr w:rsidR="00C81602" w:rsidRPr="00357E8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E44F" w14:textId="77777777" w:rsidR="007064DA" w:rsidRDefault="007064DA" w:rsidP="00C359E7">
      <w:r>
        <w:separator/>
      </w:r>
    </w:p>
  </w:endnote>
  <w:endnote w:type="continuationSeparator" w:id="0">
    <w:p w14:paraId="0A44A5A4" w14:textId="77777777" w:rsidR="007064DA" w:rsidRDefault="007064DA" w:rsidP="00C3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D3C8" w14:textId="77777777" w:rsidR="00590825" w:rsidRDefault="0059082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9F1A" w14:textId="77777777" w:rsidR="00590825" w:rsidRDefault="0059082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2F42" w14:textId="77777777" w:rsidR="00590825" w:rsidRDefault="005908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81CE" w14:textId="77777777" w:rsidR="007064DA" w:rsidRDefault="007064DA" w:rsidP="00C359E7">
      <w:r>
        <w:separator/>
      </w:r>
    </w:p>
  </w:footnote>
  <w:footnote w:type="continuationSeparator" w:id="0">
    <w:p w14:paraId="475293F0" w14:textId="77777777" w:rsidR="007064DA" w:rsidRDefault="007064DA" w:rsidP="00C35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FFE0" w14:textId="77777777" w:rsidR="00590825" w:rsidRDefault="0059082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6A0D" w14:textId="77777777" w:rsidR="00590825" w:rsidRDefault="0059082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599C" w14:textId="77777777" w:rsidR="00590825" w:rsidRDefault="00590825">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82"/>
    <w:rsid w:val="000D3269"/>
    <w:rsid w:val="0010209D"/>
    <w:rsid w:val="00357E82"/>
    <w:rsid w:val="00590825"/>
    <w:rsid w:val="007064DA"/>
    <w:rsid w:val="00C359E7"/>
    <w:rsid w:val="00C81602"/>
    <w:rsid w:val="00D760CB"/>
    <w:rsid w:val="00DA01DE"/>
    <w:rsid w:val="00FD45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ABE12"/>
  <w15:chartTrackingRefBased/>
  <w15:docId w15:val="{7709A4A7-E058-4C7B-BBCC-E3662901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E82"/>
    <w:pPr>
      <w:widowControl w:val="0"/>
      <w:spacing w:after="0" w:line="240" w:lineRule="auto"/>
    </w:pPr>
    <w:rPr>
      <w:szCs w:val="22"/>
      <w14:ligatures w14:val="none"/>
    </w:rPr>
  </w:style>
  <w:style w:type="paragraph" w:styleId="1">
    <w:name w:val="heading 1"/>
    <w:basedOn w:val="a"/>
    <w:next w:val="a"/>
    <w:link w:val="10"/>
    <w:uiPriority w:val="9"/>
    <w:qFormat/>
    <w:rsid w:val="00357E82"/>
    <w:pPr>
      <w:keepNext/>
      <w:keepLines/>
      <w:spacing w:before="480" w:after="80" w:line="278" w:lineRule="auto"/>
      <w:outlineLvl w:val="0"/>
    </w:pPr>
    <w:rPr>
      <w:rFonts w:asciiTheme="majorHAnsi" w:eastAsiaTheme="majorEastAsia" w:hAnsiTheme="majorHAnsi" w:cstheme="majorBidi"/>
      <w:color w:val="2E74B5" w:themeColor="accent1" w:themeShade="BF"/>
      <w:sz w:val="48"/>
      <w:szCs w:val="48"/>
      <w14:ligatures w14:val="standardContextual"/>
    </w:rPr>
  </w:style>
  <w:style w:type="paragraph" w:styleId="2">
    <w:name w:val="heading 2"/>
    <w:basedOn w:val="a"/>
    <w:next w:val="a"/>
    <w:link w:val="20"/>
    <w:uiPriority w:val="9"/>
    <w:semiHidden/>
    <w:unhideWhenUsed/>
    <w:qFormat/>
    <w:rsid w:val="00357E82"/>
    <w:pPr>
      <w:keepNext/>
      <w:keepLines/>
      <w:spacing w:before="160" w:after="80" w:line="278" w:lineRule="auto"/>
      <w:outlineLvl w:val="1"/>
    </w:pPr>
    <w:rPr>
      <w:rFonts w:asciiTheme="majorHAnsi" w:eastAsiaTheme="majorEastAsia" w:hAnsiTheme="majorHAnsi" w:cstheme="majorBidi"/>
      <w:color w:val="2E74B5" w:themeColor="accent1" w:themeShade="BF"/>
      <w:sz w:val="40"/>
      <w:szCs w:val="40"/>
      <w14:ligatures w14:val="standardContextual"/>
    </w:rPr>
  </w:style>
  <w:style w:type="paragraph" w:styleId="3">
    <w:name w:val="heading 3"/>
    <w:basedOn w:val="a"/>
    <w:next w:val="a"/>
    <w:link w:val="30"/>
    <w:uiPriority w:val="9"/>
    <w:semiHidden/>
    <w:unhideWhenUsed/>
    <w:qFormat/>
    <w:rsid w:val="00357E82"/>
    <w:pPr>
      <w:keepNext/>
      <w:keepLines/>
      <w:spacing w:before="160" w:after="40" w:line="278" w:lineRule="auto"/>
      <w:outlineLvl w:val="2"/>
    </w:pPr>
    <w:rPr>
      <w:rFonts w:eastAsiaTheme="majorEastAsia" w:cstheme="majorBidi"/>
      <w:color w:val="2E74B5" w:themeColor="accent1" w:themeShade="BF"/>
      <w:sz w:val="32"/>
      <w:szCs w:val="32"/>
      <w14:ligatures w14:val="standardContextual"/>
    </w:rPr>
  </w:style>
  <w:style w:type="paragraph" w:styleId="4">
    <w:name w:val="heading 4"/>
    <w:basedOn w:val="a"/>
    <w:next w:val="a"/>
    <w:link w:val="40"/>
    <w:uiPriority w:val="9"/>
    <w:semiHidden/>
    <w:unhideWhenUsed/>
    <w:qFormat/>
    <w:rsid w:val="00357E82"/>
    <w:pPr>
      <w:keepNext/>
      <w:keepLines/>
      <w:spacing w:before="160" w:after="40" w:line="278" w:lineRule="auto"/>
      <w:outlineLvl w:val="3"/>
    </w:pPr>
    <w:rPr>
      <w:rFonts w:eastAsiaTheme="majorEastAsia" w:cstheme="majorBidi"/>
      <w:color w:val="2E74B5" w:themeColor="accent1" w:themeShade="BF"/>
      <w:sz w:val="28"/>
      <w:szCs w:val="28"/>
      <w14:ligatures w14:val="standardContextual"/>
    </w:rPr>
  </w:style>
  <w:style w:type="paragraph" w:styleId="5">
    <w:name w:val="heading 5"/>
    <w:basedOn w:val="a"/>
    <w:next w:val="a"/>
    <w:link w:val="50"/>
    <w:uiPriority w:val="9"/>
    <w:semiHidden/>
    <w:unhideWhenUsed/>
    <w:qFormat/>
    <w:rsid w:val="00357E82"/>
    <w:pPr>
      <w:keepNext/>
      <w:keepLines/>
      <w:spacing w:before="80" w:after="40" w:line="278" w:lineRule="auto"/>
      <w:outlineLvl w:val="4"/>
    </w:pPr>
    <w:rPr>
      <w:rFonts w:eastAsiaTheme="majorEastAsia" w:cstheme="majorBidi"/>
      <w:color w:val="2E74B5" w:themeColor="accent1" w:themeShade="BF"/>
      <w:szCs w:val="24"/>
      <w14:ligatures w14:val="standardContextual"/>
    </w:rPr>
  </w:style>
  <w:style w:type="paragraph" w:styleId="6">
    <w:name w:val="heading 6"/>
    <w:basedOn w:val="a"/>
    <w:next w:val="a"/>
    <w:link w:val="60"/>
    <w:uiPriority w:val="9"/>
    <w:semiHidden/>
    <w:unhideWhenUsed/>
    <w:qFormat/>
    <w:rsid w:val="00357E82"/>
    <w:pPr>
      <w:keepNext/>
      <w:keepLines/>
      <w:spacing w:before="40" w:line="278" w:lineRule="auto"/>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357E82"/>
    <w:pPr>
      <w:keepNext/>
      <w:keepLines/>
      <w:spacing w:before="40" w:line="278" w:lineRule="auto"/>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357E82"/>
    <w:pPr>
      <w:keepNext/>
      <w:keepLines/>
      <w:spacing w:before="40" w:line="278" w:lineRule="auto"/>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357E82"/>
    <w:pPr>
      <w:keepNext/>
      <w:keepLines/>
      <w:spacing w:before="40" w:line="278" w:lineRule="auto"/>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57E82"/>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357E82"/>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357E82"/>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357E82"/>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357E82"/>
    <w:rPr>
      <w:rFonts w:eastAsiaTheme="majorEastAsia" w:cstheme="majorBidi"/>
      <w:color w:val="2E74B5" w:themeColor="accent1" w:themeShade="BF"/>
    </w:rPr>
  </w:style>
  <w:style w:type="character" w:customStyle="1" w:styleId="60">
    <w:name w:val="標題 6 字元"/>
    <w:basedOn w:val="a0"/>
    <w:link w:val="6"/>
    <w:uiPriority w:val="9"/>
    <w:semiHidden/>
    <w:rsid w:val="00357E82"/>
    <w:rPr>
      <w:rFonts w:eastAsiaTheme="majorEastAsia" w:cstheme="majorBidi"/>
      <w:color w:val="595959" w:themeColor="text1" w:themeTint="A6"/>
    </w:rPr>
  </w:style>
  <w:style w:type="character" w:customStyle="1" w:styleId="70">
    <w:name w:val="標題 7 字元"/>
    <w:basedOn w:val="a0"/>
    <w:link w:val="7"/>
    <w:uiPriority w:val="9"/>
    <w:semiHidden/>
    <w:rsid w:val="00357E82"/>
    <w:rPr>
      <w:rFonts w:eastAsiaTheme="majorEastAsia" w:cstheme="majorBidi"/>
      <w:color w:val="595959" w:themeColor="text1" w:themeTint="A6"/>
    </w:rPr>
  </w:style>
  <w:style w:type="character" w:customStyle="1" w:styleId="80">
    <w:name w:val="標題 8 字元"/>
    <w:basedOn w:val="a0"/>
    <w:link w:val="8"/>
    <w:uiPriority w:val="9"/>
    <w:semiHidden/>
    <w:rsid w:val="00357E82"/>
    <w:rPr>
      <w:rFonts w:eastAsiaTheme="majorEastAsia" w:cstheme="majorBidi"/>
      <w:color w:val="272727" w:themeColor="text1" w:themeTint="D8"/>
    </w:rPr>
  </w:style>
  <w:style w:type="character" w:customStyle="1" w:styleId="90">
    <w:name w:val="標題 9 字元"/>
    <w:basedOn w:val="a0"/>
    <w:link w:val="9"/>
    <w:uiPriority w:val="9"/>
    <w:semiHidden/>
    <w:rsid w:val="00357E82"/>
    <w:rPr>
      <w:rFonts w:eastAsiaTheme="majorEastAsia" w:cstheme="majorBidi"/>
      <w:color w:val="272727" w:themeColor="text1" w:themeTint="D8"/>
    </w:rPr>
  </w:style>
  <w:style w:type="paragraph" w:styleId="a3">
    <w:name w:val="Title"/>
    <w:basedOn w:val="a"/>
    <w:next w:val="a"/>
    <w:link w:val="a4"/>
    <w:uiPriority w:val="10"/>
    <w:qFormat/>
    <w:rsid w:val="00357E8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357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E82"/>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357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E82"/>
    <w:pPr>
      <w:spacing w:before="160" w:after="160" w:line="278" w:lineRule="auto"/>
      <w:jc w:val="center"/>
    </w:pPr>
    <w:rPr>
      <w:i/>
      <w:iCs/>
      <w:color w:val="404040" w:themeColor="text1" w:themeTint="BF"/>
      <w:szCs w:val="24"/>
      <w14:ligatures w14:val="standardContextual"/>
    </w:rPr>
  </w:style>
  <w:style w:type="character" w:customStyle="1" w:styleId="a8">
    <w:name w:val="引文 字元"/>
    <w:basedOn w:val="a0"/>
    <w:link w:val="a7"/>
    <w:uiPriority w:val="29"/>
    <w:rsid w:val="00357E82"/>
    <w:rPr>
      <w:i/>
      <w:iCs/>
      <w:color w:val="404040" w:themeColor="text1" w:themeTint="BF"/>
    </w:rPr>
  </w:style>
  <w:style w:type="paragraph" w:styleId="a9">
    <w:name w:val="List Paragraph"/>
    <w:basedOn w:val="a"/>
    <w:uiPriority w:val="34"/>
    <w:qFormat/>
    <w:rsid w:val="00357E82"/>
    <w:pPr>
      <w:spacing w:after="160" w:line="278" w:lineRule="auto"/>
      <w:ind w:left="720"/>
      <w:contextualSpacing/>
    </w:pPr>
    <w:rPr>
      <w:szCs w:val="24"/>
      <w14:ligatures w14:val="standardContextual"/>
    </w:rPr>
  </w:style>
  <w:style w:type="character" w:styleId="aa">
    <w:name w:val="Intense Emphasis"/>
    <w:basedOn w:val="a0"/>
    <w:uiPriority w:val="21"/>
    <w:qFormat/>
    <w:rsid w:val="00357E82"/>
    <w:rPr>
      <w:i/>
      <w:iCs/>
      <w:color w:val="2E74B5" w:themeColor="accent1" w:themeShade="BF"/>
    </w:rPr>
  </w:style>
  <w:style w:type="paragraph" w:styleId="ab">
    <w:name w:val="Intense Quote"/>
    <w:basedOn w:val="a"/>
    <w:next w:val="a"/>
    <w:link w:val="ac"/>
    <w:uiPriority w:val="30"/>
    <w:qFormat/>
    <w:rsid w:val="00357E82"/>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szCs w:val="24"/>
      <w14:ligatures w14:val="standardContextual"/>
    </w:rPr>
  </w:style>
  <w:style w:type="character" w:customStyle="1" w:styleId="ac">
    <w:name w:val="鮮明引文 字元"/>
    <w:basedOn w:val="a0"/>
    <w:link w:val="ab"/>
    <w:uiPriority w:val="30"/>
    <w:rsid w:val="00357E82"/>
    <w:rPr>
      <w:i/>
      <w:iCs/>
      <w:color w:val="2E74B5" w:themeColor="accent1" w:themeShade="BF"/>
    </w:rPr>
  </w:style>
  <w:style w:type="character" w:styleId="ad">
    <w:name w:val="Intense Reference"/>
    <w:basedOn w:val="a0"/>
    <w:uiPriority w:val="32"/>
    <w:qFormat/>
    <w:rsid w:val="00357E82"/>
    <w:rPr>
      <w:b/>
      <w:bCs/>
      <w:smallCaps/>
      <w:color w:val="2E74B5" w:themeColor="accent1" w:themeShade="BF"/>
      <w:spacing w:val="5"/>
    </w:rPr>
  </w:style>
  <w:style w:type="paragraph" w:styleId="ae">
    <w:name w:val="header"/>
    <w:basedOn w:val="a"/>
    <w:link w:val="af"/>
    <w:uiPriority w:val="99"/>
    <w:unhideWhenUsed/>
    <w:rsid w:val="00C359E7"/>
    <w:pPr>
      <w:tabs>
        <w:tab w:val="center" w:pos="4153"/>
        <w:tab w:val="right" w:pos="8306"/>
      </w:tabs>
      <w:snapToGrid w:val="0"/>
    </w:pPr>
    <w:rPr>
      <w:sz w:val="20"/>
      <w:szCs w:val="20"/>
    </w:rPr>
  </w:style>
  <w:style w:type="character" w:customStyle="1" w:styleId="af">
    <w:name w:val="頁首 字元"/>
    <w:basedOn w:val="a0"/>
    <w:link w:val="ae"/>
    <w:uiPriority w:val="99"/>
    <w:rsid w:val="00C359E7"/>
    <w:rPr>
      <w:sz w:val="20"/>
      <w:szCs w:val="20"/>
      <w14:ligatures w14:val="none"/>
    </w:rPr>
  </w:style>
  <w:style w:type="paragraph" w:styleId="af0">
    <w:name w:val="footer"/>
    <w:basedOn w:val="a"/>
    <w:link w:val="af1"/>
    <w:uiPriority w:val="99"/>
    <w:unhideWhenUsed/>
    <w:rsid w:val="00C359E7"/>
    <w:pPr>
      <w:tabs>
        <w:tab w:val="center" w:pos="4153"/>
        <w:tab w:val="right" w:pos="8306"/>
      </w:tabs>
      <w:snapToGrid w:val="0"/>
    </w:pPr>
    <w:rPr>
      <w:sz w:val="20"/>
      <w:szCs w:val="20"/>
    </w:rPr>
  </w:style>
  <w:style w:type="character" w:customStyle="1" w:styleId="af1">
    <w:name w:val="頁尾 字元"/>
    <w:basedOn w:val="a0"/>
    <w:link w:val="af0"/>
    <w:uiPriority w:val="99"/>
    <w:rsid w:val="00C359E7"/>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CA951B-A6A7-4C18-814D-626F1898E204}">
  <we:reference id="WA200010453" version="1.0.0.1" store="Omex" storeType="OMEX"/>
  <we:alternateReferences>
    <we:reference id="WA200010453" version="1.0.0.1" store="WA200010453" storeType="OMEX"/>
  </we:alternateReferences>
  <we:properties>
    <we:property name="claude.fileId" value="&quot;aac44a75-6c89-4455-99e6-4d27f25a1d04&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1173</Characters>
  <Application>Microsoft Office Word</Application>
  <DocSecurity>0</DocSecurity>
  <Lines>32</Lines>
  <Paragraphs>18</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曾郁茹-總院-藥劑部</dc:creator>
  <cp:keywords/>
  <dc:description/>
  <cp:lastModifiedBy>黃玉婷-總院-藥劑部</cp:lastModifiedBy>
  <cp:revision>5</cp:revision>
  <dcterms:created xsi:type="dcterms:W3CDTF">2026-05-18T06:05:00Z</dcterms:created>
  <dcterms:modified xsi:type="dcterms:W3CDTF">2026-05-23T08:53:00Z</dcterms:modified>
</cp:coreProperties>
</file>