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2CFE0" w14:textId="2B9E5C4D" w:rsidR="007342F8" w:rsidRDefault="006B7C19">
      <w:pPr>
        <w:spacing w:line="360" w:lineRule="auto"/>
        <w:jc w:val="left"/>
        <w:rPr>
          <w:rFonts w:ascii="Times New Roman" w:eastAsia="SimSun" w:hAnsi="Times New Roman" w:cs="SimSun"/>
          <w:sz w:val="24"/>
        </w:rPr>
      </w:pPr>
      <w:r>
        <w:rPr>
          <w:rFonts w:ascii="Times New Roman" w:eastAsia="SimSun" w:hAnsi="Times New Roman" w:cs="SimSun"/>
          <w:sz w:val="24"/>
        </w:rPr>
        <w:t xml:space="preserve">Appendix </w:t>
      </w:r>
      <w:r>
        <w:rPr>
          <w:rFonts w:ascii="Times New Roman" w:eastAsia="SimSun" w:hAnsi="Times New Roman" w:cs="SimSun" w:hint="eastAsia"/>
          <w:sz w:val="24"/>
        </w:rPr>
        <w:t>S1</w:t>
      </w:r>
    </w:p>
    <w:p w14:paraId="1F9FD175" w14:textId="77777777" w:rsidR="007342F8" w:rsidRDefault="006B7C19">
      <w:pPr>
        <w:spacing w:line="360" w:lineRule="auto"/>
        <w:jc w:val="left"/>
        <w:rPr>
          <w:rFonts w:ascii="Times New Roman" w:eastAsia="SimSun" w:hAnsi="Times New Roman" w:cs="SimSun"/>
          <w:sz w:val="24"/>
        </w:rPr>
      </w:pPr>
      <w:r>
        <w:rPr>
          <w:rFonts w:ascii="Times New Roman" w:eastAsia="SimSun" w:hAnsi="Times New Roman" w:cs="SimSun" w:hint="eastAsia"/>
          <w:sz w:val="24"/>
        </w:rPr>
        <w:t>Molecular Docking Methodology</w:t>
      </w:r>
    </w:p>
    <w:p w14:paraId="354CF266"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S1.1 Protein st</w:t>
      </w:r>
      <w:bookmarkStart w:id="0" w:name="_GoBack"/>
      <w:bookmarkEnd w:id="0"/>
      <w:r>
        <w:rPr>
          <w:rFonts w:ascii="Times New Roman" w:eastAsia="SimSun" w:hAnsi="Times New Roman" w:cs="SimSun" w:hint="eastAsia"/>
          <w:sz w:val="24"/>
        </w:rPr>
        <w:t>ructure preparation</w:t>
      </w:r>
    </w:p>
    <w:p w14:paraId="2B4AC2C2"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The full-length sequence of the human BICC1 protein (UniProt ID: Q9H694), containing three KH domains (KH1, KH2, and KH3), was used in this study. Since the primary binding interface of the ligands is located in the linker region between the KH2 and KH3 domains, the docking analysis focused on this region. As no experimentally determined three-dimensional structure of BICC1 is currently available, the AlphaFold predicted model (model ID: AF</w:t>
      </w:r>
      <w:r>
        <w:rPr>
          <w:rFonts w:ascii="Times New Roman" w:eastAsia="SimSun" w:hAnsi="Times New Roman" w:cs="SimSun" w:hint="eastAsia"/>
          <w:sz w:val="24"/>
        </w:rPr>
        <w:t>‑</w:t>
      </w:r>
      <w:r>
        <w:rPr>
          <w:rFonts w:ascii="Times New Roman" w:eastAsia="SimSun" w:hAnsi="Times New Roman" w:cs="SimSun" w:hint="eastAsia"/>
          <w:sz w:val="24"/>
        </w:rPr>
        <w:t>Q9H694</w:t>
      </w:r>
      <w:r>
        <w:rPr>
          <w:rFonts w:ascii="Times New Roman" w:eastAsia="SimSun" w:hAnsi="Times New Roman" w:cs="SimSun" w:hint="eastAsia"/>
          <w:sz w:val="24"/>
        </w:rPr>
        <w:t>‑</w:t>
      </w:r>
      <w:r>
        <w:rPr>
          <w:rFonts w:ascii="Times New Roman" w:eastAsia="SimSun" w:hAnsi="Times New Roman" w:cs="SimSun" w:hint="eastAsia"/>
          <w:sz w:val="24"/>
        </w:rPr>
        <w:t>F1; confidence pLDDT &gt; 90) was downloaded from UniProt. The protein was preprocessed using AutoDock Tools (ADT): water molecules were removed, hydrogen atoms were added, charges were assigned, non</w:t>
      </w:r>
      <w:r>
        <w:rPr>
          <w:rFonts w:ascii="Times New Roman" w:eastAsia="SimSun" w:hAnsi="Times New Roman" w:cs="SimSun" w:hint="eastAsia"/>
          <w:sz w:val="24"/>
        </w:rPr>
        <w:t>‑</w:t>
      </w:r>
      <w:r>
        <w:rPr>
          <w:rFonts w:ascii="Times New Roman" w:eastAsia="SimSun" w:hAnsi="Times New Roman" w:cs="SimSun" w:hint="eastAsia"/>
          <w:sz w:val="24"/>
        </w:rPr>
        <w:t>polar hydrogens were merged, and the final structure was saved in PDBQT format.</w:t>
      </w:r>
    </w:p>
    <w:p w14:paraId="6DF9FE6F"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S1.2 Ligand structure preparation</w:t>
      </w:r>
    </w:p>
    <w:p w14:paraId="4B78105A"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Two</w:t>
      </w:r>
      <w:r>
        <w:rPr>
          <w:rFonts w:ascii="Times New Roman" w:eastAsia="SimSun" w:hAnsi="Times New Roman" w:cs="SimSun" w:hint="eastAsia"/>
          <w:sz w:val="24"/>
        </w:rPr>
        <w:t>‑</w:t>
      </w:r>
      <w:r>
        <w:rPr>
          <w:rFonts w:ascii="Times New Roman" w:eastAsia="SimSun" w:hAnsi="Times New Roman" w:cs="SimSun" w:hint="eastAsia"/>
          <w:sz w:val="24"/>
        </w:rPr>
        <w:t>dimensional structures of 14 natural bioactive small molecules were obtained from the PubChem database, with the following corresponding CIDs: curcumin (969516), saikosaponin B4 (107793), osthole (10228), raddeanin A (174742), catechin (289), cucurbitacin B (5281316), galangin (5281616), emodin (3220), evodiamine (442088), paeoniflorin (442534), epigallocatechin</w:t>
      </w:r>
      <w:r>
        <w:rPr>
          <w:rFonts w:ascii="Times New Roman" w:eastAsia="SimSun" w:hAnsi="Times New Roman" w:cs="SimSun" w:hint="eastAsia"/>
          <w:sz w:val="24"/>
        </w:rPr>
        <w:t>‑</w:t>
      </w:r>
      <w:r>
        <w:rPr>
          <w:rFonts w:ascii="Times New Roman" w:eastAsia="SimSun" w:hAnsi="Times New Roman" w:cs="SimSun" w:hint="eastAsia"/>
          <w:sz w:val="24"/>
        </w:rPr>
        <w:t>3</w:t>
      </w:r>
      <w:r>
        <w:rPr>
          <w:rFonts w:ascii="Times New Roman" w:eastAsia="SimSun" w:hAnsi="Times New Roman" w:cs="SimSun" w:hint="eastAsia"/>
          <w:sz w:val="24"/>
        </w:rPr>
        <w:t>‑</w:t>
      </w:r>
      <w:r>
        <w:rPr>
          <w:rFonts w:ascii="Times New Roman" w:eastAsia="SimSun" w:hAnsi="Times New Roman" w:cs="SimSun" w:hint="eastAsia"/>
          <w:sz w:val="24"/>
        </w:rPr>
        <w:t>gallate (65064), astragaloside IV (13943297), 4</w:t>
      </w:r>
      <w:r>
        <w:rPr>
          <w:rFonts w:ascii="Times New Roman" w:eastAsia="SimSun" w:hAnsi="Times New Roman" w:cs="SimSun" w:hint="eastAsia"/>
          <w:sz w:val="24"/>
        </w:rPr>
        <w:t>‑</w:t>
      </w:r>
      <w:r>
        <w:rPr>
          <w:rFonts w:ascii="Times New Roman" w:eastAsia="SimSun" w:hAnsi="Times New Roman" w:cs="SimSun" w:hint="eastAsia"/>
          <w:sz w:val="24"/>
        </w:rPr>
        <w:t>acetylantroquinonol B (112500518), and salvianolic acid A (5281793). After downloading the SDF files, energy minimization was performed using Open Babel with the MMFF94 force field, and the output was saved in mol2 format. Subsequently, hydrogen atoms were added, Gasteiger charges were calculated, atom types were assigned, non</w:t>
      </w:r>
      <w:r>
        <w:rPr>
          <w:rFonts w:ascii="Times New Roman" w:eastAsia="SimSun" w:hAnsi="Times New Roman" w:cs="SimSun" w:hint="eastAsia"/>
          <w:sz w:val="24"/>
        </w:rPr>
        <w:t>‑</w:t>
      </w:r>
      <w:r>
        <w:rPr>
          <w:rFonts w:ascii="Times New Roman" w:eastAsia="SimSun" w:hAnsi="Times New Roman" w:cs="SimSun" w:hint="eastAsia"/>
          <w:sz w:val="24"/>
        </w:rPr>
        <w:t>polar hydrogens were merged using ADT, and the final structures were saved in PDBQT format.</w:t>
      </w:r>
    </w:p>
    <w:p w14:paraId="057A8F8D"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S1.3 Molecular docking parameters</w:t>
      </w:r>
    </w:p>
    <w:p w14:paraId="61364F7C" w14:textId="77777777" w:rsidR="007342F8" w:rsidRDefault="006B7C19">
      <w:pPr>
        <w:spacing w:beforeLines="50" w:before="156" w:afterLines="50" w:after="156" w:line="360" w:lineRule="auto"/>
        <w:rPr>
          <w:rFonts w:ascii="Times New Roman" w:eastAsia="SimSun" w:hAnsi="Times New Roman" w:cs="SimSun"/>
          <w:sz w:val="24"/>
        </w:rPr>
      </w:pPr>
      <w:r>
        <w:rPr>
          <w:rFonts w:ascii="Times New Roman" w:eastAsia="SimSun" w:hAnsi="Times New Roman" w:cs="SimSun" w:hint="eastAsia"/>
          <w:sz w:val="24"/>
        </w:rPr>
        <w:t>Semi</w:t>
      </w:r>
      <w:r>
        <w:rPr>
          <w:rFonts w:ascii="Times New Roman" w:eastAsia="SimSun" w:hAnsi="Times New Roman" w:cs="SimSun" w:hint="eastAsia"/>
          <w:sz w:val="24"/>
        </w:rPr>
        <w:t>‑</w:t>
      </w:r>
      <w:r>
        <w:rPr>
          <w:rFonts w:ascii="Times New Roman" w:eastAsia="SimSun" w:hAnsi="Times New Roman" w:cs="SimSun" w:hint="eastAsia"/>
          <w:sz w:val="24"/>
        </w:rPr>
        <w:t xml:space="preserve">flexible docking was performed using AutoDock Vina (v1.1.2). To unify the search space for all ligands and focus on the KH2-KH3 linker region, the grid box center was set at the geometric center of this region. Since the key binding residues of all </w:t>
      </w:r>
      <w:r>
        <w:rPr>
          <w:rFonts w:ascii="Times New Roman" w:eastAsia="SimSun" w:hAnsi="Times New Roman" w:cs="SimSun" w:hint="eastAsia"/>
          <w:sz w:val="24"/>
        </w:rPr>
        <w:lastRenderedPageBreak/>
        <w:t>ligands in this study are distributed within the KH2-KH3 linker and the adjacent KH3/SAM domain, this grid box setting sufficiently covers all potential binding interfaces. The energy range for output binding modes was set to 4 kcal/mol. Nine binding conformations were generated for each ligand, and the conformation with the lowest binding energy was selected for subsequent analysis.</w:t>
      </w:r>
    </w:p>
    <w:p w14:paraId="0F1C7F51" w14:textId="77777777" w:rsidR="007342F8" w:rsidRDefault="006B7C19">
      <w:pPr>
        <w:spacing w:beforeLines="50" w:before="156" w:afterLines="50" w:after="156" w:line="360" w:lineRule="auto"/>
        <w:rPr>
          <w:rFonts w:ascii="Times New Roman" w:eastAsia="SimSun" w:hAnsi="Times New Roman" w:cs="SimSun"/>
          <w:sz w:val="24"/>
        </w:rPr>
      </w:pPr>
      <w:r>
        <w:rPr>
          <w:rFonts w:ascii="Times New Roman" w:eastAsia="SimSun" w:hAnsi="Times New Roman" w:cs="SimSun" w:hint="eastAsia"/>
          <w:sz w:val="24"/>
        </w:rPr>
        <w:t>S1.4 Visualization and hydrogen bond identification</w:t>
      </w:r>
    </w:p>
    <w:p w14:paraId="5EE5A3B6" w14:textId="77777777" w:rsidR="007342F8" w:rsidRDefault="006B7C19">
      <w:pPr>
        <w:spacing w:line="360" w:lineRule="auto"/>
        <w:rPr>
          <w:rFonts w:ascii="Times New Roman" w:eastAsia="SimSun" w:hAnsi="Times New Roman" w:cs="SimSun"/>
          <w:sz w:val="24"/>
        </w:rPr>
      </w:pPr>
      <w:r>
        <w:rPr>
          <w:rFonts w:ascii="Times New Roman" w:eastAsia="SimSun" w:hAnsi="Times New Roman" w:cs="SimSun" w:hint="eastAsia"/>
          <w:sz w:val="24"/>
        </w:rPr>
        <w:t>Three-dimensional binding mode diagrams of protein-ligand complexes were generated using PyMOL (v2.5). Hydrogen bonds were identified and annotated using PyMOL</w:t>
      </w:r>
      <w:r>
        <w:rPr>
          <w:rFonts w:ascii="Times New Roman" w:eastAsia="SimSun" w:hAnsi="Times New Roman" w:cs="SimSun" w:hint="eastAsia"/>
          <w:sz w:val="24"/>
        </w:rPr>
        <w:t>’</w:t>
      </w:r>
      <w:r>
        <w:rPr>
          <w:rFonts w:ascii="Times New Roman" w:eastAsia="SimSun" w:hAnsi="Times New Roman" w:cs="SimSun" w:hint="eastAsia"/>
          <w:sz w:val="24"/>
        </w:rPr>
        <w:t>s distance measurement tool with a cutoff of 3.5 Å. In the figures, hydrogen bonds are represented as yellow dashed lines with bond lengths labeled, and key residues are highlighted using the stick model.</w:t>
      </w:r>
    </w:p>
    <w:p w14:paraId="6B88E4ED" w14:textId="77777777" w:rsidR="007342F8" w:rsidRDefault="007342F8">
      <w:pPr>
        <w:spacing w:line="360" w:lineRule="auto"/>
        <w:jc w:val="left"/>
        <w:rPr>
          <w:rFonts w:ascii="Times New Roman" w:eastAsia="SimSun" w:hAnsi="Times New Roman" w:cs="SimSun"/>
          <w:sz w:val="24"/>
        </w:rPr>
      </w:pPr>
    </w:p>
    <w:p w14:paraId="51333D0F" w14:textId="6E2215FE" w:rsidR="007342F8" w:rsidRDefault="005122F2">
      <w:pPr>
        <w:spacing w:line="360" w:lineRule="auto"/>
        <w:jc w:val="center"/>
        <w:rPr>
          <w:rFonts w:ascii="Times New Roman" w:eastAsia="SimSun" w:hAnsi="Times New Roman" w:cs="Times New Roman"/>
          <w:color w:val="000000"/>
          <w:sz w:val="24"/>
        </w:rPr>
      </w:pPr>
      <w:r>
        <w:rPr>
          <w:rFonts w:ascii="Times New Roman" w:eastAsia="SimSun" w:hAnsi="Times New Roman" w:cs="SimSun"/>
          <w:sz w:val="24"/>
        </w:rPr>
        <w:t xml:space="preserve">Supplementary </w:t>
      </w:r>
      <w:r w:rsidR="006B7C19">
        <w:rPr>
          <w:rFonts w:ascii="Times New Roman" w:eastAsia="SimSun" w:hAnsi="Times New Roman" w:cs="SimSun" w:hint="eastAsia"/>
          <w:sz w:val="24"/>
        </w:rPr>
        <w:t xml:space="preserve">Table </w:t>
      </w:r>
      <w:r w:rsidR="00045CB4" w:rsidRPr="00045CB4">
        <w:rPr>
          <w:rFonts w:ascii="Times New Roman" w:eastAsia="SimSun" w:hAnsi="Times New Roman" w:cs="SimSun"/>
          <w:sz w:val="24"/>
        </w:rPr>
        <w:t>S1</w:t>
      </w:r>
      <w:r w:rsidR="006B7C19">
        <w:rPr>
          <w:rFonts w:ascii="Times New Roman" w:eastAsia="SimSun" w:hAnsi="Times New Roman" w:cs="SimSun" w:hint="eastAsia"/>
          <w:sz w:val="24"/>
        </w:rPr>
        <w:t xml:space="preserve"> </w:t>
      </w:r>
      <w:r w:rsidR="006B7C19">
        <w:rPr>
          <w:rFonts w:ascii="Times New Roman" w:eastAsia="SimSun" w:hAnsi="Times New Roman" w:cs="SimSun"/>
          <w:sz w:val="24"/>
        </w:rPr>
        <w:t>Molecular docking parameters of natural active ingredients and BICC1 protein</w:t>
      </w:r>
    </w:p>
    <w:tbl>
      <w:tblPr>
        <w:tblStyle w:val="a"/>
        <w:tblW w:w="4870" w:type="pct"/>
        <w:tblBorders>
          <w:top w:val="single" w:sz="4" w:space="0" w:color="auto"/>
          <w:bottom w:val="single" w:sz="4" w:space="0" w:color="auto"/>
        </w:tblBorders>
        <w:tblLook w:val="04A0" w:firstRow="1" w:lastRow="0" w:firstColumn="1" w:lastColumn="0" w:noHBand="0" w:noVBand="1"/>
      </w:tblPr>
      <w:tblGrid>
        <w:gridCol w:w="2694"/>
        <w:gridCol w:w="1419"/>
        <w:gridCol w:w="2411"/>
        <w:gridCol w:w="1566"/>
      </w:tblGrid>
      <w:tr w:rsidR="007342F8" w14:paraId="11B10677" w14:textId="77777777" w:rsidTr="007342F8">
        <w:trPr>
          <w:cnfStyle w:val="100000000000" w:firstRow="1" w:lastRow="0" w:firstColumn="0" w:lastColumn="0" w:oddVBand="0" w:evenVBand="0" w:oddHBand="0" w:evenHBand="0" w:firstRowFirstColumn="0" w:firstRowLastColumn="0" w:lastRowFirstColumn="0" w:lastRowLastColumn="0"/>
          <w:trHeight w:hRule="exact" w:val="1079"/>
        </w:trPr>
        <w:tc>
          <w:tcPr>
            <w:tcW w:w="1665" w:type="pct"/>
            <w:tcBorders>
              <w:top w:val="single" w:sz="12" w:space="0" w:color="auto"/>
              <w:bottom w:val="single" w:sz="8" w:space="0" w:color="auto"/>
            </w:tcBorders>
          </w:tcPr>
          <w:p w14:paraId="35BA5432" w14:textId="77777777" w:rsidR="007342F8" w:rsidRDefault="006B7C19">
            <w:pPr>
              <w:spacing w:line="360" w:lineRule="auto"/>
              <w:jc w:val="center"/>
              <w:rPr>
                <w:color w:val="000000"/>
                <w:kern w:val="0"/>
                <w:sz w:val="24"/>
                <w:szCs w:val="20"/>
                <w14:ligatures w14:val="none"/>
              </w:rPr>
            </w:pPr>
            <w:r>
              <w:rPr>
                <w:rFonts w:cs="Segoe UI"/>
                <w:color w:val="000000"/>
                <w:kern w:val="0"/>
                <w:sz w:val="24"/>
                <w:szCs w:val="23"/>
                <w14:ligatures w14:val="none"/>
              </w:rPr>
              <w:t>Compounds</w:t>
            </w:r>
          </w:p>
        </w:tc>
        <w:tc>
          <w:tcPr>
            <w:tcW w:w="877" w:type="pct"/>
            <w:tcBorders>
              <w:top w:val="single" w:sz="12" w:space="0" w:color="auto"/>
              <w:bottom w:val="single" w:sz="8" w:space="0" w:color="auto"/>
            </w:tcBorders>
          </w:tcPr>
          <w:p w14:paraId="483CE3A5"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ΔG (kcal/mol)</w:t>
            </w:r>
          </w:p>
        </w:tc>
        <w:tc>
          <w:tcPr>
            <w:tcW w:w="1490" w:type="pct"/>
            <w:tcBorders>
              <w:top w:val="single" w:sz="12" w:space="0" w:color="auto"/>
              <w:bottom w:val="single" w:sz="8" w:space="0" w:color="auto"/>
            </w:tcBorders>
          </w:tcPr>
          <w:p w14:paraId="62F616D8" w14:textId="77777777" w:rsidR="007342F8" w:rsidRDefault="006B7C19">
            <w:pPr>
              <w:wordWrap w:val="0"/>
              <w:spacing w:line="360" w:lineRule="auto"/>
              <w:jc w:val="center"/>
              <w:rPr>
                <w:rFonts w:cs="Segoe UI"/>
                <w:color w:val="000000"/>
                <w:kern w:val="0"/>
                <w:sz w:val="24"/>
                <w:szCs w:val="23"/>
                <w14:ligatures w14:val="none"/>
              </w:rPr>
            </w:pPr>
            <w:r>
              <w:rPr>
                <w:rFonts w:cs="Segoe UI"/>
                <w:color w:val="000000"/>
                <w:kern w:val="0"/>
                <w:sz w:val="24"/>
                <w:szCs w:val="23"/>
                <w14:ligatures w14:val="none"/>
              </w:rPr>
              <w:t>Key combination residues</w:t>
            </w:r>
          </w:p>
          <w:p w14:paraId="15D73782" w14:textId="77777777" w:rsidR="007342F8" w:rsidRDefault="007342F8">
            <w:pPr>
              <w:wordWrap w:val="0"/>
              <w:spacing w:line="360" w:lineRule="auto"/>
              <w:jc w:val="center"/>
              <w:rPr>
                <w:color w:val="000000"/>
                <w:kern w:val="0"/>
                <w:sz w:val="24"/>
                <w:szCs w:val="20"/>
                <w14:ligatures w14:val="none"/>
              </w:rPr>
            </w:pPr>
          </w:p>
        </w:tc>
        <w:tc>
          <w:tcPr>
            <w:tcW w:w="968" w:type="pct"/>
            <w:tcBorders>
              <w:top w:val="single" w:sz="12" w:space="0" w:color="auto"/>
              <w:bottom w:val="single" w:sz="8" w:space="0" w:color="auto"/>
            </w:tcBorders>
          </w:tcPr>
          <w:p w14:paraId="7C79444C" w14:textId="77777777" w:rsidR="007342F8" w:rsidRDefault="006B7C19">
            <w:pPr>
              <w:wordWrap w:val="0"/>
              <w:spacing w:line="360" w:lineRule="auto"/>
              <w:jc w:val="center"/>
              <w:rPr>
                <w:rFonts w:cs="Segoe UI"/>
                <w:color w:val="000000"/>
                <w:kern w:val="0"/>
                <w:sz w:val="24"/>
                <w:szCs w:val="23"/>
                <w14:ligatures w14:val="none"/>
              </w:rPr>
            </w:pPr>
            <w:r>
              <w:rPr>
                <w:rFonts w:cs="Segoe UI"/>
                <w:color w:val="000000"/>
                <w:kern w:val="0"/>
                <w:sz w:val="24"/>
                <w:szCs w:val="23"/>
                <w14:ligatures w14:val="none"/>
              </w:rPr>
              <w:t>Hydrogen bond length (Å)</w:t>
            </w:r>
          </w:p>
          <w:p w14:paraId="533E2227" w14:textId="77777777" w:rsidR="007342F8" w:rsidRDefault="007342F8">
            <w:pPr>
              <w:wordWrap w:val="0"/>
              <w:spacing w:line="360" w:lineRule="auto"/>
              <w:jc w:val="center"/>
              <w:rPr>
                <w:color w:val="000000"/>
                <w:kern w:val="0"/>
                <w:sz w:val="24"/>
                <w:szCs w:val="20"/>
                <w14:ligatures w14:val="none"/>
              </w:rPr>
            </w:pPr>
          </w:p>
        </w:tc>
      </w:tr>
      <w:tr w:rsidR="007342F8" w14:paraId="00E94904" w14:textId="77777777" w:rsidTr="007342F8">
        <w:trPr>
          <w:trHeight w:hRule="exact" w:val="578"/>
        </w:trPr>
        <w:tc>
          <w:tcPr>
            <w:tcW w:w="1665" w:type="pct"/>
            <w:tcBorders>
              <w:top w:val="single" w:sz="8" w:space="0" w:color="auto"/>
            </w:tcBorders>
          </w:tcPr>
          <w:p w14:paraId="4F51C3F8" w14:textId="77777777" w:rsidR="007342F8" w:rsidRDefault="006B7C19">
            <w:pPr>
              <w:spacing w:line="360" w:lineRule="auto"/>
              <w:jc w:val="center"/>
              <w:rPr>
                <w:color w:val="000000"/>
                <w:kern w:val="0"/>
                <w:sz w:val="24"/>
                <w:szCs w:val="20"/>
                <w14:ligatures w14:val="none"/>
              </w:rPr>
            </w:pPr>
            <w:r>
              <w:rPr>
                <w:color w:val="000000"/>
                <w:kern w:val="0"/>
                <w:sz w:val="24"/>
                <w:szCs w:val="20"/>
                <w14:ligatures w14:val="none"/>
              </w:rPr>
              <w:t>Curcumin</w:t>
            </w:r>
          </w:p>
          <w:p w14:paraId="0ED7D88A" w14:textId="77777777" w:rsidR="007342F8" w:rsidRDefault="007342F8">
            <w:pPr>
              <w:widowControl/>
              <w:jc w:val="center"/>
              <w:rPr>
                <w:rFonts w:cs="Segoe UI"/>
                <w:color w:val="000000"/>
                <w:kern w:val="0"/>
                <w:sz w:val="24"/>
                <w:szCs w:val="23"/>
                <w14:ligatures w14:val="none"/>
              </w:rPr>
            </w:pPr>
          </w:p>
        </w:tc>
        <w:tc>
          <w:tcPr>
            <w:tcW w:w="877" w:type="pct"/>
            <w:tcBorders>
              <w:top w:val="single" w:sz="8" w:space="0" w:color="auto"/>
            </w:tcBorders>
          </w:tcPr>
          <w:p w14:paraId="099AD8A3"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-5.5</w:t>
            </w:r>
          </w:p>
        </w:tc>
        <w:tc>
          <w:tcPr>
            <w:tcW w:w="1490" w:type="pct"/>
            <w:tcBorders>
              <w:top w:val="single" w:sz="8" w:space="0" w:color="auto"/>
            </w:tcBorders>
          </w:tcPr>
          <w:p w14:paraId="1475A907"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Gln895, Asp877</w:t>
            </w:r>
          </w:p>
        </w:tc>
        <w:tc>
          <w:tcPr>
            <w:tcW w:w="968" w:type="pct"/>
            <w:tcBorders>
              <w:top w:val="single" w:sz="8" w:space="0" w:color="auto"/>
            </w:tcBorders>
          </w:tcPr>
          <w:p w14:paraId="00E233C9"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2.5, 3.3, 2.6</w:t>
            </w:r>
          </w:p>
        </w:tc>
      </w:tr>
      <w:tr w:rsidR="007342F8" w14:paraId="6A601EC9" w14:textId="77777777" w:rsidTr="007342F8">
        <w:trPr>
          <w:trHeight w:hRule="exact" w:val="578"/>
        </w:trPr>
        <w:tc>
          <w:tcPr>
            <w:tcW w:w="1665" w:type="pct"/>
          </w:tcPr>
          <w:p w14:paraId="10A2CB44" w14:textId="77777777" w:rsidR="007342F8" w:rsidRDefault="006B7C19">
            <w:pPr>
              <w:spacing w:line="360" w:lineRule="auto"/>
              <w:jc w:val="center"/>
              <w:rPr>
                <w:color w:val="000000"/>
                <w:kern w:val="0"/>
                <w:sz w:val="24"/>
                <w:szCs w:val="20"/>
                <w14:ligatures w14:val="none"/>
              </w:rPr>
            </w:pPr>
            <w:r>
              <w:rPr>
                <w:color w:val="000000"/>
                <w:kern w:val="0"/>
                <w:sz w:val="24"/>
                <w:szCs w:val="20"/>
                <w14:ligatures w14:val="none"/>
              </w:rPr>
              <w:t>Saikosaponin</w:t>
            </w:r>
          </w:p>
        </w:tc>
        <w:tc>
          <w:tcPr>
            <w:tcW w:w="877" w:type="pct"/>
          </w:tcPr>
          <w:p w14:paraId="505CA024"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-9.2</w:t>
            </w:r>
          </w:p>
        </w:tc>
        <w:tc>
          <w:tcPr>
            <w:tcW w:w="1490" w:type="pct"/>
          </w:tcPr>
          <w:p w14:paraId="0C786B9F"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Asp909, Thr906, Asn934</w:t>
            </w:r>
          </w:p>
        </w:tc>
        <w:tc>
          <w:tcPr>
            <w:tcW w:w="968" w:type="pct"/>
          </w:tcPr>
          <w:p w14:paraId="02C5692A"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3.4, 2.7, 2.9</w:t>
            </w:r>
          </w:p>
        </w:tc>
      </w:tr>
      <w:tr w:rsidR="007342F8" w14:paraId="428A087A" w14:textId="77777777" w:rsidTr="007342F8">
        <w:trPr>
          <w:trHeight w:hRule="exact" w:val="578"/>
        </w:trPr>
        <w:tc>
          <w:tcPr>
            <w:tcW w:w="1665" w:type="pct"/>
          </w:tcPr>
          <w:p w14:paraId="0489FD83"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Osthole</w:t>
            </w:r>
          </w:p>
        </w:tc>
        <w:tc>
          <w:tcPr>
            <w:tcW w:w="877" w:type="pct"/>
          </w:tcPr>
          <w:p w14:paraId="3CCF31B4"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-5.8</w:t>
            </w:r>
          </w:p>
        </w:tc>
        <w:tc>
          <w:tcPr>
            <w:tcW w:w="1490" w:type="pct"/>
          </w:tcPr>
          <w:p w14:paraId="73B2992F"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Leu878</w:t>
            </w:r>
          </w:p>
        </w:tc>
        <w:tc>
          <w:tcPr>
            <w:tcW w:w="968" w:type="pct"/>
          </w:tcPr>
          <w:p w14:paraId="25AB9544"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3.4</w:t>
            </w:r>
          </w:p>
        </w:tc>
      </w:tr>
      <w:tr w:rsidR="007342F8" w14:paraId="77C8088C" w14:textId="77777777" w:rsidTr="007342F8">
        <w:trPr>
          <w:trHeight w:hRule="exact" w:val="578"/>
        </w:trPr>
        <w:tc>
          <w:tcPr>
            <w:tcW w:w="1665" w:type="pct"/>
          </w:tcPr>
          <w:p w14:paraId="447401B1"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Raddeanin A</w:t>
            </w:r>
          </w:p>
        </w:tc>
        <w:tc>
          <w:tcPr>
            <w:tcW w:w="877" w:type="pct"/>
          </w:tcPr>
          <w:p w14:paraId="3171C72E"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-8.6</w:t>
            </w:r>
          </w:p>
        </w:tc>
        <w:tc>
          <w:tcPr>
            <w:tcW w:w="1490" w:type="pct"/>
          </w:tcPr>
          <w:p w14:paraId="74F30E6B"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Gln902</w:t>
            </w:r>
          </w:p>
        </w:tc>
        <w:tc>
          <w:tcPr>
            <w:tcW w:w="968" w:type="pct"/>
          </w:tcPr>
          <w:p w14:paraId="2B7D0F7D"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w:t>
            </w:r>
          </w:p>
        </w:tc>
      </w:tr>
      <w:tr w:rsidR="007342F8" w14:paraId="2B4C444A" w14:textId="77777777" w:rsidTr="007342F8">
        <w:trPr>
          <w:trHeight w:hRule="exact" w:val="578"/>
        </w:trPr>
        <w:tc>
          <w:tcPr>
            <w:tcW w:w="1665" w:type="pct"/>
          </w:tcPr>
          <w:p w14:paraId="4FFCD067" w14:textId="77777777" w:rsidR="007342F8" w:rsidRDefault="006B7C19">
            <w:pPr>
              <w:spacing w:line="360" w:lineRule="auto"/>
              <w:jc w:val="center"/>
              <w:rPr>
                <w:rFonts w:cs="Segoe UI"/>
                <w:color w:val="000000"/>
                <w:kern w:val="0"/>
                <w:sz w:val="24"/>
                <w:szCs w:val="23"/>
                <w14:ligatures w14:val="none"/>
              </w:rPr>
            </w:pPr>
            <w:r>
              <w:rPr>
                <w:color w:val="000000"/>
                <w:kern w:val="0"/>
                <w:sz w:val="24"/>
                <w:szCs w:val="20"/>
                <w14:ligatures w14:val="none"/>
              </w:rPr>
              <w:t>Catechols</w:t>
            </w:r>
          </w:p>
        </w:tc>
        <w:tc>
          <w:tcPr>
            <w:tcW w:w="877" w:type="pct"/>
          </w:tcPr>
          <w:p w14:paraId="30D3EED6"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-7.7</w:t>
            </w:r>
          </w:p>
        </w:tc>
        <w:tc>
          <w:tcPr>
            <w:tcW w:w="1490" w:type="pct"/>
          </w:tcPr>
          <w:p w14:paraId="4D7E6567"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Leu905</w:t>
            </w:r>
          </w:p>
        </w:tc>
        <w:tc>
          <w:tcPr>
            <w:tcW w:w="968" w:type="pct"/>
          </w:tcPr>
          <w:p w14:paraId="0504FC36"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2.5</w:t>
            </w:r>
          </w:p>
        </w:tc>
      </w:tr>
      <w:tr w:rsidR="007342F8" w14:paraId="510A9CB5" w14:textId="77777777" w:rsidTr="007342F8">
        <w:trPr>
          <w:trHeight w:hRule="exact" w:val="578"/>
        </w:trPr>
        <w:tc>
          <w:tcPr>
            <w:tcW w:w="1665" w:type="pct"/>
          </w:tcPr>
          <w:p w14:paraId="27E485DA"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Cucurbitacin B</w:t>
            </w:r>
          </w:p>
        </w:tc>
        <w:tc>
          <w:tcPr>
            <w:tcW w:w="877" w:type="pct"/>
          </w:tcPr>
          <w:p w14:paraId="04EFD42A"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-8.7</w:t>
            </w:r>
          </w:p>
        </w:tc>
        <w:tc>
          <w:tcPr>
            <w:tcW w:w="1490" w:type="pct"/>
          </w:tcPr>
          <w:p w14:paraId="7FAB0C2C"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Leu878, Asp900</w:t>
            </w:r>
          </w:p>
        </w:tc>
        <w:tc>
          <w:tcPr>
            <w:tcW w:w="968" w:type="pct"/>
          </w:tcPr>
          <w:p w14:paraId="5FFEE7AC"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3.1, 2.2</w:t>
            </w:r>
          </w:p>
        </w:tc>
      </w:tr>
      <w:tr w:rsidR="007342F8" w14:paraId="04868725" w14:textId="77777777" w:rsidTr="007342F8">
        <w:trPr>
          <w:trHeight w:hRule="exact" w:val="578"/>
        </w:trPr>
        <w:tc>
          <w:tcPr>
            <w:tcW w:w="1665" w:type="pct"/>
          </w:tcPr>
          <w:p w14:paraId="1F2AA2D3"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Galangin</w:t>
            </w:r>
          </w:p>
        </w:tc>
        <w:tc>
          <w:tcPr>
            <w:tcW w:w="877" w:type="pct"/>
          </w:tcPr>
          <w:p w14:paraId="41B52EAD"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-6.5</w:t>
            </w:r>
          </w:p>
        </w:tc>
        <w:tc>
          <w:tcPr>
            <w:tcW w:w="1490" w:type="pct"/>
          </w:tcPr>
          <w:p w14:paraId="5ECC7B43"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Gln902</w:t>
            </w:r>
          </w:p>
        </w:tc>
        <w:tc>
          <w:tcPr>
            <w:tcW w:w="968" w:type="pct"/>
          </w:tcPr>
          <w:p w14:paraId="65A1A011"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2.3</w:t>
            </w:r>
          </w:p>
        </w:tc>
      </w:tr>
      <w:tr w:rsidR="007342F8" w14:paraId="3106E24E" w14:textId="77777777" w:rsidTr="007342F8">
        <w:trPr>
          <w:trHeight w:hRule="exact" w:val="578"/>
        </w:trPr>
        <w:tc>
          <w:tcPr>
            <w:tcW w:w="1665" w:type="pct"/>
          </w:tcPr>
          <w:p w14:paraId="37FB3730"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Emodin</w:t>
            </w:r>
          </w:p>
        </w:tc>
        <w:tc>
          <w:tcPr>
            <w:tcW w:w="877" w:type="pct"/>
          </w:tcPr>
          <w:p w14:paraId="3B80EE60"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-6.9</w:t>
            </w:r>
          </w:p>
        </w:tc>
        <w:tc>
          <w:tcPr>
            <w:tcW w:w="1490" w:type="pct"/>
          </w:tcPr>
          <w:p w14:paraId="5C45ACB8"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Leu927, Ser931</w:t>
            </w:r>
          </w:p>
        </w:tc>
        <w:tc>
          <w:tcPr>
            <w:tcW w:w="968" w:type="pct"/>
          </w:tcPr>
          <w:p w14:paraId="77FFF27F"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2.6, 2.6</w:t>
            </w:r>
          </w:p>
        </w:tc>
      </w:tr>
      <w:tr w:rsidR="007342F8" w14:paraId="2A091CF1" w14:textId="77777777" w:rsidTr="007342F8">
        <w:trPr>
          <w:trHeight w:hRule="exact" w:val="578"/>
        </w:trPr>
        <w:tc>
          <w:tcPr>
            <w:tcW w:w="1665" w:type="pct"/>
          </w:tcPr>
          <w:p w14:paraId="7024A106"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Evodiamine</w:t>
            </w:r>
          </w:p>
        </w:tc>
        <w:tc>
          <w:tcPr>
            <w:tcW w:w="877" w:type="pct"/>
          </w:tcPr>
          <w:p w14:paraId="48426973"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-8.0</w:t>
            </w:r>
          </w:p>
        </w:tc>
        <w:tc>
          <w:tcPr>
            <w:tcW w:w="1490" w:type="pct"/>
          </w:tcPr>
          <w:p w14:paraId="36D44DCD"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Asn934</w:t>
            </w:r>
          </w:p>
        </w:tc>
        <w:tc>
          <w:tcPr>
            <w:tcW w:w="968" w:type="pct"/>
          </w:tcPr>
          <w:p w14:paraId="09B96FF7"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3.3</w:t>
            </w:r>
          </w:p>
        </w:tc>
      </w:tr>
      <w:tr w:rsidR="007342F8" w14:paraId="041CAAAF" w14:textId="77777777" w:rsidTr="007342F8">
        <w:trPr>
          <w:trHeight w:hRule="exact" w:val="417"/>
        </w:trPr>
        <w:tc>
          <w:tcPr>
            <w:tcW w:w="1665" w:type="pct"/>
          </w:tcPr>
          <w:p w14:paraId="3AA80498"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Paeoniflorin</w:t>
            </w:r>
          </w:p>
        </w:tc>
        <w:tc>
          <w:tcPr>
            <w:tcW w:w="877" w:type="pct"/>
          </w:tcPr>
          <w:p w14:paraId="5AC51A27"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-7.3</w:t>
            </w:r>
          </w:p>
        </w:tc>
        <w:tc>
          <w:tcPr>
            <w:tcW w:w="1490" w:type="pct"/>
          </w:tcPr>
          <w:p w14:paraId="56892953"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Leu901</w:t>
            </w:r>
          </w:p>
        </w:tc>
        <w:tc>
          <w:tcPr>
            <w:tcW w:w="968" w:type="pct"/>
          </w:tcPr>
          <w:p w14:paraId="67034937"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3.1</w:t>
            </w:r>
          </w:p>
        </w:tc>
      </w:tr>
      <w:tr w:rsidR="007342F8" w14:paraId="69A894FB" w14:textId="77777777" w:rsidTr="007342F8">
        <w:trPr>
          <w:trHeight w:hRule="exact" w:val="578"/>
        </w:trPr>
        <w:tc>
          <w:tcPr>
            <w:tcW w:w="1665" w:type="pct"/>
          </w:tcPr>
          <w:p w14:paraId="5ACCBE09"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lastRenderedPageBreak/>
              <w:t>Epigallocatechin Gallate</w:t>
            </w:r>
          </w:p>
        </w:tc>
        <w:tc>
          <w:tcPr>
            <w:tcW w:w="877" w:type="pct"/>
          </w:tcPr>
          <w:p w14:paraId="7BA33D87"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-4.9</w:t>
            </w:r>
          </w:p>
        </w:tc>
        <w:tc>
          <w:tcPr>
            <w:tcW w:w="1490" w:type="pct"/>
          </w:tcPr>
          <w:p w14:paraId="407C5137"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Phe894, Ile889</w:t>
            </w:r>
          </w:p>
        </w:tc>
        <w:tc>
          <w:tcPr>
            <w:tcW w:w="968" w:type="pct"/>
          </w:tcPr>
          <w:p w14:paraId="7C44777B" w14:textId="77777777" w:rsidR="007342F8" w:rsidRDefault="006B7C19">
            <w:pPr>
              <w:wordWrap w:val="0"/>
              <w:spacing w:line="360" w:lineRule="auto"/>
              <w:jc w:val="center"/>
              <w:rPr>
                <w:color w:val="000000"/>
                <w:kern w:val="0"/>
                <w:sz w:val="24"/>
                <w:szCs w:val="20"/>
                <w14:ligatures w14:val="none"/>
              </w:rPr>
            </w:pPr>
            <w:r>
              <w:rPr>
                <w:rFonts w:cs="Segoe UI"/>
                <w:color w:val="000000"/>
                <w:kern w:val="0"/>
                <w:sz w:val="24"/>
                <w:szCs w:val="23"/>
                <w14:ligatures w14:val="none"/>
              </w:rPr>
              <w:t>2.7, 2.5</w:t>
            </w:r>
          </w:p>
        </w:tc>
      </w:tr>
      <w:tr w:rsidR="007342F8" w14:paraId="3F1B0543" w14:textId="77777777" w:rsidTr="007342F8">
        <w:trPr>
          <w:trHeight w:hRule="exact" w:val="391"/>
        </w:trPr>
        <w:tc>
          <w:tcPr>
            <w:tcW w:w="1665" w:type="pct"/>
          </w:tcPr>
          <w:p w14:paraId="03683F39"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Astragaloside IV</w:t>
            </w:r>
          </w:p>
        </w:tc>
        <w:tc>
          <w:tcPr>
            <w:tcW w:w="877" w:type="pct"/>
          </w:tcPr>
          <w:p w14:paraId="514E1F9C"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-8.1</w:t>
            </w:r>
          </w:p>
        </w:tc>
        <w:tc>
          <w:tcPr>
            <w:tcW w:w="1490" w:type="pct"/>
          </w:tcPr>
          <w:p w14:paraId="3D1F7C76"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Asp909</w:t>
            </w:r>
          </w:p>
        </w:tc>
        <w:tc>
          <w:tcPr>
            <w:tcW w:w="968" w:type="pct"/>
          </w:tcPr>
          <w:p w14:paraId="7BF69E12"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3.2, 3.5</w:t>
            </w:r>
          </w:p>
        </w:tc>
      </w:tr>
      <w:tr w:rsidR="007342F8" w14:paraId="196AF62D" w14:textId="77777777" w:rsidTr="007342F8">
        <w:trPr>
          <w:trHeight w:hRule="exact" w:val="391"/>
        </w:trPr>
        <w:tc>
          <w:tcPr>
            <w:tcW w:w="1665" w:type="pct"/>
            <w:tcBorders>
              <w:bottom w:val="nil"/>
            </w:tcBorders>
          </w:tcPr>
          <w:p w14:paraId="31513826"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4-Acetylantroquinonol B</w:t>
            </w:r>
          </w:p>
        </w:tc>
        <w:tc>
          <w:tcPr>
            <w:tcW w:w="877" w:type="pct"/>
            <w:tcBorders>
              <w:bottom w:val="nil"/>
            </w:tcBorders>
          </w:tcPr>
          <w:p w14:paraId="13E3D20A"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-7.</w:t>
            </w:r>
            <w:r>
              <w:rPr>
                <w:rFonts w:cs="Segoe UI" w:hint="eastAsia"/>
                <w:color w:val="000000"/>
                <w:kern w:val="0"/>
                <w:sz w:val="24"/>
                <w:szCs w:val="23"/>
                <w14:ligatures w14:val="none"/>
              </w:rPr>
              <w:t>4</w:t>
            </w:r>
          </w:p>
        </w:tc>
        <w:tc>
          <w:tcPr>
            <w:tcW w:w="1490" w:type="pct"/>
            <w:tcBorders>
              <w:bottom w:val="nil"/>
            </w:tcBorders>
          </w:tcPr>
          <w:p w14:paraId="25FD8102"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THR-453, ARG-302</w:t>
            </w:r>
          </w:p>
        </w:tc>
        <w:tc>
          <w:tcPr>
            <w:tcW w:w="968" w:type="pct"/>
            <w:tcBorders>
              <w:bottom w:val="nil"/>
            </w:tcBorders>
          </w:tcPr>
          <w:p w14:paraId="094AE61F"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2.9, 3.0, 3.0,</w:t>
            </w:r>
          </w:p>
        </w:tc>
      </w:tr>
      <w:tr w:rsidR="007342F8" w14:paraId="401D7106" w14:textId="77777777" w:rsidTr="007342F8">
        <w:trPr>
          <w:trHeight w:hRule="exact" w:val="966"/>
        </w:trPr>
        <w:tc>
          <w:tcPr>
            <w:tcW w:w="1665" w:type="pct"/>
            <w:tcBorders>
              <w:top w:val="nil"/>
              <w:bottom w:val="single" w:sz="12" w:space="0" w:color="auto"/>
            </w:tcBorders>
          </w:tcPr>
          <w:p w14:paraId="06D4533B"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Salvianolic Acid A</w:t>
            </w:r>
          </w:p>
        </w:tc>
        <w:tc>
          <w:tcPr>
            <w:tcW w:w="877" w:type="pct"/>
            <w:tcBorders>
              <w:top w:val="nil"/>
              <w:bottom w:val="single" w:sz="12" w:space="0" w:color="auto"/>
            </w:tcBorders>
          </w:tcPr>
          <w:p w14:paraId="1A89B941" w14:textId="77777777" w:rsidR="007342F8" w:rsidRDefault="006B7C19">
            <w:pPr>
              <w:widowControl/>
              <w:wordWrap w:val="0"/>
              <w:jc w:val="center"/>
              <w:rPr>
                <w:rFonts w:cs="Segoe UI"/>
                <w:color w:val="000000"/>
                <w:kern w:val="0"/>
                <w:sz w:val="24"/>
                <w:szCs w:val="23"/>
                <w14:ligatures w14:val="none"/>
              </w:rPr>
            </w:pPr>
            <w:r>
              <w:rPr>
                <w:rFonts w:cs="Segoe UI" w:hint="eastAsia"/>
                <w:color w:val="000000"/>
                <w:kern w:val="0"/>
                <w:sz w:val="24"/>
                <w:szCs w:val="23"/>
                <w14:ligatures w14:val="none"/>
              </w:rPr>
              <w:t>-7.3</w:t>
            </w:r>
          </w:p>
        </w:tc>
        <w:tc>
          <w:tcPr>
            <w:tcW w:w="1490" w:type="pct"/>
            <w:tcBorders>
              <w:top w:val="nil"/>
              <w:bottom w:val="single" w:sz="12" w:space="0" w:color="auto"/>
            </w:tcBorders>
          </w:tcPr>
          <w:p w14:paraId="3094BCA5"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GLU-143, ARG-255, THR-331, LYS-242, TYR-333</w:t>
            </w:r>
          </w:p>
        </w:tc>
        <w:tc>
          <w:tcPr>
            <w:tcW w:w="968" w:type="pct"/>
            <w:tcBorders>
              <w:top w:val="nil"/>
              <w:bottom w:val="single" w:sz="12" w:space="0" w:color="auto"/>
            </w:tcBorders>
          </w:tcPr>
          <w:p w14:paraId="5515CB19" w14:textId="77777777" w:rsidR="007342F8" w:rsidRDefault="006B7C19">
            <w:pPr>
              <w:widowControl/>
              <w:wordWrap w:val="0"/>
              <w:jc w:val="center"/>
              <w:rPr>
                <w:rFonts w:cs="Segoe UI"/>
                <w:color w:val="000000"/>
                <w:kern w:val="0"/>
                <w:sz w:val="24"/>
                <w:szCs w:val="23"/>
                <w14:ligatures w14:val="none"/>
              </w:rPr>
            </w:pPr>
            <w:r>
              <w:rPr>
                <w:rFonts w:cs="Segoe UI"/>
                <w:color w:val="000000"/>
                <w:kern w:val="0"/>
                <w:sz w:val="24"/>
                <w:szCs w:val="23"/>
                <w14:ligatures w14:val="none"/>
              </w:rPr>
              <w:t>2.3, 2.9, 3.1,3.3, 2.9, 2.5</w:t>
            </w:r>
          </w:p>
        </w:tc>
      </w:tr>
    </w:tbl>
    <w:p w14:paraId="031AD9DE" w14:textId="77777777" w:rsidR="007342F8" w:rsidRDefault="007342F8"/>
    <w:p w14:paraId="6C5D0490" w14:textId="77777777" w:rsidR="007342F8" w:rsidRDefault="007342F8"/>
    <w:sectPr w:rsidR="00734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23F35" w14:textId="77777777" w:rsidR="00DD35B3" w:rsidRDefault="00DD35B3" w:rsidP="00045CB4">
      <w:r>
        <w:separator/>
      </w:r>
    </w:p>
  </w:endnote>
  <w:endnote w:type="continuationSeparator" w:id="0">
    <w:p w14:paraId="68641163" w14:textId="77777777" w:rsidR="00DD35B3" w:rsidRDefault="00DD35B3" w:rsidP="000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29E1D" w14:textId="77777777" w:rsidR="00DD35B3" w:rsidRDefault="00DD35B3" w:rsidP="00045CB4">
      <w:r>
        <w:separator/>
      </w:r>
    </w:p>
  </w:footnote>
  <w:footnote w:type="continuationSeparator" w:id="0">
    <w:p w14:paraId="18146658" w14:textId="77777777" w:rsidR="00DD35B3" w:rsidRDefault="00DD35B3" w:rsidP="00045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2tDA2NjM1NLI0NDNT0lEKTi0uzszPAykwrAUAX246uCwAAAA="/>
    <w:docVar w:name="commondata" w:val="eyJoZGlkIjoiZjIwZGNkMjkxYzU5MjA1ODU2MTdmYmIwODViYTAxM2QifQ=="/>
  </w:docVars>
  <w:rsids>
    <w:rsidRoot w:val="002475F7"/>
    <w:rsid w:val="000074A6"/>
    <w:rsid w:val="00045CB4"/>
    <w:rsid w:val="001B5DFD"/>
    <w:rsid w:val="002475F7"/>
    <w:rsid w:val="00273DFD"/>
    <w:rsid w:val="002E7A53"/>
    <w:rsid w:val="003569E8"/>
    <w:rsid w:val="003879F7"/>
    <w:rsid w:val="00413F40"/>
    <w:rsid w:val="004E0332"/>
    <w:rsid w:val="004F2806"/>
    <w:rsid w:val="005122F2"/>
    <w:rsid w:val="0056601E"/>
    <w:rsid w:val="005C6F69"/>
    <w:rsid w:val="006B7C19"/>
    <w:rsid w:val="006C1C3B"/>
    <w:rsid w:val="007342F8"/>
    <w:rsid w:val="00947DFE"/>
    <w:rsid w:val="00C75671"/>
    <w:rsid w:val="00CA4E59"/>
    <w:rsid w:val="00CE78A8"/>
    <w:rsid w:val="00D44B77"/>
    <w:rsid w:val="00D95CED"/>
    <w:rsid w:val="00DC7F20"/>
    <w:rsid w:val="00DD35B3"/>
    <w:rsid w:val="00EB439F"/>
    <w:rsid w:val="00F72847"/>
    <w:rsid w:val="06BF6017"/>
    <w:rsid w:val="09B47B93"/>
    <w:rsid w:val="0A7506EE"/>
    <w:rsid w:val="0DF602DB"/>
    <w:rsid w:val="0FB56E78"/>
    <w:rsid w:val="0FCA5346"/>
    <w:rsid w:val="2D100559"/>
    <w:rsid w:val="2F7215C9"/>
    <w:rsid w:val="3E9D56FC"/>
    <w:rsid w:val="41AB1CCA"/>
    <w:rsid w:val="474F4272"/>
    <w:rsid w:val="6306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0447"/>
  <w15:docId w15:val="{5488976C-C031-4FC6-9076-FCC2767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customStyle="1" w:styleId="1">
    <w:name w:val="样式1"/>
    <w:basedOn w:val="TableNormal"/>
    <w:uiPriority w:val="99"/>
    <w:qFormat/>
    <w:pPr>
      <w:jc w:val="both"/>
    </w:pPr>
    <w:tblPr>
      <w:tblBorders>
        <w:top w:val="single" w:sz="4" w:space="0" w:color="auto"/>
        <w:bottom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0">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1">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a">
    <w:name w:val="三线表"/>
    <w:basedOn w:val="TableNormal"/>
    <w:uiPriority w:val="99"/>
    <w:qFormat/>
    <w:rPr>
      <w:rFonts w:ascii="Times New Roman" w:eastAsia="SimSun" w:hAnsi="Times New Roman" w:cs="Times New Roman"/>
    </w:rPr>
    <w:tblPr>
      <w:tblBorders>
        <w:top w:val="single" w:sz="12" w:space="0" w:color="000000"/>
        <w:bottom w:val="single" w:sz="12" w:space="0" w:color="000000"/>
      </w:tblBorders>
    </w:tblPr>
    <w:tblStylePr w:type="firstRow">
      <w:rPr>
        <w:rFonts w:ascii="Times New Roman" w:eastAsia="SimSun" w:hAnsi="Times New Roman"/>
      </w:rPr>
      <w:tblPr/>
      <w:tcPr>
        <w:tcBorders>
          <w:bottom w:val="single" w:sz="4"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F401A-DE60-46E2-A182-66754BD3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D</dc:creator>
  <cp:lastModifiedBy>Balapriya R.</cp:lastModifiedBy>
  <cp:revision>25</cp:revision>
  <dcterms:created xsi:type="dcterms:W3CDTF">2025-08-10T16:52:00Z</dcterms:created>
  <dcterms:modified xsi:type="dcterms:W3CDTF">2026-06-16T09:17:00Z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eyJoZGlkIjoiZjIwZGNkMjkxYzU5MjA1ODU2MTdmYmIwODViYTAxM2QiLCJ1c2VySWQiOiIxMzc0NDI3MTg2MTEifQ==</vt:lpwstr>
  </property>
  <property fmtid="{D5CDD505-2E9C-101B-9397-08002B2CF9AE}" pid="3" name="KSOProductBuildVer">
    <vt:lpwstr>2052-12.1.0.18276</vt:lpwstr>
  </property>
  <property fmtid="{D5CDD505-2E9C-101B-9397-08002B2CF9AE}" pid="4" name="ICV">
    <vt:lpwstr>06B1EE1590A148C8AE54384AF3CA0E11_13</vt:lpwstr>
  </property>
</Properties>
</file>