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70C8" w14:textId="77777777" w:rsidR="00D8491D" w:rsidRPr="000C3CD1" w:rsidRDefault="00D8491D" w:rsidP="00D8491D">
      <w:pPr>
        <w:rPr>
          <w:rFonts w:eastAsia="Cambria" w:cs="Times New Roman"/>
          <w:b/>
          <w:color w:val="000000"/>
          <w:szCs w:val="24"/>
        </w:rPr>
      </w:pPr>
      <w:r w:rsidRPr="000C3CD1">
        <w:rPr>
          <w:rFonts w:eastAsia="Cambria" w:cs="Times New Roman"/>
          <w:b/>
          <w:color w:val="000000"/>
          <w:szCs w:val="24"/>
        </w:rPr>
        <w:t>Appendix A - Further Robustness Check</w:t>
      </w:r>
    </w:p>
    <w:p w14:paraId="05556B1F" w14:textId="77777777" w:rsidR="00D8491D" w:rsidRPr="000C3CD1" w:rsidRDefault="00D8491D" w:rsidP="00D8491D">
      <w:pPr>
        <w:jc w:val="both"/>
        <w:rPr>
          <w:color w:val="000000"/>
          <w:lang w:eastAsia="zh-CN"/>
        </w:rPr>
      </w:pPr>
      <w:r w:rsidRPr="000C3CD1">
        <w:rPr>
          <w:color w:val="000000"/>
          <w:lang w:eastAsia="zh-CN"/>
        </w:rPr>
        <w:t>Table A1 reports the results of the robustness check using confidence intervals.</w:t>
      </w:r>
      <w:r w:rsidRPr="000C3CD1">
        <w:rPr>
          <w:rFonts w:hint="eastAsia"/>
          <w:color w:val="000000"/>
          <w:lang w:eastAsia="zh-CN"/>
        </w:rPr>
        <w:t xml:space="preserve"> </w:t>
      </w:r>
      <w:r w:rsidRPr="000C3CD1">
        <w:rPr>
          <w:color w:val="000000"/>
          <w:lang w:eastAsia="zh-CN"/>
        </w:rPr>
        <w:t>The numbers in brackets are the 95% confidence intervals for each DID coefficient. They show the range within which the true effect is likely to fall with 95% probability. If the interval excludes zero, the effect is statistically significant at the 0.05 level. For self-reported health [0.043, 0.223] and memory [0.030, 0.568], the intervals do not contain zero, indicating significant positive effects. For CES-D [−1.230, 0.214], the interval includes zero, meaning the effect is not statistically significant.</w:t>
      </w:r>
    </w:p>
    <w:p w14:paraId="38FB3C29" w14:textId="77777777" w:rsidR="00D8491D" w:rsidRPr="000C3CD1" w:rsidRDefault="00D8491D" w:rsidP="00D8491D">
      <w:pPr>
        <w:rPr>
          <w:color w:val="000000"/>
          <w:szCs w:val="24"/>
        </w:rPr>
      </w:pPr>
      <w:r w:rsidRPr="000C3CD1">
        <w:rPr>
          <w:color w:val="000000"/>
          <w:szCs w:val="24"/>
        </w:rPr>
        <w:t>Table A1. Robustness Check: Using Confidence Intervals</w:t>
      </w:r>
    </w:p>
    <w:tbl>
      <w:tblPr>
        <w:tblW w:w="10482" w:type="dxa"/>
        <w:jc w:val="center"/>
        <w:tblLayout w:type="fixed"/>
        <w:tblCellMar>
          <w:left w:w="75" w:type="dxa"/>
          <w:right w:w="75" w:type="dxa"/>
        </w:tblCellMar>
        <w:tblLook w:val="0000" w:firstRow="0" w:lastRow="0" w:firstColumn="0" w:lastColumn="0" w:noHBand="0" w:noVBand="0"/>
      </w:tblPr>
      <w:tblGrid>
        <w:gridCol w:w="2130"/>
        <w:gridCol w:w="3024"/>
        <w:gridCol w:w="2736"/>
        <w:gridCol w:w="2592"/>
      </w:tblGrid>
      <w:tr w:rsidR="00D8491D" w:rsidRPr="000C3CD1" w14:paraId="29E4C675" w14:textId="77777777" w:rsidTr="00BA758F">
        <w:trPr>
          <w:jc w:val="center"/>
        </w:trPr>
        <w:tc>
          <w:tcPr>
            <w:tcW w:w="2130" w:type="dxa"/>
            <w:tcBorders>
              <w:top w:val="single" w:sz="6" w:space="0" w:color="auto"/>
              <w:left w:val="nil"/>
              <w:bottom w:val="nil"/>
              <w:right w:val="nil"/>
            </w:tcBorders>
          </w:tcPr>
          <w:p w14:paraId="193FB7B4"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single" w:sz="6" w:space="0" w:color="auto"/>
              <w:left w:val="nil"/>
              <w:bottom w:val="nil"/>
              <w:right w:val="nil"/>
            </w:tcBorders>
          </w:tcPr>
          <w:p w14:paraId="3C7740D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w:t>
            </w:r>
          </w:p>
        </w:tc>
        <w:tc>
          <w:tcPr>
            <w:tcW w:w="2736" w:type="dxa"/>
            <w:tcBorders>
              <w:top w:val="single" w:sz="6" w:space="0" w:color="auto"/>
              <w:left w:val="nil"/>
              <w:bottom w:val="nil"/>
              <w:right w:val="nil"/>
            </w:tcBorders>
          </w:tcPr>
          <w:p w14:paraId="45FE764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w:t>
            </w:r>
          </w:p>
        </w:tc>
        <w:tc>
          <w:tcPr>
            <w:tcW w:w="2592" w:type="dxa"/>
            <w:tcBorders>
              <w:top w:val="single" w:sz="6" w:space="0" w:color="auto"/>
              <w:left w:val="nil"/>
              <w:bottom w:val="nil"/>
              <w:right w:val="nil"/>
            </w:tcBorders>
          </w:tcPr>
          <w:p w14:paraId="4E0B7DC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w:t>
            </w:r>
          </w:p>
        </w:tc>
      </w:tr>
      <w:tr w:rsidR="00D8491D" w:rsidRPr="000C3CD1" w14:paraId="6DA311B7" w14:textId="77777777" w:rsidTr="00BA758F">
        <w:trPr>
          <w:jc w:val="center"/>
        </w:trPr>
        <w:tc>
          <w:tcPr>
            <w:tcW w:w="2130" w:type="dxa"/>
            <w:tcBorders>
              <w:top w:val="nil"/>
              <w:left w:val="nil"/>
              <w:bottom w:val="single" w:sz="6" w:space="0" w:color="auto"/>
              <w:right w:val="nil"/>
            </w:tcBorders>
          </w:tcPr>
          <w:p w14:paraId="489E52D1" w14:textId="77777777" w:rsidR="00D8491D" w:rsidRPr="000C3CD1" w:rsidRDefault="00D8491D" w:rsidP="00BA758F">
            <w:pPr>
              <w:autoSpaceDE w:val="0"/>
              <w:autoSpaceDN w:val="0"/>
              <w:adjustRightInd w:val="0"/>
              <w:spacing w:after="0"/>
              <w:rPr>
                <w:rFonts w:cs="Times New Roman"/>
                <w:color w:val="000000"/>
                <w:sz w:val="22"/>
              </w:rPr>
            </w:pPr>
            <w:r w:rsidRPr="000C3CD1">
              <w:rPr>
                <w:color w:val="000000"/>
              </w:rPr>
              <w:t>Variables</w:t>
            </w:r>
          </w:p>
        </w:tc>
        <w:tc>
          <w:tcPr>
            <w:tcW w:w="3024" w:type="dxa"/>
            <w:tcBorders>
              <w:top w:val="nil"/>
              <w:left w:val="nil"/>
              <w:bottom w:val="single" w:sz="6" w:space="0" w:color="auto"/>
              <w:right w:val="nil"/>
            </w:tcBorders>
          </w:tcPr>
          <w:p w14:paraId="7CDBED5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Self-Reported Health</w:t>
            </w:r>
          </w:p>
        </w:tc>
        <w:tc>
          <w:tcPr>
            <w:tcW w:w="2736" w:type="dxa"/>
            <w:tcBorders>
              <w:top w:val="nil"/>
              <w:left w:val="nil"/>
              <w:bottom w:val="single" w:sz="6" w:space="0" w:color="auto"/>
              <w:right w:val="nil"/>
            </w:tcBorders>
          </w:tcPr>
          <w:p w14:paraId="1C2E405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Memory</w:t>
            </w:r>
          </w:p>
        </w:tc>
        <w:tc>
          <w:tcPr>
            <w:tcW w:w="2592" w:type="dxa"/>
            <w:tcBorders>
              <w:top w:val="nil"/>
              <w:left w:val="nil"/>
              <w:bottom w:val="single" w:sz="6" w:space="0" w:color="auto"/>
              <w:right w:val="nil"/>
            </w:tcBorders>
          </w:tcPr>
          <w:p w14:paraId="3567E40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CES-D</w:t>
            </w:r>
          </w:p>
        </w:tc>
      </w:tr>
      <w:tr w:rsidR="00D8491D" w:rsidRPr="000C3CD1" w14:paraId="13897B8A" w14:textId="77777777" w:rsidTr="00BA758F">
        <w:trPr>
          <w:jc w:val="center"/>
        </w:trPr>
        <w:tc>
          <w:tcPr>
            <w:tcW w:w="2130" w:type="dxa"/>
            <w:tcBorders>
              <w:top w:val="nil"/>
              <w:left w:val="nil"/>
              <w:bottom w:val="nil"/>
              <w:right w:val="nil"/>
            </w:tcBorders>
          </w:tcPr>
          <w:p w14:paraId="23EB9663"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DID</w:t>
            </w:r>
          </w:p>
        </w:tc>
        <w:tc>
          <w:tcPr>
            <w:tcW w:w="3024" w:type="dxa"/>
            <w:tcBorders>
              <w:top w:val="nil"/>
              <w:left w:val="nil"/>
              <w:bottom w:val="nil"/>
              <w:right w:val="nil"/>
            </w:tcBorders>
          </w:tcPr>
          <w:p w14:paraId="1FF5260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0.1334***</w:t>
            </w:r>
          </w:p>
        </w:tc>
        <w:tc>
          <w:tcPr>
            <w:tcW w:w="2736" w:type="dxa"/>
            <w:tcBorders>
              <w:top w:val="nil"/>
              <w:left w:val="nil"/>
              <w:bottom w:val="nil"/>
              <w:right w:val="nil"/>
            </w:tcBorders>
          </w:tcPr>
          <w:p w14:paraId="1AC016F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0.2988**</w:t>
            </w:r>
          </w:p>
        </w:tc>
        <w:tc>
          <w:tcPr>
            <w:tcW w:w="2592" w:type="dxa"/>
            <w:tcBorders>
              <w:top w:val="nil"/>
              <w:left w:val="nil"/>
              <w:bottom w:val="nil"/>
              <w:right w:val="nil"/>
            </w:tcBorders>
          </w:tcPr>
          <w:p w14:paraId="563D94F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-0.5079</w:t>
            </w:r>
          </w:p>
        </w:tc>
      </w:tr>
      <w:tr w:rsidR="00D8491D" w:rsidRPr="000C3CD1" w14:paraId="5EC30801" w14:textId="77777777" w:rsidTr="00BA758F">
        <w:trPr>
          <w:jc w:val="center"/>
        </w:trPr>
        <w:tc>
          <w:tcPr>
            <w:tcW w:w="2130" w:type="dxa"/>
            <w:tcBorders>
              <w:top w:val="nil"/>
              <w:left w:val="nil"/>
              <w:bottom w:val="nil"/>
              <w:right w:val="nil"/>
            </w:tcBorders>
          </w:tcPr>
          <w:p w14:paraId="1C551781"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0773767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(0.043 - 0.223)</w:t>
            </w:r>
          </w:p>
        </w:tc>
        <w:tc>
          <w:tcPr>
            <w:tcW w:w="2736" w:type="dxa"/>
            <w:tcBorders>
              <w:top w:val="nil"/>
              <w:left w:val="nil"/>
              <w:bottom w:val="nil"/>
              <w:right w:val="nil"/>
            </w:tcBorders>
          </w:tcPr>
          <w:p w14:paraId="7393D14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(0.030 - 0.568)</w:t>
            </w:r>
          </w:p>
        </w:tc>
        <w:tc>
          <w:tcPr>
            <w:tcW w:w="2592" w:type="dxa"/>
            <w:tcBorders>
              <w:top w:val="nil"/>
              <w:left w:val="nil"/>
              <w:bottom w:val="nil"/>
              <w:right w:val="nil"/>
            </w:tcBorders>
          </w:tcPr>
          <w:p w14:paraId="08D1414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(-1.230 - 0.214)</w:t>
            </w:r>
          </w:p>
        </w:tc>
      </w:tr>
      <w:tr w:rsidR="00D8491D" w:rsidRPr="000C3CD1" w14:paraId="3E7BF67A" w14:textId="77777777" w:rsidTr="00BA758F">
        <w:trPr>
          <w:jc w:val="center"/>
        </w:trPr>
        <w:tc>
          <w:tcPr>
            <w:tcW w:w="2130" w:type="dxa"/>
            <w:tcBorders>
              <w:top w:val="nil"/>
              <w:left w:val="nil"/>
              <w:bottom w:val="nil"/>
              <w:right w:val="nil"/>
            </w:tcBorders>
          </w:tcPr>
          <w:p w14:paraId="7B16F0D1"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Age</w:t>
            </w:r>
          </w:p>
        </w:tc>
        <w:tc>
          <w:tcPr>
            <w:tcW w:w="3024" w:type="dxa"/>
            <w:tcBorders>
              <w:top w:val="nil"/>
              <w:left w:val="nil"/>
              <w:bottom w:val="nil"/>
              <w:right w:val="nil"/>
            </w:tcBorders>
          </w:tcPr>
          <w:p w14:paraId="3A2175B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-0.0480</w:t>
            </w:r>
          </w:p>
        </w:tc>
        <w:tc>
          <w:tcPr>
            <w:tcW w:w="2736" w:type="dxa"/>
            <w:tcBorders>
              <w:top w:val="nil"/>
              <w:left w:val="nil"/>
              <w:bottom w:val="nil"/>
              <w:right w:val="nil"/>
            </w:tcBorders>
          </w:tcPr>
          <w:p w14:paraId="30ACD33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0.0580</w:t>
            </w:r>
          </w:p>
        </w:tc>
        <w:tc>
          <w:tcPr>
            <w:tcW w:w="2592" w:type="dxa"/>
            <w:tcBorders>
              <w:top w:val="nil"/>
              <w:left w:val="nil"/>
              <w:bottom w:val="nil"/>
              <w:right w:val="nil"/>
            </w:tcBorders>
          </w:tcPr>
          <w:p w14:paraId="712F4BC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-0.6913*</w:t>
            </w:r>
          </w:p>
        </w:tc>
      </w:tr>
      <w:tr w:rsidR="00D8491D" w:rsidRPr="000C3CD1" w14:paraId="04D5F509" w14:textId="77777777" w:rsidTr="00BA758F">
        <w:trPr>
          <w:jc w:val="center"/>
        </w:trPr>
        <w:tc>
          <w:tcPr>
            <w:tcW w:w="2130" w:type="dxa"/>
            <w:tcBorders>
              <w:top w:val="nil"/>
              <w:left w:val="nil"/>
              <w:bottom w:val="nil"/>
              <w:right w:val="nil"/>
            </w:tcBorders>
          </w:tcPr>
          <w:p w14:paraId="34AB7BAA"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31B3FE5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(-0.179 - 0.083)</w:t>
            </w:r>
          </w:p>
        </w:tc>
        <w:tc>
          <w:tcPr>
            <w:tcW w:w="2736" w:type="dxa"/>
            <w:tcBorders>
              <w:top w:val="nil"/>
              <w:left w:val="nil"/>
              <w:bottom w:val="nil"/>
              <w:right w:val="nil"/>
            </w:tcBorders>
          </w:tcPr>
          <w:p w14:paraId="6130A0A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(-0.338 - 0.454)</w:t>
            </w:r>
          </w:p>
        </w:tc>
        <w:tc>
          <w:tcPr>
            <w:tcW w:w="2592" w:type="dxa"/>
            <w:tcBorders>
              <w:top w:val="nil"/>
              <w:left w:val="nil"/>
              <w:bottom w:val="nil"/>
              <w:right w:val="nil"/>
            </w:tcBorders>
          </w:tcPr>
          <w:p w14:paraId="218EF83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(-1.396 - 0.013)</w:t>
            </w:r>
          </w:p>
        </w:tc>
      </w:tr>
      <w:tr w:rsidR="00D8491D" w:rsidRPr="000C3CD1" w14:paraId="13F3542C" w14:textId="77777777" w:rsidTr="00BA758F">
        <w:trPr>
          <w:jc w:val="center"/>
        </w:trPr>
        <w:tc>
          <w:tcPr>
            <w:tcW w:w="2130" w:type="dxa"/>
            <w:tcBorders>
              <w:top w:val="nil"/>
              <w:left w:val="nil"/>
              <w:bottom w:val="nil"/>
              <w:right w:val="nil"/>
            </w:tcBorders>
          </w:tcPr>
          <w:p w14:paraId="1F260894"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Education Level</w:t>
            </w:r>
          </w:p>
        </w:tc>
        <w:tc>
          <w:tcPr>
            <w:tcW w:w="3024" w:type="dxa"/>
            <w:tcBorders>
              <w:top w:val="nil"/>
              <w:left w:val="nil"/>
              <w:bottom w:val="nil"/>
              <w:right w:val="nil"/>
            </w:tcBorders>
          </w:tcPr>
          <w:p w14:paraId="1123D2F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-0.0761</w:t>
            </w:r>
          </w:p>
        </w:tc>
        <w:tc>
          <w:tcPr>
            <w:tcW w:w="2736" w:type="dxa"/>
            <w:tcBorders>
              <w:top w:val="nil"/>
              <w:left w:val="nil"/>
              <w:bottom w:val="nil"/>
              <w:right w:val="nil"/>
            </w:tcBorders>
          </w:tcPr>
          <w:p w14:paraId="2661D06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0.2022*</w:t>
            </w:r>
          </w:p>
        </w:tc>
        <w:tc>
          <w:tcPr>
            <w:tcW w:w="2592" w:type="dxa"/>
            <w:tcBorders>
              <w:top w:val="nil"/>
              <w:left w:val="nil"/>
              <w:bottom w:val="nil"/>
              <w:right w:val="nil"/>
            </w:tcBorders>
          </w:tcPr>
          <w:p w14:paraId="11841A5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0.2952</w:t>
            </w:r>
          </w:p>
        </w:tc>
      </w:tr>
      <w:tr w:rsidR="00D8491D" w:rsidRPr="000C3CD1" w14:paraId="3F135622" w14:textId="77777777" w:rsidTr="00BA758F">
        <w:trPr>
          <w:jc w:val="center"/>
        </w:trPr>
        <w:tc>
          <w:tcPr>
            <w:tcW w:w="2130" w:type="dxa"/>
            <w:tcBorders>
              <w:top w:val="nil"/>
              <w:left w:val="nil"/>
              <w:bottom w:val="nil"/>
              <w:right w:val="nil"/>
            </w:tcBorders>
          </w:tcPr>
          <w:p w14:paraId="78F0EA48"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4D58C53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(-0.246 - 0.093)</w:t>
            </w:r>
          </w:p>
        </w:tc>
        <w:tc>
          <w:tcPr>
            <w:tcW w:w="2736" w:type="dxa"/>
            <w:tcBorders>
              <w:top w:val="nil"/>
              <w:left w:val="nil"/>
              <w:bottom w:val="nil"/>
              <w:right w:val="nil"/>
            </w:tcBorders>
          </w:tcPr>
          <w:p w14:paraId="6193A36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(-0.000 - 0.405)</w:t>
            </w:r>
          </w:p>
        </w:tc>
        <w:tc>
          <w:tcPr>
            <w:tcW w:w="2592" w:type="dxa"/>
            <w:tcBorders>
              <w:top w:val="nil"/>
              <w:left w:val="nil"/>
              <w:bottom w:val="nil"/>
              <w:right w:val="nil"/>
            </w:tcBorders>
          </w:tcPr>
          <w:p w14:paraId="77EFA17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(-0.512 - 1.102)</w:t>
            </w:r>
          </w:p>
        </w:tc>
      </w:tr>
      <w:tr w:rsidR="00D8491D" w:rsidRPr="000C3CD1" w14:paraId="2B747ADC" w14:textId="77777777" w:rsidTr="00BA758F">
        <w:trPr>
          <w:jc w:val="center"/>
        </w:trPr>
        <w:tc>
          <w:tcPr>
            <w:tcW w:w="2130" w:type="dxa"/>
            <w:tcBorders>
              <w:top w:val="nil"/>
              <w:left w:val="nil"/>
              <w:bottom w:val="nil"/>
              <w:right w:val="nil"/>
            </w:tcBorders>
          </w:tcPr>
          <w:p w14:paraId="63DC3DD3"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Marital Status</w:t>
            </w:r>
          </w:p>
        </w:tc>
        <w:tc>
          <w:tcPr>
            <w:tcW w:w="3024" w:type="dxa"/>
            <w:tcBorders>
              <w:top w:val="nil"/>
              <w:left w:val="nil"/>
              <w:bottom w:val="nil"/>
              <w:right w:val="nil"/>
            </w:tcBorders>
          </w:tcPr>
          <w:p w14:paraId="133CC1F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0.1074***</w:t>
            </w:r>
          </w:p>
        </w:tc>
        <w:tc>
          <w:tcPr>
            <w:tcW w:w="2736" w:type="dxa"/>
            <w:tcBorders>
              <w:top w:val="nil"/>
              <w:left w:val="nil"/>
              <w:bottom w:val="nil"/>
              <w:right w:val="nil"/>
            </w:tcBorders>
          </w:tcPr>
          <w:p w14:paraId="1CE8D87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0.3742***</w:t>
            </w:r>
          </w:p>
        </w:tc>
        <w:tc>
          <w:tcPr>
            <w:tcW w:w="2592" w:type="dxa"/>
            <w:tcBorders>
              <w:top w:val="nil"/>
              <w:left w:val="nil"/>
              <w:bottom w:val="nil"/>
              <w:right w:val="nil"/>
            </w:tcBorders>
          </w:tcPr>
          <w:p w14:paraId="2BC4797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-1.2437***</w:t>
            </w:r>
          </w:p>
        </w:tc>
      </w:tr>
      <w:tr w:rsidR="00D8491D" w:rsidRPr="000C3CD1" w14:paraId="4B5D5320" w14:textId="77777777" w:rsidTr="00BA758F">
        <w:trPr>
          <w:jc w:val="center"/>
        </w:trPr>
        <w:tc>
          <w:tcPr>
            <w:tcW w:w="2130" w:type="dxa"/>
            <w:tcBorders>
              <w:top w:val="nil"/>
              <w:left w:val="nil"/>
              <w:bottom w:val="nil"/>
              <w:right w:val="nil"/>
            </w:tcBorders>
          </w:tcPr>
          <w:p w14:paraId="2E9A1F57"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69B1292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(0.033 - 0.181)</w:t>
            </w:r>
          </w:p>
        </w:tc>
        <w:tc>
          <w:tcPr>
            <w:tcW w:w="2736" w:type="dxa"/>
            <w:tcBorders>
              <w:top w:val="nil"/>
              <w:left w:val="nil"/>
              <w:bottom w:val="nil"/>
              <w:right w:val="nil"/>
            </w:tcBorders>
          </w:tcPr>
          <w:p w14:paraId="4C84306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(0.196 - 0.552)</w:t>
            </w:r>
          </w:p>
        </w:tc>
        <w:tc>
          <w:tcPr>
            <w:tcW w:w="2592" w:type="dxa"/>
            <w:tcBorders>
              <w:top w:val="nil"/>
              <w:left w:val="nil"/>
              <w:bottom w:val="nil"/>
              <w:right w:val="nil"/>
            </w:tcBorders>
          </w:tcPr>
          <w:p w14:paraId="0642CA7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(-1.738 - -0.750)</w:t>
            </w:r>
          </w:p>
        </w:tc>
      </w:tr>
      <w:tr w:rsidR="00D8491D" w:rsidRPr="000C3CD1" w14:paraId="779672D7" w14:textId="77777777" w:rsidTr="00BA758F">
        <w:trPr>
          <w:jc w:val="center"/>
        </w:trPr>
        <w:tc>
          <w:tcPr>
            <w:tcW w:w="2130" w:type="dxa"/>
            <w:tcBorders>
              <w:top w:val="nil"/>
              <w:left w:val="nil"/>
              <w:bottom w:val="nil"/>
              <w:right w:val="nil"/>
            </w:tcBorders>
          </w:tcPr>
          <w:p w14:paraId="564AD90D"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Health Insurance</w:t>
            </w:r>
          </w:p>
        </w:tc>
        <w:tc>
          <w:tcPr>
            <w:tcW w:w="3024" w:type="dxa"/>
            <w:tcBorders>
              <w:top w:val="nil"/>
              <w:left w:val="nil"/>
              <w:bottom w:val="nil"/>
              <w:right w:val="nil"/>
            </w:tcBorders>
          </w:tcPr>
          <w:p w14:paraId="1075AD2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0.0187</w:t>
            </w:r>
          </w:p>
        </w:tc>
        <w:tc>
          <w:tcPr>
            <w:tcW w:w="2736" w:type="dxa"/>
            <w:tcBorders>
              <w:top w:val="nil"/>
              <w:left w:val="nil"/>
              <w:bottom w:val="nil"/>
              <w:right w:val="nil"/>
            </w:tcBorders>
          </w:tcPr>
          <w:p w14:paraId="0D816EF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0.0809</w:t>
            </w:r>
          </w:p>
        </w:tc>
        <w:tc>
          <w:tcPr>
            <w:tcW w:w="2592" w:type="dxa"/>
            <w:tcBorders>
              <w:top w:val="nil"/>
              <w:left w:val="nil"/>
              <w:bottom w:val="nil"/>
              <w:right w:val="nil"/>
            </w:tcBorders>
          </w:tcPr>
          <w:p w14:paraId="3989D3F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-0.3557*</w:t>
            </w:r>
          </w:p>
        </w:tc>
      </w:tr>
      <w:tr w:rsidR="00D8491D" w:rsidRPr="000C3CD1" w14:paraId="63A602A6" w14:textId="77777777" w:rsidTr="00BA758F">
        <w:trPr>
          <w:jc w:val="center"/>
        </w:trPr>
        <w:tc>
          <w:tcPr>
            <w:tcW w:w="2130" w:type="dxa"/>
            <w:tcBorders>
              <w:top w:val="nil"/>
              <w:left w:val="nil"/>
              <w:bottom w:val="nil"/>
              <w:right w:val="nil"/>
            </w:tcBorders>
          </w:tcPr>
          <w:p w14:paraId="61C08B74"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32B2C9D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(-0.040 - 0.077)</w:t>
            </w:r>
          </w:p>
        </w:tc>
        <w:tc>
          <w:tcPr>
            <w:tcW w:w="2736" w:type="dxa"/>
            <w:tcBorders>
              <w:top w:val="nil"/>
              <w:left w:val="nil"/>
              <w:bottom w:val="nil"/>
              <w:right w:val="nil"/>
            </w:tcBorders>
          </w:tcPr>
          <w:p w14:paraId="0FF5274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(-0.043 - 0.205)</w:t>
            </w:r>
          </w:p>
        </w:tc>
        <w:tc>
          <w:tcPr>
            <w:tcW w:w="2592" w:type="dxa"/>
            <w:tcBorders>
              <w:top w:val="nil"/>
              <w:left w:val="nil"/>
              <w:bottom w:val="nil"/>
              <w:right w:val="nil"/>
            </w:tcBorders>
          </w:tcPr>
          <w:p w14:paraId="4AEF914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(-0.713 - 0.001)</w:t>
            </w:r>
          </w:p>
        </w:tc>
      </w:tr>
      <w:tr w:rsidR="00D8491D" w:rsidRPr="000C3CD1" w14:paraId="5C52E040" w14:textId="77777777" w:rsidTr="00BA758F">
        <w:trPr>
          <w:jc w:val="center"/>
        </w:trPr>
        <w:tc>
          <w:tcPr>
            <w:tcW w:w="2130" w:type="dxa"/>
            <w:tcBorders>
              <w:top w:val="nil"/>
              <w:left w:val="nil"/>
              <w:bottom w:val="nil"/>
              <w:right w:val="nil"/>
            </w:tcBorders>
          </w:tcPr>
          <w:p w14:paraId="72C085AD"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Pension Insurance</w:t>
            </w:r>
          </w:p>
        </w:tc>
        <w:tc>
          <w:tcPr>
            <w:tcW w:w="3024" w:type="dxa"/>
            <w:tcBorders>
              <w:top w:val="nil"/>
              <w:left w:val="nil"/>
              <w:bottom w:val="nil"/>
              <w:right w:val="nil"/>
            </w:tcBorders>
          </w:tcPr>
          <w:p w14:paraId="5ED522D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-0.0125</w:t>
            </w:r>
          </w:p>
        </w:tc>
        <w:tc>
          <w:tcPr>
            <w:tcW w:w="2736" w:type="dxa"/>
            <w:tcBorders>
              <w:top w:val="nil"/>
              <w:left w:val="nil"/>
              <w:bottom w:val="nil"/>
              <w:right w:val="nil"/>
            </w:tcBorders>
          </w:tcPr>
          <w:p w14:paraId="31A6D95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-0.1060***</w:t>
            </w:r>
          </w:p>
        </w:tc>
        <w:tc>
          <w:tcPr>
            <w:tcW w:w="2592" w:type="dxa"/>
            <w:tcBorders>
              <w:top w:val="nil"/>
              <w:left w:val="nil"/>
              <w:bottom w:val="nil"/>
              <w:right w:val="nil"/>
            </w:tcBorders>
          </w:tcPr>
          <w:p w14:paraId="68ECB7C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-0.0690</w:t>
            </w:r>
          </w:p>
        </w:tc>
      </w:tr>
      <w:tr w:rsidR="00D8491D" w:rsidRPr="000C3CD1" w14:paraId="069353E2" w14:textId="77777777" w:rsidTr="00BA758F">
        <w:trPr>
          <w:jc w:val="center"/>
        </w:trPr>
        <w:tc>
          <w:tcPr>
            <w:tcW w:w="2130" w:type="dxa"/>
            <w:tcBorders>
              <w:top w:val="nil"/>
              <w:left w:val="nil"/>
              <w:bottom w:val="nil"/>
              <w:right w:val="nil"/>
            </w:tcBorders>
          </w:tcPr>
          <w:p w14:paraId="7271CF5D"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132D140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(-0.039 - 0.014)</w:t>
            </w:r>
          </w:p>
        </w:tc>
        <w:tc>
          <w:tcPr>
            <w:tcW w:w="2736" w:type="dxa"/>
            <w:tcBorders>
              <w:top w:val="nil"/>
              <w:left w:val="nil"/>
              <w:bottom w:val="nil"/>
              <w:right w:val="nil"/>
            </w:tcBorders>
          </w:tcPr>
          <w:p w14:paraId="43652F8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(-0.180 - -0.032)</w:t>
            </w:r>
          </w:p>
        </w:tc>
        <w:tc>
          <w:tcPr>
            <w:tcW w:w="2592" w:type="dxa"/>
            <w:tcBorders>
              <w:top w:val="nil"/>
              <w:left w:val="nil"/>
              <w:bottom w:val="nil"/>
              <w:right w:val="nil"/>
            </w:tcBorders>
          </w:tcPr>
          <w:p w14:paraId="1BDCF44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(-0.262 - 0.124)</w:t>
            </w:r>
          </w:p>
        </w:tc>
      </w:tr>
      <w:tr w:rsidR="00D8491D" w:rsidRPr="000C3CD1" w14:paraId="226462E6" w14:textId="77777777" w:rsidTr="00BA758F">
        <w:trPr>
          <w:jc w:val="center"/>
        </w:trPr>
        <w:tc>
          <w:tcPr>
            <w:tcW w:w="2130" w:type="dxa"/>
            <w:tcBorders>
              <w:top w:val="nil"/>
              <w:left w:val="nil"/>
              <w:bottom w:val="nil"/>
              <w:right w:val="nil"/>
            </w:tcBorders>
          </w:tcPr>
          <w:p w14:paraId="5D05B8A7"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Hukou</w:t>
            </w:r>
          </w:p>
        </w:tc>
        <w:tc>
          <w:tcPr>
            <w:tcW w:w="3024" w:type="dxa"/>
            <w:tcBorders>
              <w:top w:val="nil"/>
              <w:left w:val="nil"/>
              <w:bottom w:val="nil"/>
              <w:right w:val="nil"/>
            </w:tcBorders>
          </w:tcPr>
          <w:p w14:paraId="3F89B74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-0.0053</w:t>
            </w:r>
          </w:p>
        </w:tc>
        <w:tc>
          <w:tcPr>
            <w:tcW w:w="2736" w:type="dxa"/>
            <w:tcBorders>
              <w:top w:val="nil"/>
              <w:left w:val="nil"/>
              <w:bottom w:val="nil"/>
              <w:right w:val="nil"/>
            </w:tcBorders>
          </w:tcPr>
          <w:p w14:paraId="214A26F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0.1956*</w:t>
            </w:r>
          </w:p>
        </w:tc>
        <w:tc>
          <w:tcPr>
            <w:tcW w:w="2592" w:type="dxa"/>
            <w:tcBorders>
              <w:top w:val="nil"/>
              <w:left w:val="nil"/>
              <w:bottom w:val="nil"/>
              <w:right w:val="nil"/>
            </w:tcBorders>
          </w:tcPr>
          <w:p w14:paraId="34C5C6B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0.5823*</w:t>
            </w:r>
          </w:p>
        </w:tc>
      </w:tr>
      <w:tr w:rsidR="00D8491D" w:rsidRPr="000C3CD1" w14:paraId="76E10895" w14:textId="77777777" w:rsidTr="00BA758F">
        <w:trPr>
          <w:jc w:val="center"/>
        </w:trPr>
        <w:tc>
          <w:tcPr>
            <w:tcW w:w="2130" w:type="dxa"/>
            <w:tcBorders>
              <w:top w:val="nil"/>
              <w:left w:val="nil"/>
              <w:bottom w:val="nil"/>
              <w:right w:val="nil"/>
            </w:tcBorders>
          </w:tcPr>
          <w:p w14:paraId="0032C8EE"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37530ED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(-0.089 - 0.078)</w:t>
            </w:r>
          </w:p>
        </w:tc>
        <w:tc>
          <w:tcPr>
            <w:tcW w:w="2736" w:type="dxa"/>
            <w:tcBorders>
              <w:top w:val="nil"/>
              <w:left w:val="nil"/>
              <w:bottom w:val="nil"/>
              <w:right w:val="nil"/>
            </w:tcBorders>
          </w:tcPr>
          <w:p w14:paraId="086DAA7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(-0.007 - 0.398)</w:t>
            </w:r>
          </w:p>
        </w:tc>
        <w:tc>
          <w:tcPr>
            <w:tcW w:w="2592" w:type="dxa"/>
            <w:tcBorders>
              <w:top w:val="nil"/>
              <w:left w:val="nil"/>
              <w:bottom w:val="nil"/>
              <w:right w:val="nil"/>
            </w:tcBorders>
          </w:tcPr>
          <w:p w14:paraId="7231ADA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(-0.098 - 1.263)</w:t>
            </w:r>
          </w:p>
        </w:tc>
      </w:tr>
      <w:tr w:rsidR="00D8491D" w:rsidRPr="000C3CD1" w14:paraId="1360179C" w14:textId="77777777" w:rsidTr="00BA758F">
        <w:trPr>
          <w:jc w:val="center"/>
        </w:trPr>
        <w:tc>
          <w:tcPr>
            <w:tcW w:w="2130" w:type="dxa"/>
            <w:tcBorders>
              <w:top w:val="nil"/>
              <w:left w:val="nil"/>
              <w:bottom w:val="nil"/>
              <w:right w:val="nil"/>
            </w:tcBorders>
          </w:tcPr>
          <w:p w14:paraId="32133FA1"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Consumption Level</w:t>
            </w:r>
          </w:p>
        </w:tc>
        <w:tc>
          <w:tcPr>
            <w:tcW w:w="3024" w:type="dxa"/>
            <w:tcBorders>
              <w:top w:val="nil"/>
              <w:left w:val="nil"/>
              <w:bottom w:val="nil"/>
              <w:right w:val="nil"/>
            </w:tcBorders>
          </w:tcPr>
          <w:p w14:paraId="277CD4F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2736" w:type="dxa"/>
            <w:tcBorders>
              <w:top w:val="nil"/>
              <w:left w:val="nil"/>
              <w:bottom w:val="nil"/>
              <w:right w:val="nil"/>
            </w:tcBorders>
          </w:tcPr>
          <w:p w14:paraId="7B01BFA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2592" w:type="dxa"/>
            <w:tcBorders>
              <w:top w:val="nil"/>
              <w:left w:val="nil"/>
              <w:bottom w:val="nil"/>
              <w:right w:val="nil"/>
            </w:tcBorders>
          </w:tcPr>
          <w:p w14:paraId="0D23041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r>
      <w:tr w:rsidR="00D8491D" w:rsidRPr="000C3CD1" w14:paraId="5C468FCD" w14:textId="77777777" w:rsidTr="00BA758F">
        <w:trPr>
          <w:jc w:val="center"/>
        </w:trPr>
        <w:tc>
          <w:tcPr>
            <w:tcW w:w="2130" w:type="dxa"/>
            <w:tcBorders>
              <w:top w:val="nil"/>
              <w:left w:val="nil"/>
              <w:bottom w:val="nil"/>
              <w:right w:val="nil"/>
            </w:tcBorders>
          </w:tcPr>
          <w:p w14:paraId="687672D1"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231FB02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(-0.000 - 0.000)</w:t>
            </w:r>
          </w:p>
        </w:tc>
        <w:tc>
          <w:tcPr>
            <w:tcW w:w="2736" w:type="dxa"/>
            <w:tcBorders>
              <w:top w:val="nil"/>
              <w:left w:val="nil"/>
              <w:bottom w:val="nil"/>
              <w:right w:val="nil"/>
            </w:tcBorders>
          </w:tcPr>
          <w:p w14:paraId="11B5245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(-0.000 - 0.000)</w:t>
            </w:r>
          </w:p>
        </w:tc>
        <w:tc>
          <w:tcPr>
            <w:tcW w:w="2592" w:type="dxa"/>
            <w:tcBorders>
              <w:top w:val="nil"/>
              <w:left w:val="nil"/>
              <w:bottom w:val="nil"/>
              <w:right w:val="nil"/>
            </w:tcBorders>
          </w:tcPr>
          <w:p w14:paraId="6D40714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(-0.000 - 0.000)</w:t>
            </w:r>
          </w:p>
        </w:tc>
      </w:tr>
      <w:tr w:rsidR="00D8491D" w:rsidRPr="000C3CD1" w14:paraId="78254D86" w14:textId="77777777" w:rsidTr="00BA758F">
        <w:trPr>
          <w:jc w:val="center"/>
        </w:trPr>
        <w:tc>
          <w:tcPr>
            <w:tcW w:w="2130" w:type="dxa"/>
            <w:tcBorders>
              <w:top w:val="nil"/>
              <w:left w:val="nil"/>
              <w:bottom w:val="nil"/>
              <w:right w:val="nil"/>
            </w:tcBorders>
          </w:tcPr>
          <w:p w14:paraId="1A07919A"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Number of Children</w:t>
            </w:r>
          </w:p>
        </w:tc>
        <w:tc>
          <w:tcPr>
            <w:tcW w:w="3024" w:type="dxa"/>
            <w:tcBorders>
              <w:top w:val="nil"/>
              <w:left w:val="nil"/>
              <w:bottom w:val="nil"/>
              <w:right w:val="nil"/>
            </w:tcBorders>
          </w:tcPr>
          <w:p w14:paraId="2F698A8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0.0050</w:t>
            </w:r>
          </w:p>
        </w:tc>
        <w:tc>
          <w:tcPr>
            <w:tcW w:w="2736" w:type="dxa"/>
            <w:tcBorders>
              <w:top w:val="nil"/>
              <w:left w:val="nil"/>
              <w:bottom w:val="nil"/>
              <w:right w:val="nil"/>
            </w:tcBorders>
          </w:tcPr>
          <w:p w14:paraId="7EF41EC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-0.0413</w:t>
            </w:r>
          </w:p>
        </w:tc>
        <w:tc>
          <w:tcPr>
            <w:tcW w:w="2592" w:type="dxa"/>
            <w:tcBorders>
              <w:top w:val="nil"/>
              <w:left w:val="nil"/>
              <w:bottom w:val="nil"/>
              <w:right w:val="nil"/>
            </w:tcBorders>
          </w:tcPr>
          <w:p w14:paraId="764CB76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0.0607</w:t>
            </w:r>
          </w:p>
        </w:tc>
      </w:tr>
      <w:tr w:rsidR="00D8491D" w:rsidRPr="000C3CD1" w14:paraId="641E1247" w14:textId="77777777" w:rsidTr="00BA758F">
        <w:trPr>
          <w:jc w:val="center"/>
        </w:trPr>
        <w:tc>
          <w:tcPr>
            <w:tcW w:w="2130" w:type="dxa"/>
            <w:tcBorders>
              <w:top w:val="nil"/>
              <w:left w:val="nil"/>
              <w:bottom w:val="nil"/>
              <w:right w:val="nil"/>
            </w:tcBorders>
          </w:tcPr>
          <w:p w14:paraId="4A1BFCCC"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2EBE065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(-0.018 - 0.028)</w:t>
            </w:r>
          </w:p>
        </w:tc>
        <w:tc>
          <w:tcPr>
            <w:tcW w:w="2736" w:type="dxa"/>
            <w:tcBorders>
              <w:top w:val="nil"/>
              <w:left w:val="nil"/>
              <w:bottom w:val="nil"/>
              <w:right w:val="nil"/>
            </w:tcBorders>
          </w:tcPr>
          <w:p w14:paraId="4B05DE1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(-0.091 - 0.009)</w:t>
            </w:r>
          </w:p>
        </w:tc>
        <w:tc>
          <w:tcPr>
            <w:tcW w:w="2592" w:type="dxa"/>
            <w:tcBorders>
              <w:top w:val="nil"/>
              <w:left w:val="nil"/>
              <w:bottom w:val="nil"/>
              <w:right w:val="nil"/>
            </w:tcBorders>
          </w:tcPr>
          <w:p w14:paraId="3B270CA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(-0.126 - 0.248)</w:t>
            </w:r>
          </w:p>
        </w:tc>
      </w:tr>
      <w:tr w:rsidR="00D8491D" w:rsidRPr="000C3CD1" w14:paraId="02E01570" w14:textId="77777777" w:rsidTr="00BA758F">
        <w:trPr>
          <w:jc w:val="center"/>
        </w:trPr>
        <w:tc>
          <w:tcPr>
            <w:tcW w:w="2130" w:type="dxa"/>
            <w:tcBorders>
              <w:top w:val="nil"/>
              <w:left w:val="nil"/>
              <w:bottom w:val="nil"/>
              <w:right w:val="nil"/>
            </w:tcBorders>
          </w:tcPr>
          <w:p w14:paraId="70B007EE"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Constant</w:t>
            </w:r>
          </w:p>
        </w:tc>
        <w:tc>
          <w:tcPr>
            <w:tcW w:w="3024" w:type="dxa"/>
            <w:tcBorders>
              <w:top w:val="nil"/>
              <w:left w:val="nil"/>
              <w:bottom w:val="nil"/>
              <w:right w:val="nil"/>
            </w:tcBorders>
          </w:tcPr>
          <w:p w14:paraId="2C2D230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5.9972</w:t>
            </w:r>
          </w:p>
        </w:tc>
        <w:tc>
          <w:tcPr>
            <w:tcW w:w="2736" w:type="dxa"/>
            <w:tcBorders>
              <w:top w:val="nil"/>
              <w:left w:val="nil"/>
              <w:bottom w:val="nil"/>
              <w:right w:val="nil"/>
            </w:tcBorders>
          </w:tcPr>
          <w:p w14:paraId="5AA4CCA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-0.6320</w:t>
            </w:r>
          </w:p>
        </w:tc>
        <w:tc>
          <w:tcPr>
            <w:tcW w:w="2592" w:type="dxa"/>
            <w:tcBorders>
              <w:top w:val="nil"/>
              <w:left w:val="nil"/>
              <w:bottom w:val="nil"/>
              <w:right w:val="nil"/>
            </w:tcBorders>
          </w:tcPr>
          <w:p w14:paraId="7F4B329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49.8452**</w:t>
            </w:r>
          </w:p>
        </w:tc>
      </w:tr>
      <w:tr w:rsidR="00D8491D" w:rsidRPr="000C3CD1" w14:paraId="2C91447C" w14:textId="77777777" w:rsidTr="00BA758F">
        <w:trPr>
          <w:jc w:val="center"/>
        </w:trPr>
        <w:tc>
          <w:tcPr>
            <w:tcW w:w="2130" w:type="dxa"/>
            <w:tcBorders>
              <w:top w:val="nil"/>
              <w:left w:val="nil"/>
              <w:bottom w:val="nil"/>
              <w:right w:val="nil"/>
            </w:tcBorders>
          </w:tcPr>
          <w:p w14:paraId="69A309AE" w14:textId="77777777" w:rsidR="00D8491D" w:rsidRPr="000C3CD1" w:rsidRDefault="00D8491D" w:rsidP="00BA758F">
            <w:pPr>
              <w:autoSpaceDE w:val="0"/>
              <w:autoSpaceDN w:val="0"/>
              <w:adjustRightInd w:val="0"/>
              <w:spacing w:after="0"/>
              <w:rPr>
                <w:rFonts w:cs="Times New Roman"/>
                <w:color w:val="000000"/>
                <w:sz w:val="22"/>
              </w:rPr>
            </w:pPr>
          </w:p>
        </w:tc>
        <w:tc>
          <w:tcPr>
            <w:tcW w:w="3024" w:type="dxa"/>
            <w:tcBorders>
              <w:top w:val="nil"/>
              <w:left w:val="nil"/>
              <w:bottom w:val="nil"/>
              <w:right w:val="nil"/>
            </w:tcBorders>
          </w:tcPr>
          <w:p w14:paraId="2EB7478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(-1.906 - 13.900)</w:t>
            </w:r>
          </w:p>
        </w:tc>
        <w:tc>
          <w:tcPr>
            <w:tcW w:w="2736" w:type="dxa"/>
            <w:tcBorders>
              <w:top w:val="nil"/>
              <w:left w:val="nil"/>
              <w:bottom w:val="nil"/>
              <w:right w:val="nil"/>
            </w:tcBorders>
          </w:tcPr>
          <w:p w14:paraId="4841004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(-24.266 - 23.002)</w:t>
            </w:r>
          </w:p>
        </w:tc>
        <w:tc>
          <w:tcPr>
            <w:tcW w:w="2592" w:type="dxa"/>
            <w:tcBorders>
              <w:top w:val="nil"/>
              <w:left w:val="nil"/>
              <w:bottom w:val="nil"/>
              <w:right w:val="nil"/>
            </w:tcBorders>
          </w:tcPr>
          <w:p w14:paraId="00B4A10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(7.465 - 92.225)</w:t>
            </w:r>
          </w:p>
        </w:tc>
      </w:tr>
      <w:tr w:rsidR="00D8491D" w:rsidRPr="000C3CD1" w14:paraId="2058820B" w14:textId="77777777" w:rsidTr="00BA758F">
        <w:trPr>
          <w:jc w:val="center"/>
        </w:trPr>
        <w:tc>
          <w:tcPr>
            <w:tcW w:w="2130" w:type="dxa"/>
            <w:tcBorders>
              <w:top w:val="nil"/>
              <w:left w:val="nil"/>
              <w:bottom w:val="nil"/>
              <w:right w:val="nil"/>
            </w:tcBorders>
          </w:tcPr>
          <w:p w14:paraId="5BFD0776"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Observations</w:t>
            </w:r>
          </w:p>
        </w:tc>
        <w:tc>
          <w:tcPr>
            <w:tcW w:w="3024" w:type="dxa"/>
            <w:tcBorders>
              <w:top w:val="nil"/>
              <w:left w:val="nil"/>
              <w:bottom w:val="nil"/>
              <w:right w:val="nil"/>
            </w:tcBorders>
          </w:tcPr>
          <w:p w14:paraId="15142AF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35,805</w:t>
            </w:r>
          </w:p>
        </w:tc>
        <w:tc>
          <w:tcPr>
            <w:tcW w:w="2736" w:type="dxa"/>
            <w:tcBorders>
              <w:top w:val="nil"/>
              <w:left w:val="nil"/>
              <w:bottom w:val="nil"/>
              <w:right w:val="nil"/>
            </w:tcBorders>
          </w:tcPr>
          <w:p w14:paraId="41C1604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31,310</w:t>
            </w:r>
          </w:p>
        </w:tc>
        <w:tc>
          <w:tcPr>
            <w:tcW w:w="2592" w:type="dxa"/>
            <w:tcBorders>
              <w:top w:val="nil"/>
              <w:left w:val="nil"/>
              <w:bottom w:val="nil"/>
              <w:right w:val="nil"/>
            </w:tcBorders>
          </w:tcPr>
          <w:p w14:paraId="329885F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34,458</w:t>
            </w:r>
          </w:p>
        </w:tc>
      </w:tr>
      <w:tr w:rsidR="00D8491D" w:rsidRPr="000C3CD1" w14:paraId="45B3D9D6" w14:textId="77777777" w:rsidTr="00BA758F">
        <w:trPr>
          <w:jc w:val="center"/>
        </w:trPr>
        <w:tc>
          <w:tcPr>
            <w:tcW w:w="2130" w:type="dxa"/>
            <w:tcBorders>
              <w:top w:val="nil"/>
              <w:left w:val="nil"/>
              <w:bottom w:val="nil"/>
              <w:right w:val="nil"/>
            </w:tcBorders>
          </w:tcPr>
          <w:p w14:paraId="7E8198A3"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lastRenderedPageBreak/>
              <w:t>R-squared</w:t>
            </w:r>
          </w:p>
        </w:tc>
        <w:tc>
          <w:tcPr>
            <w:tcW w:w="3024" w:type="dxa"/>
            <w:tcBorders>
              <w:top w:val="nil"/>
              <w:left w:val="nil"/>
              <w:bottom w:val="nil"/>
              <w:right w:val="nil"/>
            </w:tcBorders>
          </w:tcPr>
          <w:p w14:paraId="4CC9B1B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0.634</w:t>
            </w:r>
          </w:p>
        </w:tc>
        <w:tc>
          <w:tcPr>
            <w:tcW w:w="2736" w:type="dxa"/>
            <w:tcBorders>
              <w:top w:val="nil"/>
              <w:left w:val="nil"/>
              <w:bottom w:val="nil"/>
              <w:right w:val="nil"/>
            </w:tcBorders>
          </w:tcPr>
          <w:p w14:paraId="70B3366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0.665</w:t>
            </w:r>
          </w:p>
        </w:tc>
        <w:tc>
          <w:tcPr>
            <w:tcW w:w="2592" w:type="dxa"/>
            <w:tcBorders>
              <w:top w:val="nil"/>
              <w:left w:val="nil"/>
              <w:bottom w:val="nil"/>
              <w:right w:val="nil"/>
            </w:tcBorders>
          </w:tcPr>
          <w:p w14:paraId="263B22D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0.678</w:t>
            </w:r>
          </w:p>
        </w:tc>
      </w:tr>
      <w:tr w:rsidR="00D8491D" w:rsidRPr="000C3CD1" w14:paraId="3A33F87C" w14:textId="77777777" w:rsidTr="00BA758F">
        <w:trPr>
          <w:jc w:val="center"/>
        </w:trPr>
        <w:tc>
          <w:tcPr>
            <w:tcW w:w="2130" w:type="dxa"/>
            <w:tcBorders>
              <w:top w:val="nil"/>
              <w:left w:val="nil"/>
              <w:bottom w:val="nil"/>
              <w:right w:val="nil"/>
            </w:tcBorders>
          </w:tcPr>
          <w:p w14:paraId="1FB8B0C6"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Individual FE</w:t>
            </w:r>
          </w:p>
        </w:tc>
        <w:tc>
          <w:tcPr>
            <w:tcW w:w="3024" w:type="dxa"/>
            <w:tcBorders>
              <w:top w:val="nil"/>
              <w:left w:val="nil"/>
              <w:bottom w:val="nil"/>
              <w:right w:val="nil"/>
            </w:tcBorders>
          </w:tcPr>
          <w:p w14:paraId="0B62611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2736" w:type="dxa"/>
            <w:tcBorders>
              <w:top w:val="nil"/>
              <w:left w:val="nil"/>
              <w:bottom w:val="nil"/>
              <w:right w:val="nil"/>
            </w:tcBorders>
          </w:tcPr>
          <w:p w14:paraId="58337BE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2592" w:type="dxa"/>
            <w:tcBorders>
              <w:top w:val="nil"/>
              <w:left w:val="nil"/>
              <w:bottom w:val="nil"/>
              <w:right w:val="nil"/>
            </w:tcBorders>
          </w:tcPr>
          <w:p w14:paraId="4A264BB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r>
      <w:tr w:rsidR="00D8491D" w:rsidRPr="000C3CD1" w14:paraId="32AA4D1F" w14:textId="77777777" w:rsidTr="00BA758F">
        <w:tblPrEx>
          <w:tblBorders>
            <w:bottom w:val="single" w:sz="6" w:space="0" w:color="auto"/>
          </w:tblBorders>
        </w:tblPrEx>
        <w:trPr>
          <w:jc w:val="center"/>
        </w:trPr>
        <w:tc>
          <w:tcPr>
            <w:tcW w:w="2130" w:type="dxa"/>
            <w:tcBorders>
              <w:top w:val="nil"/>
              <w:left w:val="nil"/>
              <w:bottom w:val="single" w:sz="6" w:space="0" w:color="auto"/>
              <w:right w:val="nil"/>
            </w:tcBorders>
          </w:tcPr>
          <w:p w14:paraId="76D085AF"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Year FE</w:t>
            </w:r>
          </w:p>
        </w:tc>
        <w:tc>
          <w:tcPr>
            <w:tcW w:w="3024" w:type="dxa"/>
            <w:tcBorders>
              <w:top w:val="nil"/>
              <w:left w:val="nil"/>
              <w:bottom w:val="single" w:sz="6" w:space="0" w:color="auto"/>
              <w:right w:val="nil"/>
            </w:tcBorders>
          </w:tcPr>
          <w:p w14:paraId="38A5863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2736" w:type="dxa"/>
            <w:tcBorders>
              <w:top w:val="nil"/>
              <w:left w:val="nil"/>
              <w:bottom w:val="single" w:sz="6" w:space="0" w:color="auto"/>
              <w:right w:val="nil"/>
            </w:tcBorders>
          </w:tcPr>
          <w:p w14:paraId="411A6DD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2592" w:type="dxa"/>
            <w:tcBorders>
              <w:top w:val="nil"/>
              <w:left w:val="nil"/>
              <w:bottom w:val="single" w:sz="6" w:space="0" w:color="auto"/>
              <w:right w:val="nil"/>
            </w:tcBorders>
          </w:tcPr>
          <w:p w14:paraId="2DF532C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r>
    </w:tbl>
    <w:p w14:paraId="4A5D5AA7" w14:textId="77777777" w:rsidR="00D8491D" w:rsidRPr="000C3CD1" w:rsidRDefault="00D8491D" w:rsidP="00D8491D">
      <w:pPr>
        <w:autoSpaceDE w:val="0"/>
        <w:autoSpaceDN w:val="0"/>
        <w:adjustRightInd w:val="0"/>
        <w:spacing w:before="0" w:after="0"/>
        <w:rPr>
          <w:rFonts w:cs="Times New Roman"/>
          <w:color w:val="000000"/>
          <w:sz w:val="22"/>
          <w:lang w:eastAsia="zh-CN"/>
        </w:rPr>
      </w:pPr>
      <w:r w:rsidRPr="000C3CD1">
        <w:rPr>
          <w:rFonts w:cs="Times New Roman"/>
          <w:color w:val="000000"/>
          <w:sz w:val="22"/>
        </w:rPr>
        <w:t xml:space="preserve">Note: </w:t>
      </w:r>
      <w:r w:rsidRPr="000C3CD1">
        <w:rPr>
          <w:rFonts w:cs="Times New Roman" w:hint="eastAsia"/>
          <w:color w:val="000000"/>
          <w:sz w:val="22"/>
          <w:lang w:eastAsia="zh-CN"/>
        </w:rPr>
        <w:t xml:space="preserve">Confidence intervals </w:t>
      </w:r>
      <w:r w:rsidRPr="000C3CD1">
        <w:rPr>
          <w:rFonts w:cs="Times New Roman"/>
          <w:color w:val="000000"/>
          <w:sz w:val="22"/>
        </w:rPr>
        <w:t xml:space="preserve">are shown in parentheses and </w:t>
      </w:r>
      <w:r w:rsidRPr="000C3CD1">
        <w:rPr>
          <w:rFonts w:cs="Times New Roman" w:hint="eastAsia"/>
          <w:color w:val="000000"/>
          <w:sz w:val="22"/>
          <w:lang w:eastAsia="zh-CN"/>
        </w:rPr>
        <w:t>c</w:t>
      </w:r>
      <w:r w:rsidRPr="000C3CD1">
        <w:rPr>
          <w:rFonts w:cs="Times New Roman"/>
          <w:color w:val="000000"/>
          <w:sz w:val="22"/>
        </w:rPr>
        <w:t>luster-robust standard errors are clustered at city level. Asterisks reflect significance level: *** p&lt;0.01, ** p&lt;0.05, * p&lt;0.1.</w:t>
      </w:r>
    </w:p>
    <w:p w14:paraId="7A6BA1F0" w14:textId="77777777" w:rsidR="00D8491D" w:rsidRDefault="00D8491D" w:rsidP="00D8491D">
      <w:pPr>
        <w:autoSpaceDE w:val="0"/>
        <w:autoSpaceDN w:val="0"/>
        <w:adjustRightInd w:val="0"/>
        <w:spacing w:before="0" w:after="0"/>
        <w:rPr>
          <w:rFonts w:cs="Times New Roman"/>
          <w:color w:val="000000"/>
          <w:sz w:val="22"/>
          <w:lang w:eastAsia="zh-CN"/>
        </w:rPr>
      </w:pPr>
    </w:p>
    <w:p w14:paraId="6F723AD1" w14:textId="77777777" w:rsidR="001C09F4" w:rsidRDefault="001C09F4" w:rsidP="00D8491D">
      <w:pPr>
        <w:autoSpaceDE w:val="0"/>
        <w:autoSpaceDN w:val="0"/>
        <w:adjustRightInd w:val="0"/>
        <w:spacing w:before="0" w:after="0"/>
        <w:rPr>
          <w:rFonts w:cs="Times New Roman"/>
          <w:color w:val="000000"/>
          <w:sz w:val="22"/>
          <w:lang w:eastAsia="zh-CN"/>
        </w:rPr>
      </w:pPr>
    </w:p>
    <w:p w14:paraId="2A68D145" w14:textId="77777777" w:rsidR="001C09F4" w:rsidRDefault="001C09F4" w:rsidP="00D8491D">
      <w:pPr>
        <w:autoSpaceDE w:val="0"/>
        <w:autoSpaceDN w:val="0"/>
        <w:adjustRightInd w:val="0"/>
        <w:spacing w:before="0" w:after="0"/>
        <w:rPr>
          <w:rFonts w:cs="Times New Roman"/>
          <w:color w:val="000000"/>
          <w:sz w:val="22"/>
          <w:lang w:eastAsia="zh-CN"/>
        </w:rPr>
      </w:pPr>
    </w:p>
    <w:p w14:paraId="002D0C47" w14:textId="77777777" w:rsidR="001C09F4" w:rsidRDefault="001C09F4" w:rsidP="00D8491D">
      <w:pPr>
        <w:autoSpaceDE w:val="0"/>
        <w:autoSpaceDN w:val="0"/>
        <w:adjustRightInd w:val="0"/>
        <w:spacing w:before="0" w:after="0"/>
        <w:rPr>
          <w:rFonts w:cs="Times New Roman"/>
          <w:color w:val="000000"/>
          <w:sz w:val="22"/>
          <w:lang w:eastAsia="zh-CN"/>
        </w:rPr>
      </w:pPr>
    </w:p>
    <w:p w14:paraId="4303CC40" w14:textId="77777777" w:rsidR="001C09F4" w:rsidRDefault="001C09F4" w:rsidP="00D8491D">
      <w:pPr>
        <w:autoSpaceDE w:val="0"/>
        <w:autoSpaceDN w:val="0"/>
        <w:adjustRightInd w:val="0"/>
        <w:spacing w:before="0" w:after="0"/>
        <w:rPr>
          <w:rFonts w:cs="Times New Roman"/>
          <w:color w:val="000000"/>
          <w:sz w:val="22"/>
          <w:lang w:eastAsia="zh-CN"/>
        </w:rPr>
      </w:pPr>
    </w:p>
    <w:p w14:paraId="637E0097" w14:textId="77777777" w:rsidR="001C09F4" w:rsidRDefault="001C09F4" w:rsidP="00D8491D">
      <w:pPr>
        <w:autoSpaceDE w:val="0"/>
        <w:autoSpaceDN w:val="0"/>
        <w:adjustRightInd w:val="0"/>
        <w:spacing w:before="0" w:after="0"/>
        <w:rPr>
          <w:rFonts w:cs="Times New Roman"/>
          <w:color w:val="000000"/>
          <w:sz w:val="22"/>
          <w:lang w:eastAsia="zh-CN"/>
        </w:rPr>
      </w:pPr>
    </w:p>
    <w:p w14:paraId="621FCD49" w14:textId="77777777" w:rsidR="001C09F4" w:rsidRDefault="001C09F4" w:rsidP="00D8491D">
      <w:pPr>
        <w:autoSpaceDE w:val="0"/>
        <w:autoSpaceDN w:val="0"/>
        <w:adjustRightInd w:val="0"/>
        <w:spacing w:before="0" w:after="0"/>
        <w:rPr>
          <w:rFonts w:cs="Times New Roman"/>
          <w:color w:val="000000"/>
          <w:sz w:val="22"/>
          <w:lang w:eastAsia="zh-CN"/>
        </w:rPr>
      </w:pPr>
    </w:p>
    <w:p w14:paraId="781977E5" w14:textId="77777777" w:rsidR="001C09F4" w:rsidRDefault="001C09F4" w:rsidP="00D8491D">
      <w:pPr>
        <w:autoSpaceDE w:val="0"/>
        <w:autoSpaceDN w:val="0"/>
        <w:adjustRightInd w:val="0"/>
        <w:spacing w:before="0" w:after="0"/>
        <w:rPr>
          <w:rFonts w:cs="Times New Roman"/>
          <w:color w:val="000000"/>
          <w:sz w:val="22"/>
          <w:lang w:eastAsia="zh-CN"/>
        </w:rPr>
      </w:pPr>
    </w:p>
    <w:p w14:paraId="612667B7" w14:textId="77777777" w:rsidR="001C09F4" w:rsidRDefault="001C09F4" w:rsidP="00D8491D">
      <w:pPr>
        <w:autoSpaceDE w:val="0"/>
        <w:autoSpaceDN w:val="0"/>
        <w:adjustRightInd w:val="0"/>
        <w:spacing w:before="0" w:after="0"/>
        <w:rPr>
          <w:rFonts w:cs="Times New Roman"/>
          <w:color w:val="000000"/>
          <w:sz w:val="22"/>
          <w:lang w:eastAsia="zh-CN"/>
        </w:rPr>
      </w:pPr>
    </w:p>
    <w:p w14:paraId="7038E6F6" w14:textId="77777777" w:rsidR="001C09F4" w:rsidRDefault="001C09F4" w:rsidP="00D8491D">
      <w:pPr>
        <w:autoSpaceDE w:val="0"/>
        <w:autoSpaceDN w:val="0"/>
        <w:adjustRightInd w:val="0"/>
        <w:spacing w:before="0" w:after="0"/>
        <w:rPr>
          <w:rFonts w:cs="Times New Roman"/>
          <w:color w:val="000000"/>
          <w:sz w:val="22"/>
          <w:lang w:eastAsia="zh-CN"/>
        </w:rPr>
      </w:pPr>
    </w:p>
    <w:p w14:paraId="1C7CE6B8" w14:textId="77777777" w:rsidR="001C09F4" w:rsidRDefault="001C09F4" w:rsidP="00D8491D">
      <w:pPr>
        <w:autoSpaceDE w:val="0"/>
        <w:autoSpaceDN w:val="0"/>
        <w:adjustRightInd w:val="0"/>
        <w:spacing w:before="0" w:after="0"/>
        <w:rPr>
          <w:rFonts w:cs="Times New Roman"/>
          <w:color w:val="000000"/>
          <w:sz w:val="22"/>
          <w:lang w:eastAsia="zh-CN"/>
        </w:rPr>
      </w:pPr>
    </w:p>
    <w:p w14:paraId="25EB06B0" w14:textId="77777777" w:rsidR="001C09F4" w:rsidRDefault="001C09F4" w:rsidP="00D8491D">
      <w:pPr>
        <w:autoSpaceDE w:val="0"/>
        <w:autoSpaceDN w:val="0"/>
        <w:adjustRightInd w:val="0"/>
        <w:spacing w:before="0" w:after="0"/>
        <w:rPr>
          <w:rFonts w:cs="Times New Roman"/>
          <w:color w:val="000000"/>
          <w:sz w:val="22"/>
          <w:lang w:eastAsia="zh-CN"/>
        </w:rPr>
      </w:pPr>
    </w:p>
    <w:p w14:paraId="0CDEDA17" w14:textId="77777777" w:rsidR="001C09F4" w:rsidRDefault="001C09F4" w:rsidP="00D8491D">
      <w:pPr>
        <w:autoSpaceDE w:val="0"/>
        <w:autoSpaceDN w:val="0"/>
        <w:adjustRightInd w:val="0"/>
        <w:spacing w:before="0" w:after="0"/>
        <w:rPr>
          <w:rFonts w:cs="Times New Roman"/>
          <w:color w:val="000000"/>
          <w:sz w:val="22"/>
          <w:lang w:eastAsia="zh-CN"/>
        </w:rPr>
      </w:pPr>
    </w:p>
    <w:p w14:paraId="1EC0C90D" w14:textId="77777777" w:rsidR="001C09F4" w:rsidRDefault="001C09F4" w:rsidP="00D8491D">
      <w:pPr>
        <w:autoSpaceDE w:val="0"/>
        <w:autoSpaceDN w:val="0"/>
        <w:adjustRightInd w:val="0"/>
        <w:spacing w:before="0" w:after="0"/>
        <w:rPr>
          <w:rFonts w:cs="Times New Roman"/>
          <w:color w:val="000000"/>
          <w:sz w:val="22"/>
          <w:lang w:eastAsia="zh-CN"/>
        </w:rPr>
      </w:pPr>
    </w:p>
    <w:p w14:paraId="0FD5B249" w14:textId="77777777" w:rsidR="001C09F4" w:rsidRDefault="001C09F4" w:rsidP="00D8491D">
      <w:pPr>
        <w:autoSpaceDE w:val="0"/>
        <w:autoSpaceDN w:val="0"/>
        <w:adjustRightInd w:val="0"/>
        <w:spacing w:before="0" w:after="0"/>
        <w:rPr>
          <w:rFonts w:cs="Times New Roman"/>
          <w:color w:val="000000"/>
          <w:sz w:val="22"/>
          <w:lang w:eastAsia="zh-CN"/>
        </w:rPr>
      </w:pPr>
    </w:p>
    <w:p w14:paraId="76170257" w14:textId="77777777" w:rsidR="001C09F4" w:rsidRDefault="001C09F4" w:rsidP="00D8491D">
      <w:pPr>
        <w:autoSpaceDE w:val="0"/>
        <w:autoSpaceDN w:val="0"/>
        <w:adjustRightInd w:val="0"/>
        <w:spacing w:before="0" w:after="0"/>
        <w:rPr>
          <w:rFonts w:cs="Times New Roman"/>
          <w:color w:val="000000"/>
          <w:sz w:val="22"/>
          <w:lang w:eastAsia="zh-CN"/>
        </w:rPr>
      </w:pPr>
    </w:p>
    <w:p w14:paraId="02A1780A" w14:textId="77777777" w:rsidR="001C09F4" w:rsidRDefault="001C09F4" w:rsidP="00D8491D">
      <w:pPr>
        <w:autoSpaceDE w:val="0"/>
        <w:autoSpaceDN w:val="0"/>
        <w:adjustRightInd w:val="0"/>
        <w:spacing w:before="0" w:after="0"/>
        <w:rPr>
          <w:rFonts w:cs="Times New Roman"/>
          <w:color w:val="000000"/>
          <w:sz w:val="22"/>
          <w:lang w:eastAsia="zh-CN"/>
        </w:rPr>
      </w:pPr>
    </w:p>
    <w:p w14:paraId="5695A097" w14:textId="77777777" w:rsidR="001C09F4" w:rsidRDefault="001C09F4" w:rsidP="00D8491D">
      <w:pPr>
        <w:autoSpaceDE w:val="0"/>
        <w:autoSpaceDN w:val="0"/>
        <w:adjustRightInd w:val="0"/>
        <w:spacing w:before="0" w:after="0"/>
        <w:rPr>
          <w:rFonts w:cs="Times New Roman"/>
          <w:color w:val="000000"/>
          <w:sz w:val="22"/>
          <w:lang w:eastAsia="zh-CN"/>
        </w:rPr>
      </w:pPr>
    </w:p>
    <w:p w14:paraId="0F7320CD" w14:textId="77777777" w:rsidR="001C09F4" w:rsidRDefault="001C09F4" w:rsidP="00D8491D">
      <w:pPr>
        <w:autoSpaceDE w:val="0"/>
        <w:autoSpaceDN w:val="0"/>
        <w:adjustRightInd w:val="0"/>
        <w:spacing w:before="0" w:after="0"/>
        <w:rPr>
          <w:rFonts w:cs="Times New Roman"/>
          <w:color w:val="000000"/>
          <w:sz w:val="22"/>
          <w:lang w:eastAsia="zh-CN"/>
        </w:rPr>
      </w:pPr>
    </w:p>
    <w:p w14:paraId="6A36ADF5" w14:textId="77777777" w:rsidR="001C09F4" w:rsidRDefault="001C09F4" w:rsidP="00D8491D">
      <w:pPr>
        <w:autoSpaceDE w:val="0"/>
        <w:autoSpaceDN w:val="0"/>
        <w:adjustRightInd w:val="0"/>
        <w:spacing w:before="0" w:after="0"/>
        <w:rPr>
          <w:rFonts w:cs="Times New Roman"/>
          <w:color w:val="000000"/>
          <w:sz w:val="22"/>
          <w:lang w:eastAsia="zh-CN"/>
        </w:rPr>
      </w:pPr>
    </w:p>
    <w:p w14:paraId="31B0418A" w14:textId="77777777" w:rsidR="001C09F4" w:rsidRDefault="001C09F4" w:rsidP="00D8491D">
      <w:pPr>
        <w:autoSpaceDE w:val="0"/>
        <w:autoSpaceDN w:val="0"/>
        <w:adjustRightInd w:val="0"/>
        <w:spacing w:before="0" w:after="0"/>
        <w:rPr>
          <w:rFonts w:cs="Times New Roman"/>
          <w:color w:val="000000"/>
          <w:sz w:val="22"/>
          <w:lang w:eastAsia="zh-CN"/>
        </w:rPr>
      </w:pPr>
    </w:p>
    <w:p w14:paraId="13850DBA" w14:textId="77777777" w:rsidR="001C09F4" w:rsidRDefault="001C09F4" w:rsidP="00D8491D">
      <w:pPr>
        <w:autoSpaceDE w:val="0"/>
        <w:autoSpaceDN w:val="0"/>
        <w:adjustRightInd w:val="0"/>
        <w:spacing w:before="0" w:after="0"/>
        <w:rPr>
          <w:rFonts w:cs="Times New Roman"/>
          <w:color w:val="000000"/>
          <w:sz w:val="22"/>
          <w:lang w:eastAsia="zh-CN"/>
        </w:rPr>
      </w:pPr>
    </w:p>
    <w:p w14:paraId="3FB6D9A5" w14:textId="77777777" w:rsidR="001C09F4" w:rsidRDefault="001C09F4" w:rsidP="00D8491D">
      <w:pPr>
        <w:autoSpaceDE w:val="0"/>
        <w:autoSpaceDN w:val="0"/>
        <w:adjustRightInd w:val="0"/>
        <w:spacing w:before="0" w:after="0"/>
        <w:rPr>
          <w:rFonts w:cs="Times New Roman"/>
          <w:color w:val="000000"/>
          <w:sz w:val="22"/>
          <w:lang w:eastAsia="zh-CN"/>
        </w:rPr>
      </w:pPr>
    </w:p>
    <w:p w14:paraId="757FE850" w14:textId="77777777" w:rsidR="001C09F4" w:rsidRDefault="001C09F4" w:rsidP="00D8491D">
      <w:pPr>
        <w:autoSpaceDE w:val="0"/>
        <w:autoSpaceDN w:val="0"/>
        <w:adjustRightInd w:val="0"/>
        <w:spacing w:before="0" w:after="0"/>
        <w:rPr>
          <w:rFonts w:cs="Times New Roman"/>
          <w:color w:val="000000"/>
          <w:sz w:val="22"/>
          <w:lang w:eastAsia="zh-CN"/>
        </w:rPr>
      </w:pPr>
    </w:p>
    <w:p w14:paraId="6C1E451C" w14:textId="77777777" w:rsidR="001C09F4" w:rsidRDefault="001C09F4" w:rsidP="00D8491D">
      <w:pPr>
        <w:autoSpaceDE w:val="0"/>
        <w:autoSpaceDN w:val="0"/>
        <w:adjustRightInd w:val="0"/>
        <w:spacing w:before="0" w:after="0"/>
        <w:rPr>
          <w:rFonts w:cs="Times New Roman"/>
          <w:color w:val="000000"/>
          <w:sz w:val="22"/>
          <w:lang w:eastAsia="zh-CN"/>
        </w:rPr>
      </w:pPr>
    </w:p>
    <w:p w14:paraId="3225D1F5" w14:textId="77777777" w:rsidR="001C09F4" w:rsidRDefault="001C09F4" w:rsidP="00D8491D">
      <w:pPr>
        <w:autoSpaceDE w:val="0"/>
        <w:autoSpaceDN w:val="0"/>
        <w:adjustRightInd w:val="0"/>
        <w:spacing w:before="0" w:after="0"/>
        <w:rPr>
          <w:rFonts w:cs="Times New Roman"/>
          <w:color w:val="000000"/>
          <w:sz w:val="22"/>
          <w:lang w:eastAsia="zh-CN"/>
        </w:rPr>
      </w:pPr>
    </w:p>
    <w:p w14:paraId="10EE8042" w14:textId="77777777" w:rsidR="001C09F4" w:rsidRDefault="001C09F4" w:rsidP="00D8491D">
      <w:pPr>
        <w:autoSpaceDE w:val="0"/>
        <w:autoSpaceDN w:val="0"/>
        <w:adjustRightInd w:val="0"/>
        <w:spacing w:before="0" w:after="0"/>
        <w:rPr>
          <w:rFonts w:cs="Times New Roman"/>
          <w:color w:val="000000"/>
          <w:sz w:val="22"/>
          <w:lang w:eastAsia="zh-CN"/>
        </w:rPr>
      </w:pPr>
    </w:p>
    <w:p w14:paraId="2BEA158A" w14:textId="77777777" w:rsidR="001C09F4" w:rsidRDefault="001C09F4" w:rsidP="00D8491D">
      <w:pPr>
        <w:autoSpaceDE w:val="0"/>
        <w:autoSpaceDN w:val="0"/>
        <w:adjustRightInd w:val="0"/>
        <w:spacing w:before="0" w:after="0"/>
        <w:rPr>
          <w:rFonts w:cs="Times New Roman"/>
          <w:color w:val="000000"/>
          <w:sz w:val="22"/>
          <w:lang w:eastAsia="zh-CN"/>
        </w:rPr>
      </w:pPr>
    </w:p>
    <w:p w14:paraId="65430652" w14:textId="77777777" w:rsidR="001C09F4" w:rsidRDefault="001C09F4" w:rsidP="00D8491D">
      <w:pPr>
        <w:autoSpaceDE w:val="0"/>
        <w:autoSpaceDN w:val="0"/>
        <w:adjustRightInd w:val="0"/>
        <w:spacing w:before="0" w:after="0"/>
        <w:rPr>
          <w:rFonts w:cs="Times New Roman"/>
          <w:color w:val="000000"/>
          <w:sz w:val="22"/>
          <w:lang w:eastAsia="zh-CN"/>
        </w:rPr>
      </w:pPr>
    </w:p>
    <w:p w14:paraId="27DC4443" w14:textId="77777777" w:rsidR="001C09F4" w:rsidRDefault="001C09F4" w:rsidP="00D8491D">
      <w:pPr>
        <w:autoSpaceDE w:val="0"/>
        <w:autoSpaceDN w:val="0"/>
        <w:adjustRightInd w:val="0"/>
        <w:spacing w:before="0" w:after="0"/>
        <w:rPr>
          <w:rFonts w:cs="Times New Roman"/>
          <w:color w:val="000000"/>
          <w:sz w:val="22"/>
          <w:lang w:eastAsia="zh-CN"/>
        </w:rPr>
      </w:pPr>
    </w:p>
    <w:p w14:paraId="7C56C5EB" w14:textId="77777777" w:rsidR="001C09F4" w:rsidRDefault="001C09F4" w:rsidP="00D8491D">
      <w:pPr>
        <w:autoSpaceDE w:val="0"/>
        <w:autoSpaceDN w:val="0"/>
        <w:adjustRightInd w:val="0"/>
        <w:spacing w:before="0" w:after="0"/>
        <w:rPr>
          <w:rFonts w:cs="Times New Roman"/>
          <w:color w:val="000000"/>
          <w:sz w:val="22"/>
          <w:lang w:eastAsia="zh-CN"/>
        </w:rPr>
      </w:pPr>
    </w:p>
    <w:p w14:paraId="4BBC1FAB" w14:textId="77777777" w:rsidR="001C09F4" w:rsidRDefault="001C09F4" w:rsidP="00D8491D">
      <w:pPr>
        <w:autoSpaceDE w:val="0"/>
        <w:autoSpaceDN w:val="0"/>
        <w:adjustRightInd w:val="0"/>
        <w:spacing w:before="0" w:after="0"/>
        <w:rPr>
          <w:rFonts w:cs="Times New Roman"/>
          <w:color w:val="000000"/>
          <w:sz w:val="22"/>
          <w:lang w:eastAsia="zh-CN"/>
        </w:rPr>
      </w:pPr>
    </w:p>
    <w:p w14:paraId="2BB87883" w14:textId="77777777" w:rsidR="001C09F4" w:rsidRDefault="001C09F4" w:rsidP="00D8491D">
      <w:pPr>
        <w:autoSpaceDE w:val="0"/>
        <w:autoSpaceDN w:val="0"/>
        <w:adjustRightInd w:val="0"/>
        <w:spacing w:before="0" w:after="0"/>
        <w:rPr>
          <w:rFonts w:cs="Times New Roman"/>
          <w:color w:val="000000"/>
          <w:sz w:val="22"/>
          <w:lang w:eastAsia="zh-CN"/>
        </w:rPr>
      </w:pPr>
    </w:p>
    <w:p w14:paraId="509DC28B" w14:textId="77777777" w:rsidR="001C09F4" w:rsidRDefault="001C09F4" w:rsidP="00D8491D">
      <w:pPr>
        <w:autoSpaceDE w:val="0"/>
        <w:autoSpaceDN w:val="0"/>
        <w:adjustRightInd w:val="0"/>
        <w:spacing w:before="0" w:after="0"/>
        <w:rPr>
          <w:rFonts w:cs="Times New Roman"/>
          <w:color w:val="000000"/>
          <w:sz w:val="22"/>
          <w:lang w:eastAsia="zh-CN"/>
        </w:rPr>
      </w:pPr>
    </w:p>
    <w:p w14:paraId="78F654C3" w14:textId="77777777" w:rsidR="001C09F4" w:rsidRDefault="001C09F4" w:rsidP="00D8491D">
      <w:pPr>
        <w:autoSpaceDE w:val="0"/>
        <w:autoSpaceDN w:val="0"/>
        <w:adjustRightInd w:val="0"/>
        <w:spacing w:before="0" w:after="0"/>
        <w:rPr>
          <w:rFonts w:cs="Times New Roman"/>
          <w:color w:val="000000"/>
          <w:sz w:val="22"/>
          <w:lang w:eastAsia="zh-CN"/>
        </w:rPr>
      </w:pPr>
    </w:p>
    <w:p w14:paraId="408BF20E" w14:textId="77777777" w:rsidR="001C09F4" w:rsidRDefault="001C09F4" w:rsidP="00D8491D">
      <w:pPr>
        <w:autoSpaceDE w:val="0"/>
        <w:autoSpaceDN w:val="0"/>
        <w:adjustRightInd w:val="0"/>
        <w:spacing w:before="0" w:after="0"/>
        <w:rPr>
          <w:rFonts w:cs="Times New Roman"/>
          <w:color w:val="000000"/>
          <w:sz w:val="22"/>
          <w:lang w:eastAsia="zh-CN"/>
        </w:rPr>
      </w:pPr>
    </w:p>
    <w:p w14:paraId="3437EBBB" w14:textId="77777777" w:rsidR="001C09F4" w:rsidRDefault="001C09F4" w:rsidP="00D8491D">
      <w:pPr>
        <w:autoSpaceDE w:val="0"/>
        <w:autoSpaceDN w:val="0"/>
        <w:adjustRightInd w:val="0"/>
        <w:spacing w:before="0" w:after="0"/>
        <w:rPr>
          <w:rFonts w:cs="Times New Roman"/>
          <w:color w:val="000000"/>
          <w:sz w:val="22"/>
          <w:lang w:eastAsia="zh-CN"/>
        </w:rPr>
      </w:pPr>
    </w:p>
    <w:p w14:paraId="2342949E" w14:textId="77777777" w:rsidR="001C09F4" w:rsidRPr="000C3CD1" w:rsidRDefault="001C09F4" w:rsidP="00D8491D">
      <w:pPr>
        <w:autoSpaceDE w:val="0"/>
        <w:autoSpaceDN w:val="0"/>
        <w:adjustRightInd w:val="0"/>
        <w:spacing w:before="0" w:after="0"/>
        <w:rPr>
          <w:rFonts w:cs="Times New Roman"/>
          <w:color w:val="000000"/>
          <w:sz w:val="22"/>
          <w:lang w:eastAsia="zh-CN"/>
        </w:rPr>
      </w:pPr>
    </w:p>
    <w:p w14:paraId="0E307C43" w14:textId="77777777" w:rsidR="00D8491D" w:rsidRPr="000C3CD1" w:rsidRDefault="00D8491D" w:rsidP="00D8491D">
      <w:pPr>
        <w:pStyle w:val="BodyText"/>
        <w:spacing w:before="10"/>
        <w:ind w:left="0"/>
        <w:jc w:val="both"/>
        <w:rPr>
          <w:rFonts w:ascii="Times New Roman" w:eastAsiaTheme="minorEastAsia" w:hAnsi="Times New Roman" w:cs="Times New Roman"/>
          <w:i w:val="0"/>
          <w:color w:val="000000"/>
          <w:sz w:val="24"/>
          <w:szCs w:val="24"/>
          <w:lang w:eastAsia="zh-CN"/>
        </w:rPr>
      </w:pPr>
      <w:r w:rsidRPr="000C3CD1">
        <w:rPr>
          <w:rFonts w:ascii="Times New Roman" w:eastAsiaTheme="minorEastAsia" w:hAnsi="Times New Roman" w:cs="Times New Roman"/>
          <w:i w:val="0"/>
          <w:color w:val="000000"/>
          <w:sz w:val="24"/>
          <w:szCs w:val="24"/>
          <w:lang w:eastAsia="zh-CN"/>
        </w:rPr>
        <w:lastRenderedPageBreak/>
        <w:t>Given that healthcare expenditure data are typically right skewed. To address this concern, we log-transformed the cost variable and re-estimated the linear fixed effects model. The main conclusions remained unchanged. Thus, our choice of a linear fixed effects specification is justified, as the log transformation effectively mitigates the skewness issue while preserving the interpretation of within‑unit changes. Table A2 shows the robustness check using the logarithm of cost.</w:t>
      </w:r>
    </w:p>
    <w:p w14:paraId="751BC46B" w14:textId="77777777" w:rsidR="00D8491D" w:rsidRPr="000C3CD1" w:rsidRDefault="00D8491D" w:rsidP="00D8491D">
      <w:pPr>
        <w:pStyle w:val="BodyText"/>
        <w:spacing w:before="10"/>
        <w:ind w:firstLineChars="100" w:firstLine="220"/>
        <w:rPr>
          <w:rFonts w:eastAsiaTheme="minorEastAsia"/>
          <w:i w:val="0"/>
          <w:color w:val="000000"/>
          <w:sz w:val="22"/>
          <w:szCs w:val="22"/>
          <w:lang w:eastAsia="zh-CN"/>
        </w:rPr>
      </w:pPr>
    </w:p>
    <w:p w14:paraId="454B31E9" w14:textId="77777777" w:rsidR="00D8491D" w:rsidRPr="000C3CD1" w:rsidRDefault="00D8491D" w:rsidP="00D8491D">
      <w:pPr>
        <w:rPr>
          <w:color w:val="000000"/>
          <w:szCs w:val="24"/>
        </w:rPr>
      </w:pPr>
      <w:r w:rsidRPr="000C3CD1">
        <w:rPr>
          <w:color w:val="000000"/>
          <w:szCs w:val="24"/>
        </w:rPr>
        <w:t>Table A2. Robustness Check: Using Logarithm of Cost</w:t>
      </w:r>
    </w:p>
    <w:tbl>
      <w:tblPr>
        <w:tblW w:w="5973" w:type="pct"/>
        <w:jc w:val="center"/>
        <w:tblCellMar>
          <w:left w:w="75" w:type="dxa"/>
          <w:right w:w="75" w:type="dxa"/>
        </w:tblCellMar>
        <w:tblLook w:val="0000" w:firstRow="0" w:lastRow="0" w:firstColumn="0" w:lastColumn="0" w:noHBand="0" w:noVBand="0"/>
      </w:tblPr>
      <w:tblGrid>
        <w:gridCol w:w="1525"/>
        <w:gridCol w:w="1826"/>
        <w:gridCol w:w="1917"/>
        <w:gridCol w:w="1677"/>
        <w:gridCol w:w="2977"/>
      </w:tblGrid>
      <w:tr w:rsidR="00D8491D" w:rsidRPr="000C3CD1" w14:paraId="4D969816" w14:textId="77777777" w:rsidTr="00624B11">
        <w:trPr>
          <w:jc w:val="center"/>
        </w:trPr>
        <w:tc>
          <w:tcPr>
            <w:tcW w:w="769" w:type="pct"/>
            <w:tcBorders>
              <w:top w:val="single" w:sz="6" w:space="0" w:color="auto"/>
              <w:left w:val="nil"/>
              <w:bottom w:val="nil"/>
              <w:right w:val="nil"/>
            </w:tcBorders>
          </w:tcPr>
          <w:p w14:paraId="70C686D7"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single" w:sz="6" w:space="0" w:color="auto"/>
              <w:left w:val="nil"/>
              <w:bottom w:val="nil"/>
              <w:right w:val="nil"/>
            </w:tcBorders>
          </w:tcPr>
          <w:p w14:paraId="0B2FE61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w:t>
            </w:r>
          </w:p>
        </w:tc>
        <w:tc>
          <w:tcPr>
            <w:tcW w:w="966" w:type="pct"/>
            <w:tcBorders>
              <w:top w:val="single" w:sz="6" w:space="0" w:color="auto"/>
              <w:left w:val="nil"/>
              <w:bottom w:val="nil"/>
              <w:right w:val="nil"/>
            </w:tcBorders>
          </w:tcPr>
          <w:p w14:paraId="479A96C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w:t>
            </w:r>
          </w:p>
        </w:tc>
        <w:tc>
          <w:tcPr>
            <w:tcW w:w="845" w:type="pct"/>
            <w:tcBorders>
              <w:top w:val="single" w:sz="6" w:space="0" w:color="auto"/>
              <w:left w:val="nil"/>
              <w:bottom w:val="nil"/>
              <w:right w:val="nil"/>
            </w:tcBorders>
          </w:tcPr>
          <w:p w14:paraId="1096763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w:t>
            </w:r>
          </w:p>
        </w:tc>
        <w:tc>
          <w:tcPr>
            <w:tcW w:w="1500" w:type="pct"/>
            <w:tcBorders>
              <w:top w:val="single" w:sz="6" w:space="0" w:color="auto"/>
              <w:left w:val="nil"/>
              <w:bottom w:val="nil"/>
              <w:right w:val="nil"/>
            </w:tcBorders>
          </w:tcPr>
          <w:p w14:paraId="7742828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w:t>
            </w:r>
          </w:p>
        </w:tc>
      </w:tr>
      <w:tr w:rsidR="00D8491D" w:rsidRPr="000C3CD1" w14:paraId="2D33B339" w14:textId="77777777" w:rsidTr="00624B11">
        <w:trPr>
          <w:jc w:val="center"/>
        </w:trPr>
        <w:tc>
          <w:tcPr>
            <w:tcW w:w="769" w:type="pct"/>
            <w:tcBorders>
              <w:top w:val="nil"/>
              <w:left w:val="nil"/>
              <w:bottom w:val="single" w:sz="6" w:space="0" w:color="auto"/>
              <w:right w:val="nil"/>
            </w:tcBorders>
          </w:tcPr>
          <w:p w14:paraId="2555676D" w14:textId="77777777" w:rsidR="00D8491D" w:rsidRPr="000C3CD1" w:rsidRDefault="00D8491D" w:rsidP="00BA758F">
            <w:pPr>
              <w:autoSpaceDE w:val="0"/>
              <w:autoSpaceDN w:val="0"/>
              <w:adjustRightInd w:val="0"/>
              <w:spacing w:after="0"/>
              <w:rPr>
                <w:rFonts w:cs="Times New Roman"/>
                <w:color w:val="000000"/>
                <w:sz w:val="22"/>
              </w:rPr>
            </w:pPr>
            <w:r w:rsidRPr="000C3CD1">
              <w:rPr>
                <w:color w:val="000000"/>
              </w:rPr>
              <w:t>Variables</w:t>
            </w:r>
          </w:p>
        </w:tc>
        <w:tc>
          <w:tcPr>
            <w:tcW w:w="920" w:type="pct"/>
            <w:tcBorders>
              <w:top w:val="nil"/>
              <w:left w:val="nil"/>
              <w:bottom w:val="single" w:sz="6" w:space="0" w:color="auto"/>
              <w:right w:val="nil"/>
            </w:tcBorders>
          </w:tcPr>
          <w:p w14:paraId="586D757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Inpatient Cost (log)</w:t>
            </w:r>
          </w:p>
        </w:tc>
        <w:tc>
          <w:tcPr>
            <w:tcW w:w="966" w:type="pct"/>
            <w:tcBorders>
              <w:top w:val="nil"/>
              <w:left w:val="nil"/>
              <w:bottom w:val="single" w:sz="6" w:space="0" w:color="auto"/>
              <w:right w:val="nil"/>
            </w:tcBorders>
          </w:tcPr>
          <w:p w14:paraId="7A416C1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Outpatient Cost (log)</w:t>
            </w:r>
          </w:p>
        </w:tc>
        <w:tc>
          <w:tcPr>
            <w:tcW w:w="845" w:type="pct"/>
            <w:tcBorders>
              <w:top w:val="nil"/>
              <w:left w:val="nil"/>
              <w:bottom w:val="single" w:sz="6" w:space="0" w:color="auto"/>
              <w:right w:val="nil"/>
            </w:tcBorders>
          </w:tcPr>
          <w:p w14:paraId="3ADD92B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Inpatient Cost</w:t>
            </w:r>
          </w:p>
        </w:tc>
        <w:tc>
          <w:tcPr>
            <w:tcW w:w="1500" w:type="pct"/>
            <w:tcBorders>
              <w:top w:val="nil"/>
              <w:left w:val="nil"/>
              <w:bottom w:val="single" w:sz="6" w:space="0" w:color="auto"/>
              <w:right w:val="nil"/>
            </w:tcBorders>
          </w:tcPr>
          <w:p w14:paraId="61524BD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Outpatient Cost</w:t>
            </w:r>
          </w:p>
        </w:tc>
      </w:tr>
      <w:tr w:rsidR="00D8491D" w:rsidRPr="000C3CD1" w14:paraId="6FCD8ABE" w14:textId="77777777" w:rsidTr="00624B11">
        <w:trPr>
          <w:jc w:val="center"/>
        </w:trPr>
        <w:tc>
          <w:tcPr>
            <w:tcW w:w="769" w:type="pct"/>
            <w:tcBorders>
              <w:top w:val="nil"/>
              <w:left w:val="nil"/>
              <w:bottom w:val="nil"/>
              <w:right w:val="nil"/>
            </w:tcBorders>
          </w:tcPr>
          <w:p w14:paraId="336F55D1"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DID</w:t>
            </w:r>
          </w:p>
        </w:tc>
        <w:tc>
          <w:tcPr>
            <w:tcW w:w="920" w:type="pct"/>
            <w:tcBorders>
              <w:top w:val="nil"/>
              <w:left w:val="nil"/>
              <w:bottom w:val="nil"/>
              <w:right w:val="nil"/>
            </w:tcBorders>
          </w:tcPr>
          <w:p w14:paraId="513C110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-0.2717*</w:t>
            </w:r>
          </w:p>
        </w:tc>
        <w:tc>
          <w:tcPr>
            <w:tcW w:w="966" w:type="pct"/>
            <w:tcBorders>
              <w:top w:val="nil"/>
              <w:left w:val="nil"/>
              <w:bottom w:val="nil"/>
              <w:right w:val="nil"/>
            </w:tcBorders>
          </w:tcPr>
          <w:p w14:paraId="0866658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0.1317</w:t>
            </w:r>
          </w:p>
        </w:tc>
        <w:tc>
          <w:tcPr>
            <w:tcW w:w="845" w:type="pct"/>
            <w:tcBorders>
              <w:top w:val="nil"/>
              <w:left w:val="nil"/>
              <w:bottom w:val="nil"/>
              <w:right w:val="nil"/>
            </w:tcBorders>
          </w:tcPr>
          <w:p w14:paraId="5B50DA8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-1,024.6733***</w:t>
            </w:r>
          </w:p>
        </w:tc>
        <w:tc>
          <w:tcPr>
            <w:tcW w:w="1500" w:type="pct"/>
            <w:tcBorders>
              <w:top w:val="nil"/>
              <w:left w:val="nil"/>
              <w:bottom w:val="nil"/>
              <w:right w:val="nil"/>
            </w:tcBorders>
          </w:tcPr>
          <w:p w14:paraId="47DC76F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-7.3821</w:t>
            </w:r>
          </w:p>
        </w:tc>
      </w:tr>
      <w:tr w:rsidR="00D8491D" w:rsidRPr="000C3CD1" w14:paraId="1FD23BF3" w14:textId="77777777" w:rsidTr="00624B11">
        <w:trPr>
          <w:jc w:val="center"/>
        </w:trPr>
        <w:tc>
          <w:tcPr>
            <w:tcW w:w="769" w:type="pct"/>
            <w:tcBorders>
              <w:top w:val="nil"/>
              <w:left w:val="nil"/>
              <w:bottom w:val="nil"/>
              <w:right w:val="nil"/>
            </w:tcBorders>
          </w:tcPr>
          <w:p w14:paraId="3B509C20"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1E82504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(0.1521)</w:t>
            </w:r>
          </w:p>
        </w:tc>
        <w:tc>
          <w:tcPr>
            <w:tcW w:w="966" w:type="pct"/>
            <w:tcBorders>
              <w:top w:val="nil"/>
              <w:left w:val="nil"/>
              <w:bottom w:val="nil"/>
              <w:right w:val="nil"/>
            </w:tcBorders>
          </w:tcPr>
          <w:p w14:paraId="084E15F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(0.1842)</w:t>
            </w:r>
          </w:p>
        </w:tc>
        <w:tc>
          <w:tcPr>
            <w:tcW w:w="845" w:type="pct"/>
            <w:tcBorders>
              <w:top w:val="nil"/>
              <w:left w:val="nil"/>
              <w:bottom w:val="nil"/>
              <w:right w:val="nil"/>
            </w:tcBorders>
          </w:tcPr>
          <w:p w14:paraId="36ADC00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(309.4575)</w:t>
            </w:r>
          </w:p>
        </w:tc>
        <w:tc>
          <w:tcPr>
            <w:tcW w:w="1500" w:type="pct"/>
            <w:tcBorders>
              <w:top w:val="nil"/>
              <w:left w:val="nil"/>
              <w:bottom w:val="nil"/>
              <w:right w:val="nil"/>
            </w:tcBorders>
          </w:tcPr>
          <w:p w14:paraId="42ADC7A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(58.3133)</w:t>
            </w:r>
          </w:p>
        </w:tc>
      </w:tr>
      <w:tr w:rsidR="00D8491D" w:rsidRPr="000C3CD1" w14:paraId="0FDD198D" w14:textId="77777777" w:rsidTr="00624B11">
        <w:trPr>
          <w:jc w:val="center"/>
        </w:trPr>
        <w:tc>
          <w:tcPr>
            <w:tcW w:w="769" w:type="pct"/>
            <w:tcBorders>
              <w:top w:val="nil"/>
              <w:left w:val="nil"/>
              <w:bottom w:val="nil"/>
              <w:right w:val="nil"/>
            </w:tcBorders>
          </w:tcPr>
          <w:p w14:paraId="5F5295AB"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Age</w:t>
            </w:r>
          </w:p>
        </w:tc>
        <w:tc>
          <w:tcPr>
            <w:tcW w:w="920" w:type="pct"/>
            <w:tcBorders>
              <w:top w:val="nil"/>
              <w:left w:val="nil"/>
              <w:bottom w:val="nil"/>
              <w:right w:val="nil"/>
            </w:tcBorders>
          </w:tcPr>
          <w:p w14:paraId="7E44AA6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0.4091</w:t>
            </w:r>
          </w:p>
        </w:tc>
        <w:tc>
          <w:tcPr>
            <w:tcW w:w="966" w:type="pct"/>
            <w:tcBorders>
              <w:top w:val="nil"/>
              <w:left w:val="nil"/>
              <w:bottom w:val="nil"/>
              <w:right w:val="nil"/>
            </w:tcBorders>
          </w:tcPr>
          <w:p w14:paraId="2B49C66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-0.0233</w:t>
            </w:r>
          </w:p>
        </w:tc>
        <w:tc>
          <w:tcPr>
            <w:tcW w:w="845" w:type="pct"/>
            <w:tcBorders>
              <w:top w:val="nil"/>
              <w:left w:val="nil"/>
              <w:bottom w:val="nil"/>
              <w:right w:val="nil"/>
            </w:tcBorders>
          </w:tcPr>
          <w:p w14:paraId="484D0B8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479.5655</w:t>
            </w:r>
          </w:p>
        </w:tc>
        <w:tc>
          <w:tcPr>
            <w:tcW w:w="1500" w:type="pct"/>
            <w:tcBorders>
              <w:top w:val="nil"/>
              <w:left w:val="nil"/>
              <w:bottom w:val="nil"/>
              <w:right w:val="nil"/>
            </w:tcBorders>
          </w:tcPr>
          <w:p w14:paraId="4EBEFC2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212.9738</w:t>
            </w:r>
          </w:p>
        </w:tc>
      </w:tr>
      <w:tr w:rsidR="00D8491D" w:rsidRPr="000C3CD1" w14:paraId="2D3FFB00" w14:textId="77777777" w:rsidTr="00624B11">
        <w:trPr>
          <w:jc w:val="center"/>
        </w:trPr>
        <w:tc>
          <w:tcPr>
            <w:tcW w:w="769" w:type="pct"/>
            <w:tcBorders>
              <w:top w:val="nil"/>
              <w:left w:val="nil"/>
              <w:bottom w:val="nil"/>
              <w:right w:val="nil"/>
            </w:tcBorders>
          </w:tcPr>
          <w:p w14:paraId="3029E97A"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52EEAA1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(0.2678)</w:t>
            </w:r>
          </w:p>
        </w:tc>
        <w:tc>
          <w:tcPr>
            <w:tcW w:w="966" w:type="pct"/>
            <w:tcBorders>
              <w:top w:val="nil"/>
              <w:left w:val="nil"/>
              <w:bottom w:val="nil"/>
              <w:right w:val="nil"/>
            </w:tcBorders>
          </w:tcPr>
          <w:p w14:paraId="28FFF3B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(0.2230)</w:t>
            </w:r>
          </w:p>
        </w:tc>
        <w:tc>
          <w:tcPr>
            <w:tcW w:w="845" w:type="pct"/>
            <w:tcBorders>
              <w:top w:val="nil"/>
              <w:left w:val="nil"/>
              <w:bottom w:val="nil"/>
              <w:right w:val="nil"/>
            </w:tcBorders>
          </w:tcPr>
          <w:p w14:paraId="7E36B37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(627.8938)</w:t>
            </w:r>
          </w:p>
        </w:tc>
        <w:tc>
          <w:tcPr>
            <w:tcW w:w="1500" w:type="pct"/>
            <w:tcBorders>
              <w:top w:val="nil"/>
              <w:left w:val="nil"/>
              <w:bottom w:val="nil"/>
              <w:right w:val="nil"/>
            </w:tcBorders>
          </w:tcPr>
          <w:p w14:paraId="139098B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(170.1790)</w:t>
            </w:r>
          </w:p>
        </w:tc>
      </w:tr>
      <w:tr w:rsidR="00D8491D" w:rsidRPr="000C3CD1" w14:paraId="2D23FF45" w14:textId="77777777" w:rsidTr="00624B11">
        <w:trPr>
          <w:jc w:val="center"/>
        </w:trPr>
        <w:tc>
          <w:tcPr>
            <w:tcW w:w="769" w:type="pct"/>
            <w:tcBorders>
              <w:top w:val="nil"/>
              <w:left w:val="nil"/>
              <w:bottom w:val="nil"/>
              <w:right w:val="nil"/>
            </w:tcBorders>
          </w:tcPr>
          <w:p w14:paraId="0A8D0A44"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Education Level</w:t>
            </w:r>
          </w:p>
        </w:tc>
        <w:tc>
          <w:tcPr>
            <w:tcW w:w="920" w:type="pct"/>
            <w:tcBorders>
              <w:top w:val="nil"/>
              <w:left w:val="nil"/>
              <w:bottom w:val="nil"/>
              <w:right w:val="nil"/>
            </w:tcBorders>
          </w:tcPr>
          <w:p w14:paraId="5FCF8F52"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-0.0170</w:t>
            </w:r>
          </w:p>
        </w:tc>
        <w:tc>
          <w:tcPr>
            <w:tcW w:w="966" w:type="pct"/>
            <w:tcBorders>
              <w:top w:val="nil"/>
              <w:left w:val="nil"/>
              <w:bottom w:val="nil"/>
              <w:right w:val="nil"/>
            </w:tcBorders>
          </w:tcPr>
          <w:p w14:paraId="38BA149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0.1480</w:t>
            </w:r>
          </w:p>
        </w:tc>
        <w:tc>
          <w:tcPr>
            <w:tcW w:w="845" w:type="pct"/>
            <w:tcBorders>
              <w:top w:val="nil"/>
              <w:left w:val="nil"/>
              <w:bottom w:val="nil"/>
              <w:right w:val="nil"/>
            </w:tcBorders>
          </w:tcPr>
          <w:p w14:paraId="55B553A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925.5267</w:t>
            </w:r>
          </w:p>
        </w:tc>
        <w:tc>
          <w:tcPr>
            <w:tcW w:w="1500" w:type="pct"/>
            <w:tcBorders>
              <w:top w:val="nil"/>
              <w:left w:val="nil"/>
              <w:bottom w:val="nil"/>
              <w:right w:val="nil"/>
            </w:tcBorders>
          </w:tcPr>
          <w:p w14:paraId="2857033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53.4175</w:t>
            </w:r>
          </w:p>
        </w:tc>
      </w:tr>
      <w:tr w:rsidR="00D8491D" w:rsidRPr="000C3CD1" w14:paraId="60EA4852" w14:textId="77777777" w:rsidTr="00624B11">
        <w:trPr>
          <w:jc w:val="center"/>
        </w:trPr>
        <w:tc>
          <w:tcPr>
            <w:tcW w:w="769" w:type="pct"/>
            <w:tcBorders>
              <w:top w:val="nil"/>
              <w:left w:val="nil"/>
              <w:bottom w:val="nil"/>
              <w:right w:val="nil"/>
            </w:tcBorders>
          </w:tcPr>
          <w:p w14:paraId="5904D82D"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29E6159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(0.1647)</w:t>
            </w:r>
          </w:p>
        </w:tc>
        <w:tc>
          <w:tcPr>
            <w:tcW w:w="966" w:type="pct"/>
            <w:tcBorders>
              <w:top w:val="nil"/>
              <w:left w:val="nil"/>
              <w:bottom w:val="nil"/>
              <w:right w:val="nil"/>
            </w:tcBorders>
          </w:tcPr>
          <w:p w14:paraId="7AD6C9C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(0.2012)</w:t>
            </w:r>
          </w:p>
        </w:tc>
        <w:tc>
          <w:tcPr>
            <w:tcW w:w="845" w:type="pct"/>
            <w:tcBorders>
              <w:top w:val="nil"/>
              <w:left w:val="nil"/>
              <w:bottom w:val="nil"/>
              <w:right w:val="nil"/>
            </w:tcBorders>
          </w:tcPr>
          <w:p w14:paraId="1D087AB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(1,240.5151)</w:t>
            </w:r>
          </w:p>
        </w:tc>
        <w:tc>
          <w:tcPr>
            <w:tcW w:w="1500" w:type="pct"/>
            <w:tcBorders>
              <w:top w:val="nil"/>
              <w:left w:val="nil"/>
              <w:bottom w:val="nil"/>
              <w:right w:val="nil"/>
            </w:tcBorders>
          </w:tcPr>
          <w:p w14:paraId="69579B3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(47.3838)</w:t>
            </w:r>
          </w:p>
        </w:tc>
      </w:tr>
      <w:tr w:rsidR="00D8491D" w:rsidRPr="000C3CD1" w14:paraId="19A49DC8" w14:textId="77777777" w:rsidTr="00624B11">
        <w:trPr>
          <w:jc w:val="center"/>
        </w:trPr>
        <w:tc>
          <w:tcPr>
            <w:tcW w:w="769" w:type="pct"/>
            <w:tcBorders>
              <w:top w:val="nil"/>
              <w:left w:val="nil"/>
              <w:bottom w:val="nil"/>
              <w:right w:val="nil"/>
            </w:tcBorders>
          </w:tcPr>
          <w:p w14:paraId="16E56C99"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Marital Status</w:t>
            </w:r>
          </w:p>
        </w:tc>
        <w:tc>
          <w:tcPr>
            <w:tcW w:w="920" w:type="pct"/>
            <w:tcBorders>
              <w:top w:val="nil"/>
              <w:left w:val="nil"/>
              <w:bottom w:val="nil"/>
              <w:right w:val="nil"/>
            </w:tcBorders>
          </w:tcPr>
          <w:p w14:paraId="7A83F84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-0.4066***</w:t>
            </w:r>
          </w:p>
        </w:tc>
        <w:tc>
          <w:tcPr>
            <w:tcW w:w="966" w:type="pct"/>
            <w:tcBorders>
              <w:top w:val="nil"/>
              <w:left w:val="nil"/>
              <w:bottom w:val="nil"/>
              <w:right w:val="nil"/>
            </w:tcBorders>
          </w:tcPr>
          <w:p w14:paraId="33D7CB2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-0.2252**</w:t>
            </w:r>
          </w:p>
        </w:tc>
        <w:tc>
          <w:tcPr>
            <w:tcW w:w="845" w:type="pct"/>
            <w:tcBorders>
              <w:top w:val="nil"/>
              <w:left w:val="nil"/>
              <w:bottom w:val="nil"/>
              <w:right w:val="nil"/>
            </w:tcBorders>
          </w:tcPr>
          <w:p w14:paraId="789A570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-173.9895</w:t>
            </w:r>
          </w:p>
        </w:tc>
        <w:tc>
          <w:tcPr>
            <w:tcW w:w="1500" w:type="pct"/>
            <w:tcBorders>
              <w:top w:val="nil"/>
              <w:left w:val="nil"/>
              <w:bottom w:val="nil"/>
              <w:right w:val="nil"/>
            </w:tcBorders>
          </w:tcPr>
          <w:p w14:paraId="5409DE5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23.8775</w:t>
            </w:r>
          </w:p>
        </w:tc>
      </w:tr>
      <w:tr w:rsidR="00D8491D" w:rsidRPr="000C3CD1" w14:paraId="6FA24E03" w14:textId="77777777" w:rsidTr="00624B11">
        <w:trPr>
          <w:jc w:val="center"/>
        </w:trPr>
        <w:tc>
          <w:tcPr>
            <w:tcW w:w="769" w:type="pct"/>
            <w:tcBorders>
              <w:top w:val="nil"/>
              <w:left w:val="nil"/>
              <w:bottom w:val="nil"/>
              <w:right w:val="nil"/>
            </w:tcBorders>
          </w:tcPr>
          <w:p w14:paraId="5B45CF21"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20281E2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(0.1261)</w:t>
            </w:r>
          </w:p>
        </w:tc>
        <w:tc>
          <w:tcPr>
            <w:tcW w:w="966" w:type="pct"/>
            <w:tcBorders>
              <w:top w:val="nil"/>
              <w:left w:val="nil"/>
              <w:bottom w:val="nil"/>
              <w:right w:val="nil"/>
            </w:tcBorders>
          </w:tcPr>
          <w:p w14:paraId="3E1966A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(0.1070)</w:t>
            </w:r>
          </w:p>
        </w:tc>
        <w:tc>
          <w:tcPr>
            <w:tcW w:w="845" w:type="pct"/>
            <w:tcBorders>
              <w:top w:val="nil"/>
              <w:left w:val="nil"/>
              <w:bottom w:val="nil"/>
              <w:right w:val="nil"/>
            </w:tcBorders>
          </w:tcPr>
          <w:p w14:paraId="6F830B9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(422.6819)</w:t>
            </w:r>
          </w:p>
        </w:tc>
        <w:tc>
          <w:tcPr>
            <w:tcW w:w="1500" w:type="pct"/>
            <w:tcBorders>
              <w:top w:val="nil"/>
              <w:left w:val="nil"/>
              <w:bottom w:val="nil"/>
              <w:right w:val="nil"/>
            </w:tcBorders>
          </w:tcPr>
          <w:p w14:paraId="1161CA8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(79.2345)</w:t>
            </w:r>
          </w:p>
        </w:tc>
      </w:tr>
      <w:tr w:rsidR="00D8491D" w:rsidRPr="000C3CD1" w14:paraId="5FA5605B" w14:textId="77777777" w:rsidTr="00624B11">
        <w:trPr>
          <w:jc w:val="center"/>
        </w:trPr>
        <w:tc>
          <w:tcPr>
            <w:tcW w:w="769" w:type="pct"/>
            <w:tcBorders>
              <w:top w:val="nil"/>
              <w:left w:val="nil"/>
              <w:bottom w:val="nil"/>
              <w:right w:val="nil"/>
            </w:tcBorders>
          </w:tcPr>
          <w:p w14:paraId="4097CE2A"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Health Insurance</w:t>
            </w:r>
          </w:p>
        </w:tc>
        <w:tc>
          <w:tcPr>
            <w:tcW w:w="920" w:type="pct"/>
            <w:tcBorders>
              <w:top w:val="nil"/>
              <w:left w:val="nil"/>
              <w:bottom w:val="nil"/>
              <w:right w:val="nil"/>
            </w:tcBorders>
          </w:tcPr>
          <w:p w14:paraId="1ACCEB8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0.2259***</w:t>
            </w:r>
          </w:p>
        </w:tc>
        <w:tc>
          <w:tcPr>
            <w:tcW w:w="966" w:type="pct"/>
            <w:tcBorders>
              <w:top w:val="nil"/>
              <w:left w:val="nil"/>
              <w:bottom w:val="nil"/>
              <w:right w:val="nil"/>
            </w:tcBorders>
          </w:tcPr>
          <w:p w14:paraId="4273DAA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0.1300*</w:t>
            </w:r>
          </w:p>
        </w:tc>
        <w:tc>
          <w:tcPr>
            <w:tcW w:w="845" w:type="pct"/>
            <w:tcBorders>
              <w:top w:val="nil"/>
              <w:left w:val="nil"/>
              <w:bottom w:val="nil"/>
              <w:right w:val="nil"/>
            </w:tcBorders>
          </w:tcPr>
          <w:p w14:paraId="71981F3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359.8203</w:t>
            </w:r>
          </w:p>
        </w:tc>
        <w:tc>
          <w:tcPr>
            <w:tcW w:w="1500" w:type="pct"/>
            <w:tcBorders>
              <w:top w:val="nil"/>
              <w:left w:val="nil"/>
              <w:bottom w:val="nil"/>
              <w:right w:val="nil"/>
            </w:tcBorders>
          </w:tcPr>
          <w:p w14:paraId="73F380E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-29.9569</w:t>
            </w:r>
          </w:p>
        </w:tc>
      </w:tr>
      <w:tr w:rsidR="00D8491D" w:rsidRPr="000C3CD1" w14:paraId="5194F4B8" w14:textId="77777777" w:rsidTr="00624B11">
        <w:trPr>
          <w:jc w:val="center"/>
        </w:trPr>
        <w:tc>
          <w:tcPr>
            <w:tcW w:w="769" w:type="pct"/>
            <w:tcBorders>
              <w:top w:val="nil"/>
              <w:left w:val="nil"/>
              <w:bottom w:val="nil"/>
              <w:right w:val="nil"/>
            </w:tcBorders>
          </w:tcPr>
          <w:p w14:paraId="666E6AAF"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34FF9D6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(0.0744)</w:t>
            </w:r>
          </w:p>
        </w:tc>
        <w:tc>
          <w:tcPr>
            <w:tcW w:w="966" w:type="pct"/>
            <w:tcBorders>
              <w:top w:val="nil"/>
              <w:left w:val="nil"/>
              <w:bottom w:val="nil"/>
              <w:right w:val="nil"/>
            </w:tcBorders>
          </w:tcPr>
          <w:p w14:paraId="4D47675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(0.0689)</w:t>
            </w:r>
          </w:p>
        </w:tc>
        <w:tc>
          <w:tcPr>
            <w:tcW w:w="845" w:type="pct"/>
            <w:tcBorders>
              <w:top w:val="nil"/>
              <w:left w:val="nil"/>
              <w:bottom w:val="nil"/>
              <w:right w:val="nil"/>
            </w:tcBorders>
          </w:tcPr>
          <w:p w14:paraId="4754616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(231.1863)</w:t>
            </w:r>
          </w:p>
        </w:tc>
        <w:tc>
          <w:tcPr>
            <w:tcW w:w="1500" w:type="pct"/>
            <w:tcBorders>
              <w:top w:val="nil"/>
              <w:left w:val="nil"/>
              <w:bottom w:val="nil"/>
              <w:right w:val="nil"/>
            </w:tcBorders>
          </w:tcPr>
          <w:p w14:paraId="0B297C5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(71.8298)</w:t>
            </w:r>
          </w:p>
        </w:tc>
      </w:tr>
      <w:tr w:rsidR="00D8491D" w:rsidRPr="000C3CD1" w14:paraId="13B164F9" w14:textId="77777777" w:rsidTr="00624B11">
        <w:trPr>
          <w:jc w:val="center"/>
        </w:trPr>
        <w:tc>
          <w:tcPr>
            <w:tcW w:w="769" w:type="pct"/>
            <w:tcBorders>
              <w:top w:val="nil"/>
              <w:left w:val="nil"/>
              <w:bottom w:val="nil"/>
              <w:right w:val="nil"/>
            </w:tcBorders>
          </w:tcPr>
          <w:p w14:paraId="5A7D1720"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Pension Insurance</w:t>
            </w:r>
          </w:p>
        </w:tc>
        <w:tc>
          <w:tcPr>
            <w:tcW w:w="920" w:type="pct"/>
            <w:tcBorders>
              <w:top w:val="nil"/>
              <w:left w:val="nil"/>
              <w:bottom w:val="nil"/>
              <w:right w:val="nil"/>
            </w:tcBorders>
          </w:tcPr>
          <w:p w14:paraId="0BED102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0.1205**</w:t>
            </w:r>
          </w:p>
        </w:tc>
        <w:tc>
          <w:tcPr>
            <w:tcW w:w="966" w:type="pct"/>
            <w:tcBorders>
              <w:top w:val="nil"/>
              <w:left w:val="nil"/>
              <w:bottom w:val="nil"/>
              <w:right w:val="nil"/>
            </w:tcBorders>
          </w:tcPr>
          <w:p w14:paraId="20906BE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0.0022</w:t>
            </w:r>
          </w:p>
        </w:tc>
        <w:tc>
          <w:tcPr>
            <w:tcW w:w="845" w:type="pct"/>
            <w:tcBorders>
              <w:top w:val="nil"/>
              <w:left w:val="nil"/>
              <w:bottom w:val="nil"/>
              <w:right w:val="nil"/>
            </w:tcBorders>
          </w:tcPr>
          <w:p w14:paraId="5F87387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341.9213</w:t>
            </w:r>
          </w:p>
        </w:tc>
        <w:tc>
          <w:tcPr>
            <w:tcW w:w="1500" w:type="pct"/>
            <w:tcBorders>
              <w:top w:val="nil"/>
              <w:left w:val="nil"/>
              <w:bottom w:val="nil"/>
              <w:right w:val="nil"/>
            </w:tcBorders>
          </w:tcPr>
          <w:p w14:paraId="618DB04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11.8848</w:t>
            </w:r>
          </w:p>
        </w:tc>
      </w:tr>
      <w:tr w:rsidR="00D8491D" w:rsidRPr="000C3CD1" w14:paraId="7F2384D1" w14:textId="77777777" w:rsidTr="00624B11">
        <w:trPr>
          <w:jc w:val="center"/>
        </w:trPr>
        <w:tc>
          <w:tcPr>
            <w:tcW w:w="769" w:type="pct"/>
            <w:tcBorders>
              <w:top w:val="nil"/>
              <w:left w:val="nil"/>
              <w:bottom w:val="nil"/>
              <w:right w:val="nil"/>
            </w:tcBorders>
          </w:tcPr>
          <w:p w14:paraId="177B669F"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741CA42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(0.0487)</w:t>
            </w:r>
          </w:p>
        </w:tc>
        <w:tc>
          <w:tcPr>
            <w:tcW w:w="966" w:type="pct"/>
            <w:tcBorders>
              <w:top w:val="nil"/>
              <w:left w:val="nil"/>
              <w:bottom w:val="nil"/>
              <w:right w:val="nil"/>
            </w:tcBorders>
          </w:tcPr>
          <w:p w14:paraId="09D21D1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(0.0398)</w:t>
            </w:r>
          </w:p>
        </w:tc>
        <w:tc>
          <w:tcPr>
            <w:tcW w:w="845" w:type="pct"/>
            <w:tcBorders>
              <w:top w:val="nil"/>
              <w:left w:val="nil"/>
              <w:bottom w:val="nil"/>
              <w:right w:val="nil"/>
            </w:tcBorders>
          </w:tcPr>
          <w:p w14:paraId="5CB3131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(265.1178)</w:t>
            </w:r>
          </w:p>
        </w:tc>
        <w:tc>
          <w:tcPr>
            <w:tcW w:w="1500" w:type="pct"/>
            <w:tcBorders>
              <w:top w:val="nil"/>
              <w:left w:val="nil"/>
              <w:bottom w:val="nil"/>
              <w:right w:val="nil"/>
            </w:tcBorders>
          </w:tcPr>
          <w:p w14:paraId="5CF00603"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(32.2602)</w:t>
            </w:r>
          </w:p>
        </w:tc>
      </w:tr>
      <w:tr w:rsidR="00D8491D" w:rsidRPr="000C3CD1" w14:paraId="66847DE0" w14:textId="77777777" w:rsidTr="00624B11">
        <w:trPr>
          <w:jc w:val="center"/>
        </w:trPr>
        <w:tc>
          <w:tcPr>
            <w:tcW w:w="769" w:type="pct"/>
            <w:tcBorders>
              <w:top w:val="nil"/>
              <w:left w:val="nil"/>
              <w:bottom w:val="nil"/>
              <w:right w:val="nil"/>
            </w:tcBorders>
          </w:tcPr>
          <w:p w14:paraId="10AB3D11"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Hukou</w:t>
            </w:r>
          </w:p>
        </w:tc>
        <w:tc>
          <w:tcPr>
            <w:tcW w:w="920" w:type="pct"/>
            <w:tcBorders>
              <w:top w:val="nil"/>
              <w:left w:val="nil"/>
              <w:bottom w:val="nil"/>
              <w:right w:val="nil"/>
            </w:tcBorders>
          </w:tcPr>
          <w:p w14:paraId="1452615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-0.2981</w:t>
            </w:r>
          </w:p>
        </w:tc>
        <w:tc>
          <w:tcPr>
            <w:tcW w:w="966" w:type="pct"/>
            <w:tcBorders>
              <w:top w:val="nil"/>
              <w:left w:val="nil"/>
              <w:bottom w:val="nil"/>
              <w:right w:val="nil"/>
            </w:tcBorders>
          </w:tcPr>
          <w:p w14:paraId="376BED0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0.0182</w:t>
            </w:r>
          </w:p>
        </w:tc>
        <w:tc>
          <w:tcPr>
            <w:tcW w:w="845" w:type="pct"/>
            <w:tcBorders>
              <w:top w:val="nil"/>
              <w:left w:val="nil"/>
              <w:bottom w:val="nil"/>
              <w:right w:val="nil"/>
            </w:tcBorders>
          </w:tcPr>
          <w:p w14:paraId="427079B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-396.3800</w:t>
            </w:r>
          </w:p>
        </w:tc>
        <w:tc>
          <w:tcPr>
            <w:tcW w:w="1500" w:type="pct"/>
            <w:tcBorders>
              <w:top w:val="nil"/>
              <w:left w:val="nil"/>
              <w:bottom w:val="nil"/>
              <w:right w:val="nil"/>
            </w:tcBorders>
          </w:tcPr>
          <w:p w14:paraId="6FFA0AF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57.2239</w:t>
            </w:r>
          </w:p>
        </w:tc>
      </w:tr>
      <w:tr w:rsidR="00D8491D" w:rsidRPr="000C3CD1" w14:paraId="24F35688" w14:textId="77777777" w:rsidTr="00624B11">
        <w:trPr>
          <w:jc w:val="center"/>
        </w:trPr>
        <w:tc>
          <w:tcPr>
            <w:tcW w:w="769" w:type="pct"/>
            <w:tcBorders>
              <w:top w:val="nil"/>
              <w:left w:val="nil"/>
              <w:bottom w:val="nil"/>
              <w:right w:val="nil"/>
            </w:tcBorders>
          </w:tcPr>
          <w:p w14:paraId="03DDDEDC"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71BB414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(0.2238)</w:t>
            </w:r>
          </w:p>
        </w:tc>
        <w:tc>
          <w:tcPr>
            <w:tcW w:w="966" w:type="pct"/>
            <w:tcBorders>
              <w:top w:val="nil"/>
              <w:left w:val="nil"/>
              <w:bottom w:val="nil"/>
              <w:right w:val="nil"/>
            </w:tcBorders>
          </w:tcPr>
          <w:p w14:paraId="37C4838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(0.1054)</w:t>
            </w:r>
          </w:p>
        </w:tc>
        <w:tc>
          <w:tcPr>
            <w:tcW w:w="845" w:type="pct"/>
            <w:tcBorders>
              <w:top w:val="nil"/>
              <w:left w:val="nil"/>
              <w:bottom w:val="nil"/>
              <w:right w:val="nil"/>
            </w:tcBorders>
          </w:tcPr>
          <w:p w14:paraId="08F6D58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(530.3626)</w:t>
            </w:r>
          </w:p>
        </w:tc>
        <w:tc>
          <w:tcPr>
            <w:tcW w:w="1500" w:type="pct"/>
            <w:tcBorders>
              <w:top w:val="nil"/>
              <w:left w:val="nil"/>
              <w:bottom w:val="nil"/>
              <w:right w:val="nil"/>
            </w:tcBorders>
          </w:tcPr>
          <w:p w14:paraId="006B06D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(46.7584)</w:t>
            </w:r>
          </w:p>
        </w:tc>
      </w:tr>
      <w:tr w:rsidR="00D8491D" w:rsidRPr="000C3CD1" w14:paraId="34FB383A" w14:textId="77777777" w:rsidTr="00624B11">
        <w:trPr>
          <w:jc w:val="center"/>
        </w:trPr>
        <w:tc>
          <w:tcPr>
            <w:tcW w:w="769" w:type="pct"/>
            <w:tcBorders>
              <w:top w:val="nil"/>
              <w:left w:val="nil"/>
              <w:bottom w:val="nil"/>
              <w:right w:val="nil"/>
            </w:tcBorders>
          </w:tcPr>
          <w:p w14:paraId="264B57C1"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Consumption Level</w:t>
            </w:r>
          </w:p>
        </w:tc>
        <w:tc>
          <w:tcPr>
            <w:tcW w:w="920" w:type="pct"/>
            <w:tcBorders>
              <w:top w:val="nil"/>
              <w:left w:val="nil"/>
              <w:bottom w:val="nil"/>
              <w:right w:val="nil"/>
            </w:tcBorders>
          </w:tcPr>
          <w:p w14:paraId="33725CD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966" w:type="pct"/>
            <w:tcBorders>
              <w:top w:val="nil"/>
              <w:left w:val="nil"/>
              <w:bottom w:val="nil"/>
              <w:right w:val="nil"/>
            </w:tcBorders>
          </w:tcPr>
          <w:p w14:paraId="4561995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845" w:type="pct"/>
            <w:tcBorders>
              <w:top w:val="nil"/>
              <w:left w:val="nil"/>
              <w:bottom w:val="nil"/>
              <w:right w:val="nil"/>
            </w:tcBorders>
          </w:tcPr>
          <w:p w14:paraId="4C454569"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0.0491***</w:t>
            </w:r>
          </w:p>
        </w:tc>
        <w:tc>
          <w:tcPr>
            <w:tcW w:w="1500" w:type="pct"/>
            <w:tcBorders>
              <w:top w:val="nil"/>
              <w:left w:val="nil"/>
              <w:bottom w:val="nil"/>
              <w:right w:val="nil"/>
            </w:tcBorders>
          </w:tcPr>
          <w:p w14:paraId="1884AD5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0.0037**</w:t>
            </w:r>
          </w:p>
        </w:tc>
      </w:tr>
      <w:tr w:rsidR="00D8491D" w:rsidRPr="000C3CD1" w14:paraId="128E0E8C" w14:textId="77777777" w:rsidTr="00624B11">
        <w:trPr>
          <w:jc w:val="center"/>
        </w:trPr>
        <w:tc>
          <w:tcPr>
            <w:tcW w:w="769" w:type="pct"/>
            <w:tcBorders>
              <w:top w:val="nil"/>
              <w:left w:val="nil"/>
              <w:bottom w:val="nil"/>
              <w:right w:val="nil"/>
            </w:tcBorders>
          </w:tcPr>
          <w:p w14:paraId="24A8DD71"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7D43FFC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966" w:type="pct"/>
            <w:tcBorders>
              <w:top w:val="nil"/>
              <w:left w:val="nil"/>
              <w:bottom w:val="nil"/>
              <w:right w:val="nil"/>
            </w:tcBorders>
          </w:tcPr>
          <w:p w14:paraId="34B788C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(0.0000)</w:t>
            </w:r>
          </w:p>
        </w:tc>
        <w:tc>
          <w:tcPr>
            <w:tcW w:w="845" w:type="pct"/>
            <w:tcBorders>
              <w:top w:val="nil"/>
              <w:left w:val="nil"/>
              <w:bottom w:val="nil"/>
              <w:right w:val="nil"/>
            </w:tcBorders>
          </w:tcPr>
          <w:p w14:paraId="0007D35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(0.0173)</w:t>
            </w:r>
          </w:p>
        </w:tc>
        <w:tc>
          <w:tcPr>
            <w:tcW w:w="1500" w:type="pct"/>
            <w:tcBorders>
              <w:top w:val="nil"/>
              <w:left w:val="nil"/>
              <w:bottom w:val="nil"/>
              <w:right w:val="nil"/>
            </w:tcBorders>
          </w:tcPr>
          <w:p w14:paraId="4743E3F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(0.0018)</w:t>
            </w:r>
          </w:p>
        </w:tc>
      </w:tr>
      <w:tr w:rsidR="00D8491D" w:rsidRPr="000C3CD1" w14:paraId="635FCB0A" w14:textId="77777777" w:rsidTr="00624B11">
        <w:trPr>
          <w:jc w:val="center"/>
        </w:trPr>
        <w:tc>
          <w:tcPr>
            <w:tcW w:w="769" w:type="pct"/>
            <w:tcBorders>
              <w:top w:val="nil"/>
              <w:left w:val="nil"/>
              <w:bottom w:val="nil"/>
              <w:right w:val="nil"/>
            </w:tcBorders>
          </w:tcPr>
          <w:p w14:paraId="6ED0C35C"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Number of Children</w:t>
            </w:r>
          </w:p>
        </w:tc>
        <w:tc>
          <w:tcPr>
            <w:tcW w:w="920" w:type="pct"/>
            <w:tcBorders>
              <w:top w:val="nil"/>
              <w:left w:val="nil"/>
              <w:bottom w:val="nil"/>
              <w:right w:val="nil"/>
            </w:tcBorders>
          </w:tcPr>
          <w:p w14:paraId="59E38A9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0.0084</w:t>
            </w:r>
          </w:p>
        </w:tc>
        <w:tc>
          <w:tcPr>
            <w:tcW w:w="966" w:type="pct"/>
            <w:tcBorders>
              <w:top w:val="nil"/>
              <w:left w:val="nil"/>
              <w:bottom w:val="nil"/>
              <w:right w:val="nil"/>
            </w:tcBorders>
          </w:tcPr>
          <w:p w14:paraId="0948D1E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0.0107</w:t>
            </w:r>
          </w:p>
        </w:tc>
        <w:tc>
          <w:tcPr>
            <w:tcW w:w="845" w:type="pct"/>
            <w:tcBorders>
              <w:top w:val="nil"/>
              <w:left w:val="nil"/>
              <w:bottom w:val="nil"/>
              <w:right w:val="nil"/>
            </w:tcBorders>
          </w:tcPr>
          <w:p w14:paraId="49A90E8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-62.7565</w:t>
            </w:r>
          </w:p>
        </w:tc>
        <w:tc>
          <w:tcPr>
            <w:tcW w:w="1500" w:type="pct"/>
            <w:tcBorders>
              <w:top w:val="nil"/>
              <w:left w:val="nil"/>
              <w:bottom w:val="nil"/>
              <w:right w:val="nil"/>
            </w:tcBorders>
          </w:tcPr>
          <w:p w14:paraId="759EAD0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10.0409</w:t>
            </w:r>
          </w:p>
        </w:tc>
      </w:tr>
      <w:tr w:rsidR="00D8491D" w:rsidRPr="000C3CD1" w14:paraId="2A5BA122" w14:textId="77777777" w:rsidTr="00624B11">
        <w:trPr>
          <w:jc w:val="center"/>
        </w:trPr>
        <w:tc>
          <w:tcPr>
            <w:tcW w:w="769" w:type="pct"/>
            <w:tcBorders>
              <w:top w:val="nil"/>
              <w:left w:val="nil"/>
              <w:bottom w:val="nil"/>
              <w:right w:val="nil"/>
            </w:tcBorders>
          </w:tcPr>
          <w:p w14:paraId="6CFD2A01"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47414D5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(0.0408)</w:t>
            </w:r>
          </w:p>
        </w:tc>
        <w:tc>
          <w:tcPr>
            <w:tcW w:w="966" w:type="pct"/>
            <w:tcBorders>
              <w:top w:val="nil"/>
              <w:left w:val="nil"/>
              <w:bottom w:val="nil"/>
              <w:right w:val="nil"/>
            </w:tcBorders>
          </w:tcPr>
          <w:p w14:paraId="2F41E34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(0.0287)</w:t>
            </w:r>
          </w:p>
        </w:tc>
        <w:tc>
          <w:tcPr>
            <w:tcW w:w="845" w:type="pct"/>
            <w:tcBorders>
              <w:top w:val="nil"/>
              <w:left w:val="nil"/>
              <w:bottom w:val="nil"/>
              <w:right w:val="nil"/>
            </w:tcBorders>
          </w:tcPr>
          <w:p w14:paraId="0DB98D6A"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(137.0999)</w:t>
            </w:r>
          </w:p>
        </w:tc>
        <w:tc>
          <w:tcPr>
            <w:tcW w:w="1500" w:type="pct"/>
            <w:tcBorders>
              <w:top w:val="nil"/>
              <w:left w:val="nil"/>
              <w:bottom w:val="nil"/>
              <w:right w:val="nil"/>
            </w:tcBorders>
          </w:tcPr>
          <w:p w14:paraId="2272D4D5"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(25.0803)</w:t>
            </w:r>
          </w:p>
        </w:tc>
      </w:tr>
      <w:tr w:rsidR="00D8491D" w:rsidRPr="000C3CD1" w14:paraId="54019C14" w14:textId="77777777" w:rsidTr="00624B11">
        <w:trPr>
          <w:jc w:val="center"/>
        </w:trPr>
        <w:tc>
          <w:tcPr>
            <w:tcW w:w="769" w:type="pct"/>
            <w:tcBorders>
              <w:top w:val="nil"/>
              <w:left w:val="nil"/>
              <w:bottom w:val="nil"/>
              <w:right w:val="nil"/>
            </w:tcBorders>
          </w:tcPr>
          <w:p w14:paraId="18416035"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Constant</w:t>
            </w:r>
          </w:p>
        </w:tc>
        <w:tc>
          <w:tcPr>
            <w:tcW w:w="920" w:type="pct"/>
            <w:tcBorders>
              <w:top w:val="nil"/>
              <w:left w:val="nil"/>
              <w:bottom w:val="nil"/>
              <w:right w:val="nil"/>
            </w:tcBorders>
          </w:tcPr>
          <w:p w14:paraId="1F14965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-23.3188</w:t>
            </w:r>
          </w:p>
        </w:tc>
        <w:tc>
          <w:tcPr>
            <w:tcW w:w="966" w:type="pct"/>
            <w:tcBorders>
              <w:top w:val="nil"/>
              <w:left w:val="nil"/>
              <w:bottom w:val="nil"/>
              <w:right w:val="nil"/>
            </w:tcBorders>
          </w:tcPr>
          <w:p w14:paraId="73D84D3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2.1201</w:t>
            </w:r>
          </w:p>
        </w:tc>
        <w:tc>
          <w:tcPr>
            <w:tcW w:w="845" w:type="pct"/>
            <w:tcBorders>
              <w:top w:val="nil"/>
              <w:left w:val="nil"/>
              <w:bottom w:val="nil"/>
              <w:right w:val="nil"/>
            </w:tcBorders>
          </w:tcPr>
          <w:p w14:paraId="4C17070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-29,775.4485</w:t>
            </w:r>
          </w:p>
        </w:tc>
        <w:tc>
          <w:tcPr>
            <w:tcW w:w="1500" w:type="pct"/>
            <w:tcBorders>
              <w:top w:val="nil"/>
              <w:left w:val="nil"/>
              <w:bottom w:val="nil"/>
              <w:right w:val="nil"/>
            </w:tcBorders>
          </w:tcPr>
          <w:p w14:paraId="2A748AE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-12,835.2994</w:t>
            </w:r>
          </w:p>
        </w:tc>
      </w:tr>
      <w:tr w:rsidR="00D8491D" w:rsidRPr="000C3CD1" w14:paraId="0E35F10F" w14:textId="77777777" w:rsidTr="00624B11">
        <w:trPr>
          <w:jc w:val="center"/>
        </w:trPr>
        <w:tc>
          <w:tcPr>
            <w:tcW w:w="769" w:type="pct"/>
            <w:tcBorders>
              <w:top w:val="nil"/>
              <w:left w:val="nil"/>
              <w:bottom w:val="nil"/>
              <w:right w:val="nil"/>
            </w:tcBorders>
          </w:tcPr>
          <w:p w14:paraId="5CCD9523" w14:textId="77777777" w:rsidR="00D8491D" w:rsidRPr="000C3CD1" w:rsidRDefault="00D8491D" w:rsidP="00BA758F">
            <w:pPr>
              <w:autoSpaceDE w:val="0"/>
              <w:autoSpaceDN w:val="0"/>
              <w:adjustRightInd w:val="0"/>
              <w:spacing w:after="0"/>
              <w:rPr>
                <w:rFonts w:cs="Times New Roman"/>
                <w:color w:val="000000"/>
                <w:sz w:val="22"/>
              </w:rPr>
            </w:pPr>
          </w:p>
        </w:tc>
        <w:tc>
          <w:tcPr>
            <w:tcW w:w="920" w:type="pct"/>
            <w:tcBorders>
              <w:top w:val="nil"/>
              <w:left w:val="nil"/>
              <w:bottom w:val="nil"/>
              <w:right w:val="nil"/>
            </w:tcBorders>
          </w:tcPr>
          <w:p w14:paraId="55DF52C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(16.0777)</w:t>
            </w:r>
          </w:p>
        </w:tc>
        <w:tc>
          <w:tcPr>
            <w:tcW w:w="966" w:type="pct"/>
            <w:tcBorders>
              <w:top w:val="nil"/>
              <w:left w:val="nil"/>
              <w:bottom w:val="nil"/>
              <w:right w:val="nil"/>
            </w:tcBorders>
          </w:tcPr>
          <w:p w14:paraId="737882A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(13.3550)</w:t>
            </w:r>
          </w:p>
        </w:tc>
        <w:tc>
          <w:tcPr>
            <w:tcW w:w="845" w:type="pct"/>
            <w:tcBorders>
              <w:top w:val="nil"/>
              <w:left w:val="nil"/>
              <w:bottom w:val="nil"/>
              <w:right w:val="nil"/>
            </w:tcBorders>
          </w:tcPr>
          <w:p w14:paraId="7139F88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(37,811.5583)</w:t>
            </w:r>
          </w:p>
        </w:tc>
        <w:tc>
          <w:tcPr>
            <w:tcW w:w="1500" w:type="pct"/>
            <w:tcBorders>
              <w:top w:val="nil"/>
              <w:left w:val="nil"/>
              <w:bottom w:val="nil"/>
              <w:right w:val="nil"/>
            </w:tcBorders>
          </w:tcPr>
          <w:p w14:paraId="57FFDFB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(10,238.1431)</w:t>
            </w:r>
          </w:p>
        </w:tc>
      </w:tr>
      <w:tr w:rsidR="00D8491D" w:rsidRPr="000C3CD1" w14:paraId="3CD09B4E" w14:textId="77777777" w:rsidTr="00624B11">
        <w:trPr>
          <w:jc w:val="center"/>
        </w:trPr>
        <w:tc>
          <w:tcPr>
            <w:tcW w:w="769" w:type="pct"/>
            <w:tcBorders>
              <w:top w:val="nil"/>
              <w:left w:val="nil"/>
              <w:bottom w:val="nil"/>
              <w:right w:val="nil"/>
            </w:tcBorders>
          </w:tcPr>
          <w:p w14:paraId="466D78CF"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Observations</w:t>
            </w:r>
          </w:p>
        </w:tc>
        <w:tc>
          <w:tcPr>
            <w:tcW w:w="920" w:type="pct"/>
            <w:tcBorders>
              <w:top w:val="nil"/>
              <w:left w:val="nil"/>
              <w:bottom w:val="nil"/>
              <w:right w:val="nil"/>
            </w:tcBorders>
          </w:tcPr>
          <w:p w14:paraId="70C0650E"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36,892</w:t>
            </w:r>
          </w:p>
        </w:tc>
        <w:tc>
          <w:tcPr>
            <w:tcW w:w="966" w:type="pct"/>
            <w:tcBorders>
              <w:top w:val="nil"/>
              <w:left w:val="nil"/>
              <w:bottom w:val="nil"/>
              <w:right w:val="nil"/>
            </w:tcBorders>
          </w:tcPr>
          <w:p w14:paraId="1FF1AB5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36,740</w:t>
            </w:r>
          </w:p>
        </w:tc>
        <w:tc>
          <w:tcPr>
            <w:tcW w:w="845" w:type="pct"/>
            <w:tcBorders>
              <w:top w:val="nil"/>
              <w:left w:val="nil"/>
              <w:bottom w:val="nil"/>
              <w:right w:val="nil"/>
            </w:tcBorders>
          </w:tcPr>
          <w:p w14:paraId="15471FF8"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36,892</w:t>
            </w:r>
          </w:p>
        </w:tc>
        <w:tc>
          <w:tcPr>
            <w:tcW w:w="1500" w:type="pct"/>
            <w:tcBorders>
              <w:top w:val="nil"/>
              <w:left w:val="nil"/>
              <w:bottom w:val="nil"/>
              <w:right w:val="nil"/>
            </w:tcBorders>
          </w:tcPr>
          <w:p w14:paraId="64A22E21"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36,740</w:t>
            </w:r>
          </w:p>
        </w:tc>
      </w:tr>
      <w:tr w:rsidR="00D8491D" w:rsidRPr="000C3CD1" w14:paraId="605F2A76" w14:textId="77777777" w:rsidTr="00624B11">
        <w:trPr>
          <w:jc w:val="center"/>
        </w:trPr>
        <w:tc>
          <w:tcPr>
            <w:tcW w:w="769" w:type="pct"/>
            <w:tcBorders>
              <w:top w:val="nil"/>
              <w:left w:val="nil"/>
              <w:bottom w:val="nil"/>
              <w:right w:val="nil"/>
            </w:tcBorders>
          </w:tcPr>
          <w:p w14:paraId="29E2C7B8"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R-squared</w:t>
            </w:r>
          </w:p>
        </w:tc>
        <w:tc>
          <w:tcPr>
            <w:tcW w:w="920" w:type="pct"/>
            <w:tcBorders>
              <w:top w:val="nil"/>
              <w:left w:val="nil"/>
              <w:bottom w:val="nil"/>
              <w:right w:val="nil"/>
            </w:tcBorders>
          </w:tcPr>
          <w:p w14:paraId="7C14A32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0.466</w:t>
            </w:r>
          </w:p>
        </w:tc>
        <w:tc>
          <w:tcPr>
            <w:tcW w:w="966" w:type="pct"/>
            <w:tcBorders>
              <w:top w:val="nil"/>
              <w:left w:val="nil"/>
              <w:bottom w:val="nil"/>
              <w:right w:val="nil"/>
            </w:tcBorders>
          </w:tcPr>
          <w:p w14:paraId="3EC3E9AF"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0.463</w:t>
            </w:r>
          </w:p>
        </w:tc>
        <w:tc>
          <w:tcPr>
            <w:tcW w:w="845" w:type="pct"/>
            <w:tcBorders>
              <w:top w:val="nil"/>
              <w:left w:val="nil"/>
              <w:bottom w:val="nil"/>
              <w:right w:val="nil"/>
            </w:tcBorders>
          </w:tcPr>
          <w:p w14:paraId="7CE8A23B"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0.455</w:t>
            </w:r>
          </w:p>
        </w:tc>
        <w:tc>
          <w:tcPr>
            <w:tcW w:w="1500" w:type="pct"/>
            <w:tcBorders>
              <w:top w:val="nil"/>
              <w:left w:val="nil"/>
              <w:bottom w:val="nil"/>
              <w:right w:val="nil"/>
            </w:tcBorders>
          </w:tcPr>
          <w:p w14:paraId="03A4B277"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0.416</w:t>
            </w:r>
          </w:p>
        </w:tc>
      </w:tr>
      <w:tr w:rsidR="00D8491D" w:rsidRPr="000C3CD1" w14:paraId="1F735AE1" w14:textId="77777777" w:rsidTr="00624B11">
        <w:trPr>
          <w:jc w:val="center"/>
        </w:trPr>
        <w:tc>
          <w:tcPr>
            <w:tcW w:w="769" w:type="pct"/>
            <w:tcBorders>
              <w:top w:val="nil"/>
              <w:left w:val="nil"/>
              <w:bottom w:val="nil"/>
              <w:right w:val="nil"/>
            </w:tcBorders>
          </w:tcPr>
          <w:p w14:paraId="3DECE9A7"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Individual FE</w:t>
            </w:r>
          </w:p>
        </w:tc>
        <w:tc>
          <w:tcPr>
            <w:tcW w:w="920" w:type="pct"/>
            <w:tcBorders>
              <w:top w:val="nil"/>
              <w:left w:val="nil"/>
              <w:bottom w:val="nil"/>
              <w:right w:val="nil"/>
            </w:tcBorders>
          </w:tcPr>
          <w:p w14:paraId="44CC7E0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966" w:type="pct"/>
            <w:tcBorders>
              <w:top w:val="nil"/>
              <w:left w:val="nil"/>
              <w:bottom w:val="nil"/>
              <w:right w:val="nil"/>
            </w:tcBorders>
          </w:tcPr>
          <w:p w14:paraId="740B2AD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845" w:type="pct"/>
            <w:tcBorders>
              <w:top w:val="nil"/>
              <w:left w:val="nil"/>
              <w:bottom w:val="nil"/>
              <w:right w:val="nil"/>
            </w:tcBorders>
          </w:tcPr>
          <w:p w14:paraId="6B76FCE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1500" w:type="pct"/>
            <w:tcBorders>
              <w:top w:val="nil"/>
              <w:left w:val="nil"/>
              <w:bottom w:val="nil"/>
              <w:right w:val="nil"/>
            </w:tcBorders>
          </w:tcPr>
          <w:p w14:paraId="4ED012F0"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r>
      <w:tr w:rsidR="00D8491D" w:rsidRPr="000C3CD1" w14:paraId="60861B9E" w14:textId="77777777" w:rsidTr="00624B11">
        <w:tblPrEx>
          <w:tblBorders>
            <w:bottom w:val="single" w:sz="6" w:space="0" w:color="auto"/>
          </w:tblBorders>
        </w:tblPrEx>
        <w:trPr>
          <w:jc w:val="center"/>
        </w:trPr>
        <w:tc>
          <w:tcPr>
            <w:tcW w:w="769" w:type="pct"/>
            <w:tcBorders>
              <w:top w:val="nil"/>
              <w:left w:val="nil"/>
              <w:bottom w:val="single" w:sz="6" w:space="0" w:color="auto"/>
              <w:right w:val="nil"/>
            </w:tcBorders>
          </w:tcPr>
          <w:p w14:paraId="27722D7A" w14:textId="77777777" w:rsidR="00D8491D" w:rsidRPr="000C3CD1" w:rsidRDefault="00D8491D" w:rsidP="00BA758F">
            <w:pPr>
              <w:autoSpaceDE w:val="0"/>
              <w:autoSpaceDN w:val="0"/>
              <w:adjustRightInd w:val="0"/>
              <w:spacing w:after="0"/>
              <w:rPr>
                <w:rFonts w:cs="Times New Roman"/>
                <w:color w:val="000000"/>
                <w:sz w:val="22"/>
              </w:rPr>
            </w:pPr>
            <w:r w:rsidRPr="000C3CD1">
              <w:rPr>
                <w:rFonts w:cs="Times New Roman"/>
                <w:color w:val="000000"/>
                <w:sz w:val="22"/>
              </w:rPr>
              <w:t>Year FE</w:t>
            </w:r>
          </w:p>
        </w:tc>
        <w:tc>
          <w:tcPr>
            <w:tcW w:w="920" w:type="pct"/>
            <w:tcBorders>
              <w:top w:val="nil"/>
              <w:left w:val="nil"/>
              <w:bottom w:val="single" w:sz="6" w:space="0" w:color="auto"/>
              <w:right w:val="nil"/>
            </w:tcBorders>
          </w:tcPr>
          <w:p w14:paraId="62475C96"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966" w:type="pct"/>
            <w:tcBorders>
              <w:top w:val="nil"/>
              <w:left w:val="nil"/>
              <w:bottom w:val="single" w:sz="6" w:space="0" w:color="auto"/>
              <w:right w:val="nil"/>
            </w:tcBorders>
          </w:tcPr>
          <w:p w14:paraId="66B7DA54"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845" w:type="pct"/>
            <w:tcBorders>
              <w:top w:val="nil"/>
              <w:left w:val="nil"/>
              <w:bottom w:val="single" w:sz="6" w:space="0" w:color="auto"/>
              <w:right w:val="nil"/>
            </w:tcBorders>
          </w:tcPr>
          <w:p w14:paraId="363FC1AD"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c>
          <w:tcPr>
            <w:tcW w:w="1500" w:type="pct"/>
            <w:tcBorders>
              <w:top w:val="nil"/>
              <w:left w:val="nil"/>
              <w:bottom w:val="single" w:sz="6" w:space="0" w:color="auto"/>
              <w:right w:val="nil"/>
            </w:tcBorders>
          </w:tcPr>
          <w:p w14:paraId="46F5D8AC" w14:textId="77777777" w:rsidR="00D8491D" w:rsidRPr="000C3CD1" w:rsidRDefault="00D8491D" w:rsidP="00BA758F">
            <w:pPr>
              <w:autoSpaceDE w:val="0"/>
              <w:autoSpaceDN w:val="0"/>
              <w:adjustRightInd w:val="0"/>
              <w:spacing w:after="0"/>
              <w:jc w:val="center"/>
              <w:rPr>
                <w:rFonts w:cs="Times New Roman"/>
                <w:color w:val="000000"/>
                <w:sz w:val="22"/>
              </w:rPr>
            </w:pPr>
            <w:r w:rsidRPr="000C3CD1">
              <w:rPr>
                <w:rFonts w:cs="Times New Roman"/>
                <w:color w:val="000000"/>
                <w:sz w:val="22"/>
              </w:rPr>
              <w:t>YES</w:t>
            </w:r>
          </w:p>
        </w:tc>
      </w:tr>
    </w:tbl>
    <w:p w14:paraId="13DE7423" w14:textId="77777777" w:rsidR="00D8491D" w:rsidRPr="000C3CD1" w:rsidRDefault="00D8491D" w:rsidP="00D8491D">
      <w:pPr>
        <w:autoSpaceDE w:val="0"/>
        <w:autoSpaceDN w:val="0"/>
        <w:adjustRightInd w:val="0"/>
        <w:spacing w:after="0"/>
        <w:rPr>
          <w:rFonts w:cs="Times New Roman"/>
          <w:color w:val="000000"/>
          <w:sz w:val="22"/>
        </w:rPr>
      </w:pPr>
      <w:r w:rsidRPr="000C3CD1">
        <w:rPr>
          <w:rFonts w:cs="Times New Roman"/>
          <w:color w:val="000000"/>
          <w:sz w:val="22"/>
        </w:rPr>
        <w:t>Note: Cluster-robust standard errors are shown in parentheses and are clustered at city level. Asterisks reflect significance level: *** p&lt;0.01, ** p&lt;0.05, * p&lt;0.1.</w:t>
      </w:r>
    </w:p>
    <w:p w14:paraId="547357A1" w14:textId="77777777" w:rsidR="00F831D7" w:rsidRDefault="00F831D7" w:rsidP="00D8491D">
      <w:pPr>
        <w:rPr>
          <w:color w:val="000000"/>
          <w:szCs w:val="24"/>
          <w:lang w:eastAsia="zh-CN"/>
        </w:rPr>
      </w:pPr>
    </w:p>
    <w:p w14:paraId="54713D8C" w14:textId="77777777" w:rsidR="00F831D7" w:rsidRDefault="00F831D7" w:rsidP="00D8491D">
      <w:pPr>
        <w:rPr>
          <w:color w:val="000000"/>
          <w:szCs w:val="24"/>
          <w:lang w:eastAsia="zh-CN"/>
        </w:rPr>
      </w:pPr>
    </w:p>
    <w:p w14:paraId="67B2F87D" w14:textId="77777777" w:rsidR="00F831D7" w:rsidRDefault="00F831D7" w:rsidP="00D8491D">
      <w:pPr>
        <w:rPr>
          <w:color w:val="000000"/>
          <w:szCs w:val="24"/>
          <w:lang w:eastAsia="zh-CN"/>
        </w:rPr>
      </w:pPr>
    </w:p>
    <w:p w14:paraId="3C6C695A" w14:textId="77777777" w:rsidR="00F831D7" w:rsidRDefault="00F831D7" w:rsidP="00D8491D">
      <w:pPr>
        <w:rPr>
          <w:color w:val="000000"/>
          <w:szCs w:val="24"/>
          <w:lang w:eastAsia="zh-CN"/>
        </w:rPr>
      </w:pPr>
    </w:p>
    <w:p w14:paraId="2BAD2461" w14:textId="77777777" w:rsidR="00F831D7" w:rsidRDefault="00F831D7" w:rsidP="00D8491D">
      <w:pPr>
        <w:rPr>
          <w:color w:val="000000"/>
          <w:szCs w:val="24"/>
          <w:lang w:eastAsia="zh-CN"/>
        </w:rPr>
      </w:pPr>
    </w:p>
    <w:p w14:paraId="7A94017A" w14:textId="77777777" w:rsidR="00F831D7" w:rsidRDefault="00F831D7" w:rsidP="00D8491D">
      <w:pPr>
        <w:rPr>
          <w:color w:val="000000"/>
          <w:szCs w:val="24"/>
          <w:lang w:eastAsia="zh-CN"/>
        </w:rPr>
      </w:pPr>
    </w:p>
    <w:p w14:paraId="59067B1F" w14:textId="77777777" w:rsidR="00F831D7" w:rsidRDefault="00F831D7" w:rsidP="00D8491D">
      <w:pPr>
        <w:rPr>
          <w:color w:val="000000"/>
          <w:szCs w:val="24"/>
          <w:lang w:eastAsia="zh-CN"/>
        </w:rPr>
      </w:pPr>
    </w:p>
    <w:p w14:paraId="7C201924" w14:textId="77777777" w:rsidR="00F831D7" w:rsidRDefault="00F831D7" w:rsidP="00D8491D">
      <w:pPr>
        <w:rPr>
          <w:color w:val="000000"/>
          <w:szCs w:val="24"/>
          <w:lang w:eastAsia="zh-CN"/>
        </w:rPr>
      </w:pPr>
    </w:p>
    <w:p w14:paraId="7A4D4F3F" w14:textId="77777777" w:rsidR="00F831D7" w:rsidRDefault="00F831D7" w:rsidP="00D8491D">
      <w:pPr>
        <w:rPr>
          <w:color w:val="000000"/>
          <w:szCs w:val="24"/>
          <w:lang w:eastAsia="zh-CN"/>
        </w:rPr>
      </w:pPr>
    </w:p>
    <w:p w14:paraId="53004CB9" w14:textId="77777777" w:rsidR="00F831D7" w:rsidRDefault="00F831D7" w:rsidP="00D8491D">
      <w:pPr>
        <w:rPr>
          <w:color w:val="000000"/>
          <w:szCs w:val="24"/>
          <w:lang w:eastAsia="zh-CN"/>
        </w:rPr>
      </w:pPr>
    </w:p>
    <w:p w14:paraId="1454FACA" w14:textId="77777777" w:rsidR="00F831D7" w:rsidRDefault="00F831D7" w:rsidP="00D8491D">
      <w:pPr>
        <w:rPr>
          <w:color w:val="000000"/>
          <w:szCs w:val="24"/>
          <w:lang w:eastAsia="zh-CN"/>
        </w:rPr>
      </w:pPr>
    </w:p>
    <w:p w14:paraId="15C715DF" w14:textId="77777777" w:rsidR="00F831D7" w:rsidRDefault="00F831D7" w:rsidP="00D8491D">
      <w:pPr>
        <w:rPr>
          <w:color w:val="000000"/>
          <w:szCs w:val="24"/>
          <w:lang w:eastAsia="zh-CN"/>
        </w:rPr>
      </w:pPr>
    </w:p>
    <w:p w14:paraId="11CEB3F7" w14:textId="77777777" w:rsidR="00F831D7" w:rsidRDefault="00F831D7" w:rsidP="00D8491D">
      <w:pPr>
        <w:rPr>
          <w:color w:val="000000"/>
          <w:szCs w:val="24"/>
          <w:lang w:eastAsia="zh-CN"/>
        </w:rPr>
      </w:pPr>
    </w:p>
    <w:p w14:paraId="00F63AF6" w14:textId="77777777" w:rsidR="00F831D7" w:rsidRDefault="00F831D7" w:rsidP="00D8491D">
      <w:pPr>
        <w:rPr>
          <w:color w:val="000000"/>
          <w:szCs w:val="24"/>
          <w:lang w:eastAsia="zh-CN"/>
        </w:rPr>
      </w:pPr>
    </w:p>
    <w:p w14:paraId="29ED3089" w14:textId="77777777" w:rsidR="00F831D7" w:rsidRDefault="00F831D7" w:rsidP="00D8491D">
      <w:pPr>
        <w:rPr>
          <w:color w:val="000000"/>
          <w:szCs w:val="24"/>
          <w:lang w:eastAsia="zh-CN"/>
        </w:rPr>
      </w:pPr>
    </w:p>
    <w:p w14:paraId="4270571D" w14:textId="77777777" w:rsidR="00F831D7" w:rsidRDefault="00F831D7" w:rsidP="00D8491D">
      <w:pPr>
        <w:rPr>
          <w:color w:val="000000"/>
          <w:szCs w:val="24"/>
          <w:lang w:eastAsia="zh-CN"/>
        </w:rPr>
      </w:pPr>
    </w:p>
    <w:p w14:paraId="7F82312C" w14:textId="77777777" w:rsidR="00F831D7" w:rsidRDefault="00F831D7" w:rsidP="00D8491D">
      <w:pPr>
        <w:rPr>
          <w:color w:val="000000"/>
          <w:szCs w:val="24"/>
          <w:lang w:eastAsia="zh-CN"/>
        </w:rPr>
      </w:pPr>
    </w:p>
    <w:p w14:paraId="2632DCA6" w14:textId="77777777" w:rsidR="00F831D7" w:rsidRDefault="00F831D7" w:rsidP="00D8491D">
      <w:pPr>
        <w:rPr>
          <w:color w:val="000000"/>
          <w:szCs w:val="24"/>
          <w:lang w:eastAsia="zh-CN"/>
        </w:rPr>
      </w:pPr>
    </w:p>
    <w:p w14:paraId="3D8D2455" w14:textId="77777777" w:rsidR="00F831D7" w:rsidRDefault="00F831D7" w:rsidP="00D8491D">
      <w:pPr>
        <w:rPr>
          <w:color w:val="000000"/>
          <w:szCs w:val="24"/>
          <w:lang w:eastAsia="zh-CN"/>
        </w:rPr>
      </w:pPr>
    </w:p>
    <w:p w14:paraId="22BE4AC9" w14:textId="77777777" w:rsidR="00F831D7" w:rsidRDefault="00F831D7" w:rsidP="00D8491D">
      <w:pPr>
        <w:rPr>
          <w:color w:val="000000"/>
          <w:szCs w:val="24"/>
          <w:lang w:eastAsia="zh-CN"/>
        </w:rPr>
      </w:pPr>
    </w:p>
    <w:p w14:paraId="581A203B" w14:textId="6AB7A83E" w:rsidR="00D8491D" w:rsidRPr="000C3CD1" w:rsidRDefault="00D8491D" w:rsidP="00D8491D">
      <w:pPr>
        <w:rPr>
          <w:color w:val="000000"/>
          <w:szCs w:val="24"/>
        </w:rPr>
      </w:pPr>
      <w:r w:rsidRPr="000C3CD1">
        <w:rPr>
          <w:color w:val="000000"/>
          <w:szCs w:val="24"/>
        </w:rPr>
        <w:lastRenderedPageBreak/>
        <w:t>Table A</w:t>
      </w:r>
      <w:r w:rsidRPr="000C3CD1">
        <w:rPr>
          <w:rFonts w:hint="eastAsia"/>
          <w:color w:val="000000"/>
          <w:szCs w:val="24"/>
        </w:rPr>
        <w:t xml:space="preserve">3. </w:t>
      </w:r>
      <w:r w:rsidRPr="000C3CD1">
        <w:rPr>
          <w:color w:val="000000"/>
          <w:szCs w:val="24"/>
        </w:rPr>
        <w:t>Types of Benefit Packages in Pilot Cities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2"/>
        <w:gridCol w:w="2235"/>
        <w:gridCol w:w="1701"/>
        <w:gridCol w:w="1843"/>
        <w:gridCol w:w="2977"/>
      </w:tblGrid>
      <w:tr w:rsidR="00D8491D" w:rsidRPr="000C3CD1" w14:paraId="7DBCB424" w14:textId="77777777" w:rsidTr="00BA758F">
        <w:trPr>
          <w:tblHeader/>
        </w:trPr>
        <w:tc>
          <w:tcPr>
            <w:tcW w:w="1162" w:type="dxa"/>
            <w:shd w:val="clear" w:color="auto" w:fill="FFFFFF"/>
            <w:tcMar>
              <w:top w:w="150" w:type="dxa"/>
              <w:left w:w="0" w:type="dxa"/>
              <w:bottom w:w="150" w:type="dxa"/>
              <w:right w:w="240" w:type="dxa"/>
            </w:tcMar>
            <w:vAlign w:val="center"/>
            <w:hideMark/>
          </w:tcPr>
          <w:p w14:paraId="7D53562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City</w:t>
            </w:r>
          </w:p>
        </w:tc>
        <w:tc>
          <w:tcPr>
            <w:tcW w:w="2235" w:type="dxa"/>
            <w:shd w:val="clear" w:color="auto" w:fill="FFFFFF"/>
            <w:tcMar>
              <w:top w:w="150" w:type="dxa"/>
              <w:left w:w="240" w:type="dxa"/>
              <w:bottom w:w="150" w:type="dxa"/>
              <w:right w:w="240" w:type="dxa"/>
            </w:tcMar>
            <w:vAlign w:val="center"/>
            <w:hideMark/>
          </w:tcPr>
          <w:p w14:paraId="011C93B3"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Eligibility Criteria</w:t>
            </w:r>
          </w:p>
        </w:tc>
        <w:tc>
          <w:tcPr>
            <w:tcW w:w="1701" w:type="dxa"/>
            <w:shd w:val="clear" w:color="auto" w:fill="FFFFFF"/>
            <w:tcMar>
              <w:top w:w="150" w:type="dxa"/>
              <w:left w:w="240" w:type="dxa"/>
              <w:bottom w:w="150" w:type="dxa"/>
              <w:right w:w="240" w:type="dxa"/>
            </w:tcMar>
            <w:vAlign w:val="center"/>
            <w:hideMark/>
          </w:tcPr>
          <w:p w14:paraId="405AEDCE"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Cash Benefit</w:t>
            </w:r>
          </w:p>
        </w:tc>
        <w:tc>
          <w:tcPr>
            <w:tcW w:w="1843" w:type="dxa"/>
            <w:shd w:val="clear" w:color="auto" w:fill="FFFFFF"/>
            <w:tcMar>
              <w:top w:w="150" w:type="dxa"/>
              <w:left w:w="240" w:type="dxa"/>
              <w:bottom w:w="150" w:type="dxa"/>
              <w:right w:w="240" w:type="dxa"/>
            </w:tcMar>
            <w:vAlign w:val="center"/>
            <w:hideMark/>
          </w:tcPr>
          <w:p w14:paraId="7B61BF0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Financing (Public Health Insurance Fund Share)</w:t>
            </w:r>
          </w:p>
        </w:tc>
        <w:tc>
          <w:tcPr>
            <w:tcW w:w="2977" w:type="dxa"/>
            <w:shd w:val="clear" w:color="auto" w:fill="FFFFFF"/>
            <w:tcMar>
              <w:top w:w="150" w:type="dxa"/>
              <w:left w:w="240" w:type="dxa"/>
              <w:bottom w:w="150" w:type="dxa"/>
              <w:right w:w="240" w:type="dxa"/>
            </w:tcMar>
            <w:vAlign w:val="center"/>
            <w:hideMark/>
          </w:tcPr>
          <w:p w14:paraId="6FE9F72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Benefit Summary </w:t>
            </w:r>
          </w:p>
        </w:tc>
      </w:tr>
      <w:tr w:rsidR="00D8491D" w:rsidRPr="000C3CD1" w14:paraId="6260565D" w14:textId="77777777" w:rsidTr="00BA758F">
        <w:tc>
          <w:tcPr>
            <w:tcW w:w="1162" w:type="dxa"/>
            <w:shd w:val="clear" w:color="auto" w:fill="FFFFFF"/>
            <w:tcMar>
              <w:top w:w="150" w:type="dxa"/>
              <w:left w:w="0" w:type="dxa"/>
              <w:bottom w:w="150" w:type="dxa"/>
              <w:right w:w="240" w:type="dxa"/>
            </w:tcMar>
            <w:vAlign w:val="center"/>
            <w:hideMark/>
          </w:tcPr>
          <w:p w14:paraId="4B57C2D6"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Shangrao</w:t>
            </w:r>
          </w:p>
        </w:tc>
        <w:tc>
          <w:tcPr>
            <w:tcW w:w="2235" w:type="dxa"/>
            <w:shd w:val="clear" w:color="auto" w:fill="FFFFFF"/>
            <w:tcMar>
              <w:top w:w="150" w:type="dxa"/>
              <w:left w:w="240" w:type="dxa"/>
              <w:bottom w:w="150" w:type="dxa"/>
              <w:right w:w="240" w:type="dxa"/>
            </w:tcMar>
            <w:vAlign w:val="center"/>
            <w:hideMark/>
          </w:tcPr>
          <w:p w14:paraId="00DA6C0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Severe disability</w:t>
            </w:r>
          </w:p>
        </w:tc>
        <w:tc>
          <w:tcPr>
            <w:tcW w:w="1701" w:type="dxa"/>
            <w:shd w:val="clear" w:color="auto" w:fill="FFFFFF"/>
            <w:tcMar>
              <w:top w:w="150" w:type="dxa"/>
              <w:left w:w="240" w:type="dxa"/>
              <w:bottom w:w="150" w:type="dxa"/>
              <w:right w:w="240" w:type="dxa"/>
            </w:tcMar>
            <w:vAlign w:val="center"/>
            <w:hideMark/>
          </w:tcPr>
          <w:p w14:paraId="566F0BA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Yes</w:t>
            </w:r>
          </w:p>
        </w:tc>
        <w:tc>
          <w:tcPr>
            <w:tcW w:w="1843" w:type="dxa"/>
            <w:shd w:val="clear" w:color="auto" w:fill="FFFFFF"/>
            <w:tcMar>
              <w:top w:w="150" w:type="dxa"/>
              <w:left w:w="240" w:type="dxa"/>
              <w:bottom w:w="150" w:type="dxa"/>
              <w:right w:w="240" w:type="dxa"/>
            </w:tcMar>
            <w:vAlign w:val="center"/>
            <w:hideMark/>
          </w:tcPr>
          <w:p w14:paraId="7D1FE275"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30%</w:t>
            </w:r>
          </w:p>
        </w:tc>
        <w:tc>
          <w:tcPr>
            <w:tcW w:w="2977" w:type="dxa"/>
            <w:shd w:val="clear" w:color="auto" w:fill="FFFFFF"/>
            <w:tcMar>
              <w:top w:w="150" w:type="dxa"/>
              <w:left w:w="240" w:type="dxa"/>
              <w:bottom w:w="150" w:type="dxa"/>
              <w:right w:w="0" w:type="dxa"/>
            </w:tcMar>
            <w:vAlign w:val="center"/>
            <w:hideMark/>
          </w:tcPr>
          <w:p w14:paraId="4B3F9C6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1080 RMB/month; Home care: 900 RMB/month; Self-nursing subsidy: 450 RMB/month</w:t>
            </w:r>
          </w:p>
        </w:tc>
      </w:tr>
      <w:tr w:rsidR="00D8491D" w:rsidRPr="000C3CD1" w14:paraId="5ACE63DE" w14:textId="77777777" w:rsidTr="00BA758F">
        <w:tc>
          <w:tcPr>
            <w:tcW w:w="1162" w:type="dxa"/>
            <w:shd w:val="clear" w:color="auto" w:fill="FFFFFF"/>
            <w:tcMar>
              <w:top w:w="150" w:type="dxa"/>
              <w:left w:w="0" w:type="dxa"/>
              <w:bottom w:w="150" w:type="dxa"/>
              <w:right w:w="240" w:type="dxa"/>
            </w:tcMar>
            <w:vAlign w:val="center"/>
            <w:hideMark/>
          </w:tcPr>
          <w:p w14:paraId="24DE0F0B"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Chengdu</w:t>
            </w:r>
          </w:p>
        </w:tc>
        <w:tc>
          <w:tcPr>
            <w:tcW w:w="2235" w:type="dxa"/>
            <w:shd w:val="clear" w:color="auto" w:fill="FFFFFF"/>
            <w:tcMar>
              <w:top w:w="150" w:type="dxa"/>
              <w:left w:w="240" w:type="dxa"/>
              <w:bottom w:w="150" w:type="dxa"/>
              <w:right w:w="240" w:type="dxa"/>
            </w:tcMar>
            <w:vAlign w:val="center"/>
            <w:hideMark/>
          </w:tcPr>
          <w:p w14:paraId="75F3E9FE"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Severe disability</w:t>
            </w:r>
          </w:p>
        </w:tc>
        <w:tc>
          <w:tcPr>
            <w:tcW w:w="1701" w:type="dxa"/>
            <w:shd w:val="clear" w:color="auto" w:fill="FFFFFF"/>
            <w:tcMar>
              <w:top w:w="150" w:type="dxa"/>
              <w:left w:w="240" w:type="dxa"/>
              <w:bottom w:w="150" w:type="dxa"/>
              <w:right w:w="240" w:type="dxa"/>
            </w:tcMar>
            <w:vAlign w:val="center"/>
            <w:hideMark/>
          </w:tcPr>
          <w:p w14:paraId="29649CA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Yes</w:t>
            </w:r>
          </w:p>
        </w:tc>
        <w:tc>
          <w:tcPr>
            <w:tcW w:w="1843" w:type="dxa"/>
            <w:shd w:val="clear" w:color="auto" w:fill="FFFFFF"/>
            <w:tcMar>
              <w:top w:w="150" w:type="dxa"/>
              <w:left w:w="240" w:type="dxa"/>
              <w:bottom w:w="150" w:type="dxa"/>
              <w:right w:w="240" w:type="dxa"/>
            </w:tcMar>
            <w:vAlign w:val="center"/>
            <w:hideMark/>
          </w:tcPr>
          <w:p w14:paraId="13DB65C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25%–67% (age</w:t>
            </w:r>
            <w:r w:rsidRPr="000C3CD1">
              <w:rPr>
                <w:rFonts w:cs="Times New Roman"/>
                <w:color w:val="000000"/>
                <w:sz w:val="20"/>
                <w:szCs w:val="20"/>
                <w:lang w:eastAsia="zh-CN"/>
              </w:rPr>
              <w:noBreakHyphen/>
              <w:t>based)</w:t>
            </w:r>
          </w:p>
        </w:tc>
        <w:tc>
          <w:tcPr>
            <w:tcW w:w="2977" w:type="dxa"/>
            <w:shd w:val="clear" w:color="auto" w:fill="FFFFFF"/>
            <w:tcMar>
              <w:top w:w="150" w:type="dxa"/>
              <w:left w:w="240" w:type="dxa"/>
              <w:bottom w:w="150" w:type="dxa"/>
              <w:right w:w="0" w:type="dxa"/>
            </w:tcMar>
            <w:vAlign w:val="center"/>
            <w:hideMark/>
          </w:tcPr>
          <w:p w14:paraId="62DD31DA"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Hospital/institution co-payment 30%; Home care co-payment 25% (both based on disability level)</w:t>
            </w:r>
          </w:p>
        </w:tc>
      </w:tr>
      <w:tr w:rsidR="00D8491D" w:rsidRPr="000C3CD1" w14:paraId="6497FFE2" w14:textId="77777777" w:rsidTr="00BA758F">
        <w:tc>
          <w:tcPr>
            <w:tcW w:w="1162" w:type="dxa"/>
            <w:shd w:val="clear" w:color="auto" w:fill="FFFFFF"/>
            <w:tcMar>
              <w:top w:w="150" w:type="dxa"/>
              <w:left w:w="0" w:type="dxa"/>
              <w:bottom w:w="150" w:type="dxa"/>
              <w:right w:w="240" w:type="dxa"/>
            </w:tcMar>
            <w:vAlign w:val="center"/>
            <w:hideMark/>
          </w:tcPr>
          <w:p w14:paraId="3ADA162A"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Xuzhou</w:t>
            </w:r>
          </w:p>
        </w:tc>
        <w:tc>
          <w:tcPr>
            <w:tcW w:w="2235" w:type="dxa"/>
            <w:shd w:val="clear" w:color="auto" w:fill="FFFFFF"/>
            <w:tcMar>
              <w:top w:w="150" w:type="dxa"/>
              <w:left w:w="240" w:type="dxa"/>
              <w:bottom w:w="150" w:type="dxa"/>
              <w:right w:w="240" w:type="dxa"/>
            </w:tcMar>
            <w:vAlign w:val="center"/>
            <w:hideMark/>
          </w:tcPr>
          <w:p w14:paraId="5B910CEB"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Severe disability</w:t>
            </w:r>
          </w:p>
        </w:tc>
        <w:tc>
          <w:tcPr>
            <w:tcW w:w="1701" w:type="dxa"/>
            <w:shd w:val="clear" w:color="auto" w:fill="FFFFFF"/>
            <w:tcMar>
              <w:top w:w="150" w:type="dxa"/>
              <w:left w:w="240" w:type="dxa"/>
              <w:bottom w:w="150" w:type="dxa"/>
              <w:right w:w="240" w:type="dxa"/>
            </w:tcMar>
            <w:vAlign w:val="center"/>
            <w:hideMark/>
          </w:tcPr>
          <w:p w14:paraId="66A96E08"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Yes</w:t>
            </w:r>
          </w:p>
        </w:tc>
        <w:tc>
          <w:tcPr>
            <w:tcW w:w="1843" w:type="dxa"/>
            <w:shd w:val="clear" w:color="auto" w:fill="FFFFFF"/>
            <w:tcMar>
              <w:top w:w="150" w:type="dxa"/>
              <w:left w:w="240" w:type="dxa"/>
              <w:bottom w:w="150" w:type="dxa"/>
              <w:right w:w="240" w:type="dxa"/>
            </w:tcMar>
            <w:vAlign w:val="center"/>
            <w:hideMark/>
          </w:tcPr>
          <w:p w14:paraId="0CEF20D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N/A</w:t>
            </w:r>
          </w:p>
        </w:tc>
        <w:tc>
          <w:tcPr>
            <w:tcW w:w="2977" w:type="dxa"/>
            <w:shd w:val="clear" w:color="auto" w:fill="FFFFFF"/>
            <w:tcMar>
              <w:top w:w="150" w:type="dxa"/>
              <w:left w:w="240" w:type="dxa"/>
              <w:bottom w:w="150" w:type="dxa"/>
              <w:right w:w="0" w:type="dxa"/>
            </w:tcMar>
            <w:vAlign w:val="center"/>
            <w:hideMark/>
          </w:tcPr>
          <w:p w14:paraId="4CCCB712"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40%; Institution co-payment 50%; Home care (contracted) cap 500 RMB/month; (non</w:t>
            </w:r>
            <w:r w:rsidRPr="000C3CD1">
              <w:rPr>
                <w:rFonts w:cs="Times New Roman"/>
                <w:color w:val="000000"/>
                <w:sz w:val="20"/>
                <w:szCs w:val="20"/>
                <w:lang w:eastAsia="zh-CN"/>
              </w:rPr>
              <w:noBreakHyphen/>
              <w:t>contracted) 15 RMB/day</w:t>
            </w:r>
          </w:p>
        </w:tc>
      </w:tr>
      <w:tr w:rsidR="00D8491D" w:rsidRPr="000C3CD1" w14:paraId="11F48147" w14:textId="77777777" w:rsidTr="00BA758F">
        <w:tc>
          <w:tcPr>
            <w:tcW w:w="1162" w:type="dxa"/>
            <w:shd w:val="clear" w:color="auto" w:fill="FFFFFF"/>
            <w:tcMar>
              <w:top w:w="150" w:type="dxa"/>
              <w:left w:w="0" w:type="dxa"/>
              <w:bottom w:w="150" w:type="dxa"/>
              <w:right w:w="240" w:type="dxa"/>
            </w:tcMar>
            <w:vAlign w:val="center"/>
            <w:hideMark/>
          </w:tcPr>
          <w:p w14:paraId="364072D8"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Jingmen</w:t>
            </w:r>
          </w:p>
        </w:tc>
        <w:tc>
          <w:tcPr>
            <w:tcW w:w="2235" w:type="dxa"/>
            <w:shd w:val="clear" w:color="auto" w:fill="FFFFFF"/>
            <w:tcMar>
              <w:top w:w="150" w:type="dxa"/>
              <w:left w:w="240" w:type="dxa"/>
              <w:bottom w:w="150" w:type="dxa"/>
              <w:right w:w="240" w:type="dxa"/>
            </w:tcMar>
            <w:vAlign w:val="center"/>
            <w:hideMark/>
          </w:tcPr>
          <w:p w14:paraId="618297F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40</w:t>
            </w:r>
          </w:p>
        </w:tc>
        <w:tc>
          <w:tcPr>
            <w:tcW w:w="1701" w:type="dxa"/>
            <w:shd w:val="clear" w:color="auto" w:fill="FFFFFF"/>
            <w:tcMar>
              <w:top w:w="150" w:type="dxa"/>
              <w:left w:w="240" w:type="dxa"/>
              <w:bottom w:w="150" w:type="dxa"/>
              <w:right w:w="240" w:type="dxa"/>
            </w:tcMar>
            <w:vAlign w:val="center"/>
            <w:hideMark/>
          </w:tcPr>
          <w:p w14:paraId="6A0CD43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Yes</w:t>
            </w:r>
          </w:p>
        </w:tc>
        <w:tc>
          <w:tcPr>
            <w:tcW w:w="1843" w:type="dxa"/>
            <w:shd w:val="clear" w:color="auto" w:fill="FFFFFF"/>
            <w:tcMar>
              <w:top w:w="150" w:type="dxa"/>
              <w:left w:w="240" w:type="dxa"/>
              <w:bottom w:w="150" w:type="dxa"/>
              <w:right w:w="240" w:type="dxa"/>
            </w:tcMar>
            <w:vAlign w:val="center"/>
            <w:hideMark/>
          </w:tcPr>
          <w:p w14:paraId="09363AFE"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25%</w:t>
            </w:r>
          </w:p>
        </w:tc>
        <w:tc>
          <w:tcPr>
            <w:tcW w:w="2977" w:type="dxa"/>
            <w:shd w:val="clear" w:color="auto" w:fill="FFFFFF"/>
            <w:tcMar>
              <w:top w:w="150" w:type="dxa"/>
              <w:left w:w="240" w:type="dxa"/>
              <w:bottom w:w="150" w:type="dxa"/>
              <w:right w:w="0" w:type="dxa"/>
            </w:tcMar>
            <w:vAlign w:val="center"/>
            <w:hideMark/>
          </w:tcPr>
          <w:p w14:paraId="0081E32A"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30% (cap 150/day); Institution co-payment 25% (cap 100/day); Home care co-payment 20% (cap 100/day) or 0% (cap 40/day)</w:t>
            </w:r>
          </w:p>
        </w:tc>
      </w:tr>
      <w:tr w:rsidR="00D8491D" w:rsidRPr="000C3CD1" w14:paraId="494DDA81" w14:textId="77777777" w:rsidTr="00BA758F">
        <w:tc>
          <w:tcPr>
            <w:tcW w:w="1162" w:type="dxa"/>
            <w:shd w:val="clear" w:color="auto" w:fill="FFFFFF"/>
            <w:tcMar>
              <w:top w:w="150" w:type="dxa"/>
              <w:left w:w="0" w:type="dxa"/>
              <w:bottom w:w="150" w:type="dxa"/>
              <w:right w:w="240" w:type="dxa"/>
            </w:tcMar>
            <w:vAlign w:val="center"/>
            <w:hideMark/>
          </w:tcPr>
          <w:p w14:paraId="6C102B0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Ningbo</w:t>
            </w:r>
          </w:p>
        </w:tc>
        <w:tc>
          <w:tcPr>
            <w:tcW w:w="2235" w:type="dxa"/>
            <w:shd w:val="clear" w:color="auto" w:fill="FFFFFF"/>
            <w:tcMar>
              <w:top w:w="150" w:type="dxa"/>
              <w:left w:w="240" w:type="dxa"/>
              <w:bottom w:w="150" w:type="dxa"/>
              <w:right w:w="240" w:type="dxa"/>
            </w:tcMar>
            <w:vAlign w:val="center"/>
            <w:hideMark/>
          </w:tcPr>
          <w:p w14:paraId="43508826"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Severe disability</w:t>
            </w:r>
          </w:p>
        </w:tc>
        <w:tc>
          <w:tcPr>
            <w:tcW w:w="1701" w:type="dxa"/>
            <w:shd w:val="clear" w:color="auto" w:fill="FFFFFF"/>
            <w:tcMar>
              <w:top w:w="150" w:type="dxa"/>
              <w:left w:w="240" w:type="dxa"/>
              <w:bottom w:w="150" w:type="dxa"/>
              <w:right w:w="240" w:type="dxa"/>
            </w:tcMar>
            <w:vAlign w:val="center"/>
            <w:hideMark/>
          </w:tcPr>
          <w:p w14:paraId="0383E39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75BFAE4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N/A</w:t>
            </w:r>
          </w:p>
        </w:tc>
        <w:tc>
          <w:tcPr>
            <w:tcW w:w="2977" w:type="dxa"/>
            <w:shd w:val="clear" w:color="auto" w:fill="FFFFFF"/>
            <w:tcMar>
              <w:top w:w="150" w:type="dxa"/>
              <w:left w:w="240" w:type="dxa"/>
              <w:bottom w:w="150" w:type="dxa"/>
              <w:right w:w="0" w:type="dxa"/>
            </w:tcMar>
            <w:vAlign w:val="center"/>
            <w:hideMark/>
          </w:tcPr>
          <w:p w14:paraId="558E25D2"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40 RMB/day; Institution: 40 RMB/day</w:t>
            </w:r>
          </w:p>
        </w:tc>
      </w:tr>
      <w:tr w:rsidR="00D8491D" w:rsidRPr="000C3CD1" w14:paraId="306516A9" w14:textId="77777777" w:rsidTr="00BA758F">
        <w:tc>
          <w:tcPr>
            <w:tcW w:w="1162" w:type="dxa"/>
            <w:shd w:val="clear" w:color="auto" w:fill="FFFFFF"/>
            <w:tcMar>
              <w:top w:w="150" w:type="dxa"/>
              <w:left w:w="0" w:type="dxa"/>
              <w:bottom w:w="150" w:type="dxa"/>
              <w:right w:w="240" w:type="dxa"/>
            </w:tcMar>
            <w:vAlign w:val="center"/>
            <w:hideMark/>
          </w:tcPr>
          <w:p w14:paraId="4AC4724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Jinan</w:t>
            </w:r>
          </w:p>
        </w:tc>
        <w:tc>
          <w:tcPr>
            <w:tcW w:w="2235" w:type="dxa"/>
            <w:shd w:val="clear" w:color="auto" w:fill="FFFFFF"/>
            <w:tcMar>
              <w:top w:w="150" w:type="dxa"/>
              <w:left w:w="240" w:type="dxa"/>
              <w:bottom w:w="150" w:type="dxa"/>
              <w:right w:w="240" w:type="dxa"/>
            </w:tcMar>
            <w:vAlign w:val="center"/>
            <w:hideMark/>
          </w:tcPr>
          <w:p w14:paraId="6D622CAB"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55</w:t>
            </w:r>
          </w:p>
        </w:tc>
        <w:tc>
          <w:tcPr>
            <w:tcW w:w="1701" w:type="dxa"/>
            <w:shd w:val="clear" w:color="auto" w:fill="FFFFFF"/>
            <w:tcMar>
              <w:top w:w="150" w:type="dxa"/>
              <w:left w:w="240" w:type="dxa"/>
              <w:bottom w:w="150" w:type="dxa"/>
              <w:right w:w="240" w:type="dxa"/>
            </w:tcMar>
            <w:vAlign w:val="center"/>
            <w:hideMark/>
          </w:tcPr>
          <w:p w14:paraId="6A589281"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62F95EC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N/A</w:t>
            </w:r>
          </w:p>
        </w:tc>
        <w:tc>
          <w:tcPr>
            <w:tcW w:w="2977" w:type="dxa"/>
            <w:shd w:val="clear" w:color="auto" w:fill="FFFFFF"/>
            <w:tcMar>
              <w:top w:w="150" w:type="dxa"/>
              <w:left w:w="240" w:type="dxa"/>
              <w:bottom w:w="150" w:type="dxa"/>
              <w:right w:w="0" w:type="dxa"/>
            </w:tcMar>
            <w:vAlign w:val="center"/>
            <w:hideMark/>
          </w:tcPr>
          <w:p w14:paraId="13B5615E"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220–260 RMB/day; Institution: 70 RMB/day; Home care: cap 60 RMB/hour, max 4 hours/day</w:t>
            </w:r>
          </w:p>
        </w:tc>
      </w:tr>
      <w:tr w:rsidR="00D8491D" w:rsidRPr="000C3CD1" w14:paraId="4F8E2EDF" w14:textId="77777777" w:rsidTr="00BA758F">
        <w:tc>
          <w:tcPr>
            <w:tcW w:w="1162" w:type="dxa"/>
            <w:shd w:val="clear" w:color="auto" w:fill="FFFFFF"/>
            <w:tcMar>
              <w:top w:w="150" w:type="dxa"/>
              <w:left w:w="0" w:type="dxa"/>
              <w:bottom w:w="150" w:type="dxa"/>
              <w:right w:w="240" w:type="dxa"/>
            </w:tcMar>
            <w:vAlign w:val="center"/>
            <w:hideMark/>
          </w:tcPr>
          <w:p w14:paraId="31231E1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Jilin</w:t>
            </w:r>
          </w:p>
        </w:tc>
        <w:tc>
          <w:tcPr>
            <w:tcW w:w="2235" w:type="dxa"/>
            <w:shd w:val="clear" w:color="auto" w:fill="FFFFFF"/>
            <w:tcMar>
              <w:top w:w="150" w:type="dxa"/>
              <w:left w:w="240" w:type="dxa"/>
              <w:bottom w:w="150" w:type="dxa"/>
              <w:right w:w="240" w:type="dxa"/>
            </w:tcMar>
            <w:vAlign w:val="center"/>
            <w:hideMark/>
          </w:tcPr>
          <w:p w14:paraId="2B47651A"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40</w:t>
            </w:r>
          </w:p>
        </w:tc>
        <w:tc>
          <w:tcPr>
            <w:tcW w:w="1701" w:type="dxa"/>
            <w:shd w:val="clear" w:color="auto" w:fill="FFFFFF"/>
            <w:tcMar>
              <w:top w:w="150" w:type="dxa"/>
              <w:left w:w="240" w:type="dxa"/>
              <w:bottom w:w="150" w:type="dxa"/>
              <w:right w:w="240" w:type="dxa"/>
            </w:tcMar>
            <w:vAlign w:val="center"/>
            <w:hideMark/>
          </w:tcPr>
          <w:p w14:paraId="6CFE681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76ED204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N/A</w:t>
            </w:r>
          </w:p>
        </w:tc>
        <w:tc>
          <w:tcPr>
            <w:tcW w:w="2977" w:type="dxa"/>
            <w:shd w:val="clear" w:color="auto" w:fill="FFFFFF"/>
            <w:tcMar>
              <w:top w:w="150" w:type="dxa"/>
              <w:left w:w="240" w:type="dxa"/>
              <w:bottom w:w="150" w:type="dxa"/>
              <w:right w:w="0" w:type="dxa"/>
            </w:tcMar>
            <w:vAlign w:val="center"/>
            <w:hideMark/>
          </w:tcPr>
          <w:p w14:paraId="01FC853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Institution co-payment 20% or 30% </w:t>
            </w:r>
          </w:p>
        </w:tc>
      </w:tr>
      <w:tr w:rsidR="00D8491D" w:rsidRPr="000C3CD1" w14:paraId="385A23DC" w14:textId="77777777" w:rsidTr="00BA758F">
        <w:tc>
          <w:tcPr>
            <w:tcW w:w="1162" w:type="dxa"/>
            <w:shd w:val="clear" w:color="auto" w:fill="FFFFFF"/>
            <w:tcMar>
              <w:top w:w="150" w:type="dxa"/>
              <w:left w:w="0" w:type="dxa"/>
              <w:bottom w:w="150" w:type="dxa"/>
              <w:right w:w="240" w:type="dxa"/>
            </w:tcMar>
            <w:vAlign w:val="center"/>
            <w:hideMark/>
          </w:tcPr>
          <w:p w14:paraId="1CA8EFD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lastRenderedPageBreak/>
              <w:t>Chengde</w:t>
            </w:r>
          </w:p>
        </w:tc>
        <w:tc>
          <w:tcPr>
            <w:tcW w:w="2235" w:type="dxa"/>
            <w:shd w:val="clear" w:color="auto" w:fill="FFFFFF"/>
            <w:tcMar>
              <w:top w:w="150" w:type="dxa"/>
              <w:left w:w="240" w:type="dxa"/>
              <w:bottom w:w="150" w:type="dxa"/>
              <w:right w:w="240" w:type="dxa"/>
            </w:tcMar>
            <w:vAlign w:val="center"/>
            <w:hideMark/>
          </w:tcPr>
          <w:p w14:paraId="1805D8E2"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40</w:t>
            </w:r>
          </w:p>
        </w:tc>
        <w:tc>
          <w:tcPr>
            <w:tcW w:w="1701" w:type="dxa"/>
            <w:shd w:val="clear" w:color="auto" w:fill="FFFFFF"/>
            <w:tcMar>
              <w:top w:w="150" w:type="dxa"/>
              <w:left w:w="240" w:type="dxa"/>
              <w:bottom w:w="150" w:type="dxa"/>
              <w:right w:w="240" w:type="dxa"/>
            </w:tcMar>
            <w:vAlign w:val="center"/>
            <w:hideMark/>
          </w:tcPr>
          <w:p w14:paraId="335E1E6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3CC1607C"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50%</w:t>
            </w:r>
          </w:p>
        </w:tc>
        <w:tc>
          <w:tcPr>
            <w:tcW w:w="2977" w:type="dxa"/>
            <w:shd w:val="clear" w:color="auto" w:fill="FFFFFF"/>
            <w:tcMar>
              <w:top w:w="150" w:type="dxa"/>
              <w:left w:w="240" w:type="dxa"/>
              <w:bottom w:w="150" w:type="dxa"/>
              <w:right w:w="0" w:type="dxa"/>
            </w:tcMar>
            <w:vAlign w:val="center"/>
            <w:hideMark/>
          </w:tcPr>
          <w:p w14:paraId="619F53AE"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Co-payment 30% for hospital, institution, and home care</w:t>
            </w:r>
          </w:p>
        </w:tc>
      </w:tr>
      <w:tr w:rsidR="00D8491D" w:rsidRPr="000C3CD1" w14:paraId="15C4EE1C" w14:textId="77777777" w:rsidTr="00BA758F">
        <w:tc>
          <w:tcPr>
            <w:tcW w:w="1162" w:type="dxa"/>
            <w:shd w:val="clear" w:color="auto" w:fill="FFFFFF"/>
            <w:tcMar>
              <w:top w:w="150" w:type="dxa"/>
              <w:left w:w="0" w:type="dxa"/>
              <w:bottom w:w="150" w:type="dxa"/>
              <w:right w:w="240" w:type="dxa"/>
            </w:tcMar>
            <w:vAlign w:val="center"/>
            <w:hideMark/>
          </w:tcPr>
          <w:p w14:paraId="751E8D1B"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Shanghai</w:t>
            </w:r>
          </w:p>
        </w:tc>
        <w:tc>
          <w:tcPr>
            <w:tcW w:w="2235" w:type="dxa"/>
            <w:shd w:val="clear" w:color="auto" w:fill="FFFFFF"/>
            <w:tcMar>
              <w:top w:w="150" w:type="dxa"/>
              <w:left w:w="240" w:type="dxa"/>
              <w:bottom w:w="150" w:type="dxa"/>
              <w:right w:w="240" w:type="dxa"/>
            </w:tcMar>
            <w:vAlign w:val="center"/>
            <w:hideMark/>
          </w:tcPr>
          <w:p w14:paraId="30182B03"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Age &gt;60, disability level 2</w:t>
            </w:r>
            <w:r w:rsidRPr="000C3CD1">
              <w:rPr>
                <w:rFonts w:cs="Times New Roman"/>
                <w:color w:val="000000"/>
                <w:sz w:val="20"/>
                <w:szCs w:val="20"/>
                <w:lang w:eastAsia="zh-CN"/>
              </w:rPr>
              <w:noBreakHyphen/>
              <w:t>6</w:t>
            </w:r>
          </w:p>
        </w:tc>
        <w:tc>
          <w:tcPr>
            <w:tcW w:w="1701" w:type="dxa"/>
            <w:shd w:val="clear" w:color="auto" w:fill="FFFFFF"/>
            <w:tcMar>
              <w:top w:w="150" w:type="dxa"/>
              <w:left w:w="240" w:type="dxa"/>
              <w:bottom w:w="150" w:type="dxa"/>
              <w:right w:w="240" w:type="dxa"/>
            </w:tcMar>
            <w:vAlign w:val="center"/>
            <w:hideMark/>
          </w:tcPr>
          <w:p w14:paraId="2A36E2A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16A16B2C"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100%</w:t>
            </w:r>
          </w:p>
        </w:tc>
        <w:tc>
          <w:tcPr>
            <w:tcW w:w="2977" w:type="dxa"/>
            <w:shd w:val="clear" w:color="auto" w:fill="FFFFFF"/>
            <w:tcMar>
              <w:top w:w="150" w:type="dxa"/>
              <w:left w:w="240" w:type="dxa"/>
              <w:bottom w:w="150" w:type="dxa"/>
              <w:right w:w="0" w:type="dxa"/>
            </w:tcMar>
            <w:vAlign w:val="center"/>
            <w:hideMark/>
          </w:tcPr>
          <w:p w14:paraId="4999364C"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20%; Institution co-payment 15%; Home care co-payment 10% (hours vary by level)</w:t>
            </w:r>
          </w:p>
        </w:tc>
      </w:tr>
      <w:tr w:rsidR="00D8491D" w:rsidRPr="000C3CD1" w14:paraId="0A8E36D5" w14:textId="77777777" w:rsidTr="00BA758F">
        <w:tc>
          <w:tcPr>
            <w:tcW w:w="1162" w:type="dxa"/>
            <w:shd w:val="clear" w:color="auto" w:fill="FFFFFF"/>
            <w:tcMar>
              <w:top w:w="150" w:type="dxa"/>
              <w:left w:w="0" w:type="dxa"/>
              <w:bottom w:w="150" w:type="dxa"/>
              <w:right w:w="240" w:type="dxa"/>
            </w:tcMar>
            <w:vAlign w:val="center"/>
            <w:hideMark/>
          </w:tcPr>
          <w:p w14:paraId="3EEF5C3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Anqing</w:t>
            </w:r>
          </w:p>
        </w:tc>
        <w:tc>
          <w:tcPr>
            <w:tcW w:w="2235" w:type="dxa"/>
            <w:shd w:val="clear" w:color="auto" w:fill="FFFFFF"/>
            <w:tcMar>
              <w:top w:w="150" w:type="dxa"/>
              <w:left w:w="240" w:type="dxa"/>
              <w:bottom w:w="150" w:type="dxa"/>
              <w:right w:w="240" w:type="dxa"/>
            </w:tcMar>
            <w:vAlign w:val="center"/>
            <w:hideMark/>
          </w:tcPr>
          <w:p w14:paraId="7FB2BFF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40</w:t>
            </w:r>
          </w:p>
        </w:tc>
        <w:tc>
          <w:tcPr>
            <w:tcW w:w="1701" w:type="dxa"/>
            <w:shd w:val="clear" w:color="auto" w:fill="FFFFFF"/>
            <w:tcMar>
              <w:top w:w="150" w:type="dxa"/>
              <w:left w:w="240" w:type="dxa"/>
              <w:bottom w:w="150" w:type="dxa"/>
              <w:right w:w="240" w:type="dxa"/>
            </w:tcMar>
            <w:vAlign w:val="center"/>
            <w:hideMark/>
          </w:tcPr>
          <w:p w14:paraId="077A5F5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7CA8378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67%</w:t>
            </w:r>
          </w:p>
        </w:tc>
        <w:tc>
          <w:tcPr>
            <w:tcW w:w="2977" w:type="dxa"/>
            <w:shd w:val="clear" w:color="auto" w:fill="FFFFFF"/>
            <w:tcMar>
              <w:top w:w="150" w:type="dxa"/>
              <w:left w:w="240" w:type="dxa"/>
              <w:bottom w:w="150" w:type="dxa"/>
              <w:right w:w="0" w:type="dxa"/>
            </w:tcMar>
            <w:vAlign w:val="center"/>
            <w:hideMark/>
          </w:tcPr>
          <w:p w14:paraId="5C67860B"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40% (cap 50/day); Institution co-payment 50% (cap 40/day); Home care contracted cap 750/month</w:t>
            </w:r>
          </w:p>
        </w:tc>
      </w:tr>
      <w:tr w:rsidR="00D8491D" w:rsidRPr="000C3CD1" w14:paraId="42DE548D" w14:textId="77777777" w:rsidTr="00BA758F">
        <w:tc>
          <w:tcPr>
            <w:tcW w:w="1162" w:type="dxa"/>
            <w:shd w:val="clear" w:color="auto" w:fill="FFFFFF"/>
            <w:tcMar>
              <w:top w:w="150" w:type="dxa"/>
              <w:left w:w="0" w:type="dxa"/>
              <w:bottom w:w="150" w:type="dxa"/>
              <w:right w:w="240" w:type="dxa"/>
            </w:tcMar>
            <w:vAlign w:val="center"/>
            <w:hideMark/>
          </w:tcPr>
          <w:p w14:paraId="0CDA2CE6"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Guangzhou</w:t>
            </w:r>
          </w:p>
        </w:tc>
        <w:tc>
          <w:tcPr>
            <w:tcW w:w="2235" w:type="dxa"/>
            <w:shd w:val="clear" w:color="auto" w:fill="FFFFFF"/>
            <w:tcMar>
              <w:top w:w="150" w:type="dxa"/>
              <w:left w:w="240" w:type="dxa"/>
              <w:bottom w:w="150" w:type="dxa"/>
              <w:right w:w="240" w:type="dxa"/>
            </w:tcMar>
            <w:vAlign w:val="center"/>
            <w:hideMark/>
          </w:tcPr>
          <w:p w14:paraId="28F92AC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Moderate/severe disability, dementia</w:t>
            </w:r>
          </w:p>
        </w:tc>
        <w:tc>
          <w:tcPr>
            <w:tcW w:w="1701" w:type="dxa"/>
            <w:shd w:val="clear" w:color="auto" w:fill="FFFFFF"/>
            <w:tcMar>
              <w:top w:w="150" w:type="dxa"/>
              <w:left w:w="240" w:type="dxa"/>
              <w:bottom w:w="150" w:type="dxa"/>
              <w:right w:w="240" w:type="dxa"/>
            </w:tcMar>
            <w:vAlign w:val="center"/>
            <w:hideMark/>
          </w:tcPr>
          <w:p w14:paraId="79EAE91C"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43FDC8B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100%</w:t>
            </w:r>
          </w:p>
        </w:tc>
        <w:tc>
          <w:tcPr>
            <w:tcW w:w="2977" w:type="dxa"/>
            <w:shd w:val="clear" w:color="auto" w:fill="FFFFFF"/>
            <w:tcMar>
              <w:top w:w="150" w:type="dxa"/>
              <w:left w:w="240" w:type="dxa"/>
              <w:bottom w:w="150" w:type="dxa"/>
              <w:right w:w="0" w:type="dxa"/>
            </w:tcMar>
            <w:vAlign w:val="center"/>
            <w:hideMark/>
          </w:tcPr>
          <w:p w14:paraId="7A08E8F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25% (cap 1000/month, daily cap 120/day); Home care co-payment 10% (cap 1000/month, daily cap 115/day)</w:t>
            </w:r>
          </w:p>
        </w:tc>
      </w:tr>
      <w:tr w:rsidR="00D8491D" w:rsidRPr="000C3CD1" w14:paraId="02B7F46D" w14:textId="77777777" w:rsidTr="00BA758F">
        <w:tc>
          <w:tcPr>
            <w:tcW w:w="1162" w:type="dxa"/>
            <w:shd w:val="clear" w:color="auto" w:fill="FFFFFF"/>
            <w:tcMar>
              <w:top w:w="150" w:type="dxa"/>
              <w:left w:w="0" w:type="dxa"/>
              <w:bottom w:w="150" w:type="dxa"/>
              <w:right w:w="240" w:type="dxa"/>
            </w:tcMar>
            <w:vAlign w:val="center"/>
            <w:hideMark/>
          </w:tcPr>
          <w:p w14:paraId="665E729F"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Linyi</w:t>
            </w:r>
          </w:p>
        </w:tc>
        <w:tc>
          <w:tcPr>
            <w:tcW w:w="2235" w:type="dxa"/>
            <w:shd w:val="clear" w:color="auto" w:fill="FFFFFF"/>
            <w:tcMar>
              <w:top w:w="150" w:type="dxa"/>
              <w:left w:w="240" w:type="dxa"/>
              <w:bottom w:w="150" w:type="dxa"/>
              <w:right w:w="240" w:type="dxa"/>
            </w:tcMar>
            <w:vAlign w:val="center"/>
            <w:hideMark/>
          </w:tcPr>
          <w:p w14:paraId="50602FF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 xml:space="preserve">Barthel </w:t>
            </w:r>
            <w:r w:rsidRPr="000C3CD1">
              <w:rPr>
                <w:rFonts w:cs="Times New Roman" w:hint="eastAsia"/>
                <w:color w:val="000000"/>
                <w:sz w:val="20"/>
                <w:szCs w:val="20"/>
                <w:lang w:eastAsia="zh-CN"/>
              </w:rPr>
              <w:t>≤</w:t>
            </w:r>
            <w:r w:rsidRPr="000C3CD1">
              <w:rPr>
                <w:rFonts w:cs="Times New Roman"/>
                <w:color w:val="000000"/>
                <w:sz w:val="20"/>
                <w:szCs w:val="20"/>
                <w:lang w:eastAsia="zh-CN"/>
              </w:rPr>
              <w:t>55</w:t>
            </w:r>
          </w:p>
        </w:tc>
        <w:tc>
          <w:tcPr>
            <w:tcW w:w="1701" w:type="dxa"/>
            <w:shd w:val="clear" w:color="auto" w:fill="FFFFFF"/>
            <w:tcMar>
              <w:top w:w="150" w:type="dxa"/>
              <w:left w:w="240" w:type="dxa"/>
              <w:bottom w:w="150" w:type="dxa"/>
              <w:right w:w="240" w:type="dxa"/>
            </w:tcMar>
            <w:vAlign w:val="center"/>
            <w:hideMark/>
          </w:tcPr>
          <w:p w14:paraId="151C769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7FFE354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N/A</w:t>
            </w:r>
          </w:p>
        </w:tc>
        <w:tc>
          <w:tcPr>
            <w:tcW w:w="2977" w:type="dxa"/>
            <w:shd w:val="clear" w:color="auto" w:fill="FFFFFF"/>
            <w:tcMar>
              <w:top w:w="150" w:type="dxa"/>
              <w:left w:w="240" w:type="dxa"/>
              <w:bottom w:w="150" w:type="dxa"/>
              <w:right w:w="0" w:type="dxa"/>
            </w:tcMar>
            <w:vAlign w:val="center"/>
            <w:hideMark/>
          </w:tcPr>
          <w:p w14:paraId="564DD382"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15–25%; Institution co-payment 15%; Home care co-payment 10%</w:t>
            </w:r>
          </w:p>
        </w:tc>
      </w:tr>
      <w:tr w:rsidR="00D8491D" w:rsidRPr="000C3CD1" w14:paraId="57AD1466" w14:textId="77777777" w:rsidTr="00BA758F">
        <w:tc>
          <w:tcPr>
            <w:tcW w:w="1162" w:type="dxa"/>
            <w:shd w:val="clear" w:color="auto" w:fill="FFFFFF"/>
            <w:tcMar>
              <w:top w:w="150" w:type="dxa"/>
              <w:left w:w="0" w:type="dxa"/>
              <w:bottom w:w="150" w:type="dxa"/>
              <w:right w:w="240" w:type="dxa"/>
            </w:tcMar>
            <w:vAlign w:val="center"/>
            <w:hideMark/>
          </w:tcPr>
          <w:p w14:paraId="6628B70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Qiqihar</w:t>
            </w:r>
          </w:p>
        </w:tc>
        <w:tc>
          <w:tcPr>
            <w:tcW w:w="2235" w:type="dxa"/>
            <w:shd w:val="clear" w:color="auto" w:fill="FFFFFF"/>
            <w:tcMar>
              <w:top w:w="150" w:type="dxa"/>
              <w:left w:w="240" w:type="dxa"/>
              <w:bottom w:w="150" w:type="dxa"/>
              <w:right w:w="240" w:type="dxa"/>
            </w:tcMar>
            <w:vAlign w:val="center"/>
            <w:hideMark/>
          </w:tcPr>
          <w:p w14:paraId="4302D26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Severe disability</w:t>
            </w:r>
          </w:p>
        </w:tc>
        <w:tc>
          <w:tcPr>
            <w:tcW w:w="1701" w:type="dxa"/>
            <w:shd w:val="clear" w:color="auto" w:fill="FFFFFF"/>
            <w:tcMar>
              <w:top w:w="150" w:type="dxa"/>
              <w:left w:w="240" w:type="dxa"/>
              <w:bottom w:w="150" w:type="dxa"/>
              <w:right w:w="240" w:type="dxa"/>
            </w:tcMar>
            <w:vAlign w:val="center"/>
            <w:hideMark/>
          </w:tcPr>
          <w:p w14:paraId="5E4D9240"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60F0983C"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50%</w:t>
            </w:r>
          </w:p>
        </w:tc>
        <w:tc>
          <w:tcPr>
            <w:tcW w:w="2977" w:type="dxa"/>
            <w:shd w:val="clear" w:color="auto" w:fill="FFFFFF"/>
            <w:tcMar>
              <w:top w:w="150" w:type="dxa"/>
              <w:left w:w="240" w:type="dxa"/>
              <w:bottom w:w="150" w:type="dxa"/>
              <w:right w:w="0" w:type="dxa"/>
            </w:tcMar>
            <w:vAlign w:val="center"/>
            <w:hideMark/>
          </w:tcPr>
          <w:p w14:paraId="090D20B9"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Hospital co-payment 40%; Institution co-payment 45%; Home care co-payment 50%</w:t>
            </w:r>
          </w:p>
        </w:tc>
      </w:tr>
      <w:tr w:rsidR="00D8491D" w:rsidRPr="000C3CD1" w14:paraId="664BC53E" w14:textId="77777777" w:rsidTr="00BA758F">
        <w:tc>
          <w:tcPr>
            <w:tcW w:w="1162" w:type="dxa"/>
            <w:shd w:val="clear" w:color="auto" w:fill="FFFFFF"/>
            <w:tcMar>
              <w:top w:w="150" w:type="dxa"/>
              <w:left w:w="0" w:type="dxa"/>
              <w:bottom w:w="150" w:type="dxa"/>
              <w:right w:w="240" w:type="dxa"/>
            </w:tcMar>
            <w:vAlign w:val="center"/>
            <w:hideMark/>
          </w:tcPr>
          <w:p w14:paraId="25F479ED"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Suzhou</w:t>
            </w:r>
          </w:p>
        </w:tc>
        <w:tc>
          <w:tcPr>
            <w:tcW w:w="2235" w:type="dxa"/>
            <w:shd w:val="clear" w:color="auto" w:fill="FFFFFF"/>
            <w:tcMar>
              <w:top w:w="150" w:type="dxa"/>
              <w:left w:w="240" w:type="dxa"/>
              <w:bottom w:w="150" w:type="dxa"/>
              <w:right w:w="240" w:type="dxa"/>
            </w:tcMar>
            <w:vAlign w:val="center"/>
            <w:hideMark/>
          </w:tcPr>
          <w:p w14:paraId="2EF65004"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Moderate/severe disability</w:t>
            </w:r>
          </w:p>
        </w:tc>
        <w:tc>
          <w:tcPr>
            <w:tcW w:w="1701" w:type="dxa"/>
            <w:shd w:val="clear" w:color="auto" w:fill="FFFFFF"/>
            <w:tcMar>
              <w:top w:w="150" w:type="dxa"/>
              <w:left w:w="240" w:type="dxa"/>
              <w:bottom w:w="150" w:type="dxa"/>
              <w:right w:w="240" w:type="dxa"/>
            </w:tcMar>
            <w:vAlign w:val="center"/>
            <w:hideMark/>
          </w:tcPr>
          <w:p w14:paraId="3A6877E7"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No</w:t>
            </w:r>
          </w:p>
        </w:tc>
        <w:tc>
          <w:tcPr>
            <w:tcW w:w="1843" w:type="dxa"/>
            <w:shd w:val="clear" w:color="auto" w:fill="FFFFFF"/>
            <w:tcMar>
              <w:top w:w="150" w:type="dxa"/>
              <w:left w:w="240" w:type="dxa"/>
              <w:bottom w:w="150" w:type="dxa"/>
              <w:right w:w="240" w:type="dxa"/>
            </w:tcMar>
            <w:vAlign w:val="center"/>
            <w:hideMark/>
          </w:tcPr>
          <w:p w14:paraId="54CCB993"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58%</w:t>
            </w:r>
          </w:p>
        </w:tc>
        <w:tc>
          <w:tcPr>
            <w:tcW w:w="2977" w:type="dxa"/>
            <w:shd w:val="clear" w:color="auto" w:fill="FFFFFF"/>
            <w:tcMar>
              <w:top w:w="150" w:type="dxa"/>
              <w:left w:w="240" w:type="dxa"/>
              <w:bottom w:w="150" w:type="dxa"/>
              <w:right w:w="0" w:type="dxa"/>
            </w:tcMar>
            <w:vAlign w:val="center"/>
            <w:hideMark/>
          </w:tcPr>
          <w:p w14:paraId="4CF82261" w14:textId="77777777" w:rsidR="00D8491D" w:rsidRPr="000C3CD1" w:rsidRDefault="00D8491D" w:rsidP="00BA758F">
            <w:pPr>
              <w:autoSpaceDE w:val="0"/>
              <w:autoSpaceDN w:val="0"/>
              <w:adjustRightInd w:val="0"/>
              <w:spacing w:after="0"/>
              <w:rPr>
                <w:rFonts w:cs="Times New Roman"/>
                <w:color w:val="000000"/>
                <w:sz w:val="20"/>
                <w:szCs w:val="20"/>
                <w:lang w:eastAsia="zh-CN"/>
              </w:rPr>
            </w:pPr>
            <w:r w:rsidRPr="000C3CD1">
              <w:rPr>
                <w:rFonts w:cs="Times New Roman"/>
                <w:color w:val="000000"/>
                <w:sz w:val="20"/>
                <w:szCs w:val="20"/>
                <w:lang w:eastAsia="zh-CN"/>
              </w:rPr>
              <w:t>Institution: severe 26 RMB/day, moderate 20 RMB/day; Home care: severe 30 RMB/day, moderate 25 RMB/day</w:t>
            </w:r>
          </w:p>
        </w:tc>
      </w:tr>
    </w:tbl>
    <w:p w14:paraId="03DACBD8" w14:textId="77777777" w:rsidR="00E87DD6" w:rsidRDefault="00E87DD6"/>
    <w:sectPr w:rsidR="00E87DD6">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4A32" w14:textId="77777777" w:rsidR="007165D8" w:rsidRDefault="007165D8" w:rsidP="00E04472">
      <w:pPr>
        <w:spacing w:before="0" w:after="0"/>
      </w:pPr>
      <w:r>
        <w:separator/>
      </w:r>
    </w:p>
  </w:endnote>
  <w:endnote w:type="continuationSeparator" w:id="0">
    <w:p w14:paraId="76CF6FB9" w14:textId="77777777" w:rsidR="007165D8" w:rsidRDefault="007165D8" w:rsidP="00E044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ADF3" w14:textId="797C5432" w:rsidR="00E04472" w:rsidRDefault="00E04472">
    <w:pPr>
      <w:pStyle w:val="Footer"/>
    </w:pPr>
    <w:r>
      <w:rPr>
        <w:noProof/>
        <w14:ligatures w14:val="standardContextual"/>
      </w:rPr>
      <mc:AlternateContent>
        <mc:Choice Requires="wps">
          <w:drawing>
            <wp:anchor distT="0" distB="0" distL="0" distR="0" simplePos="0" relativeHeight="251659264" behindDoc="0" locked="0" layoutInCell="1" allowOverlap="1" wp14:anchorId="31B6F448" wp14:editId="6BE8FB19">
              <wp:simplePos x="635" y="635"/>
              <wp:positionH relativeFrom="page">
                <wp:align>left</wp:align>
              </wp:positionH>
              <wp:positionV relativeFrom="page">
                <wp:align>bottom</wp:align>
              </wp:positionV>
              <wp:extent cx="2085975" cy="400685"/>
              <wp:effectExtent l="0" t="0" r="9525" b="0"/>
              <wp:wrapNone/>
              <wp:docPr id="5370034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264F3B35" w14:textId="489F3645"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B6F44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1.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tDDgIAABsEAAAOAAAAZHJzL2Uyb0RvYy54bWysU01v2zAMvQ/YfxB0X+wEy5YacYqsRYYB&#10;QVsgHXqWZSk2IImCpMTOfv0o2Um2rqdiF5kiaX6897S87bUiR+F8C6ak00lOiTAc6tbsS/rzefNp&#10;QYkPzNRMgRElPQlPb1cfPyw7W4gZNKBq4QgWMb7obEmbEGyRZZ43QjM/ASsMBiU4zQJe3T6rHeuw&#10;ulbZLM+/ZB242jrgwnv03g9Bukr1pRQ8PErpRSCqpDhbSKdLZxXPbLVkxd4x27R8HIO9YwrNWoNN&#10;L6XuWWDk4Np/SumWO/Agw4SDzkDKlou0A24zzV9ts2uYFWkXBMfbC0z+/5XlD8edfXIk9N+gRwIj&#10;IJ31hUdn3KeXTscvTkowjhCeLrCJPhCOzlm+mN98nVPCMfYZSVnMY5ns+rd1PnwXoEk0SuqQloQW&#10;O259GFLPKbGZgU2rVKJGmb8cWDN6suuI0Qp91Y9zV1CfcB0HA9Pe8k2LPbfMhyfmkFrcAOUaHvGQ&#10;CrqSwmhR0oD79ZY/5iPiGKWkQ6mU1KCWKVE/DDIxm+PKUVrphoY7G1Uypjf5PMbNQd8BqnCKD8Ly&#10;ZMbkoM6mdKBfUM3r2A1DzHDsWdLqbN6FQbj4GrhYr1MSqsiysDU7y2PpCFZE8rl/Yc6OcAck6gHO&#10;YmLFK9SH3Pint+tDQOwTJRHYAc0Rb1RgInV8LVHif95T1vVNr34DAAD//wMAUEsDBBQABgAIAAAA&#10;IQBmFu8R2gAAAAQBAAAPAAAAZHJzL2Rvd25yZXYueG1sTI/BTsMwDIbvSLxDZKTdWLpOVFNpOk2D&#10;Ia50SHBMG6+p1jhdk23l7TFc4GLJ+n99/lysJ9eLC46h86RgMU9AIDXedNQqeN/v7lcgQtRkdO8J&#10;FXxhgHV5e1Po3PgrveGliq1gCIVcK7AxDrmUobHodJj7AYmzgx+djryOrTSjvjLc9TJNkkw63RFf&#10;sHrArcXmWJ2dguzpZWOHj+zzdEjDa6j9MVb+WanZ3bR5BBFxin9l+NFndSjZqfZnMkH0CviR+Ds5&#10;W6arBxA1g5cLkGUh/8uX3wAAAP//AwBQSwECLQAUAAYACAAAACEAtoM4kv4AAADhAQAAEwAAAAAA&#10;AAAAAAAAAAAAAAAAW0NvbnRlbnRfVHlwZXNdLnhtbFBLAQItABQABgAIAAAAIQA4/SH/1gAAAJQB&#10;AAALAAAAAAAAAAAAAAAAAC8BAABfcmVscy8ucmVsc1BLAQItABQABgAIAAAAIQD660tDDgIAABsE&#10;AAAOAAAAAAAAAAAAAAAAAC4CAABkcnMvZTJvRG9jLnhtbFBLAQItABQABgAIAAAAIQBmFu8R2gAA&#10;AAQBAAAPAAAAAAAAAAAAAAAAAGgEAABkcnMvZG93bnJldi54bWxQSwUGAAAAAAQABADzAAAAbwUA&#10;AAAA&#10;" filled="f" stroked="f">
              <v:fill o:detectmouseclick="t"/>
              <v:textbox style="mso-fit-shape-to-text:t" inset="20pt,0,0,15pt">
                <w:txbxContent>
                  <w:p w14:paraId="264F3B35" w14:textId="489F3645"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2009" w14:textId="67D830E9" w:rsidR="00E04472" w:rsidRDefault="00E04472">
    <w:pPr>
      <w:pStyle w:val="Footer"/>
    </w:pPr>
    <w:r>
      <w:rPr>
        <w:noProof/>
        <w14:ligatures w14:val="standardContextual"/>
      </w:rPr>
      <mc:AlternateContent>
        <mc:Choice Requires="wps">
          <w:drawing>
            <wp:anchor distT="0" distB="0" distL="0" distR="0" simplePos="0" relativeHeight="251660288" behindDoc="0" locked="0" layoutInCell="1" allowOverlap="1" wp14:anchorId="6BD93CF3" wp14:editId="7932B52F">
              <wp:simplePos x="635" y="635"/>
              <wp:positionH relativeFrom="page">
                <wp:align>left</wp:align>
              </wp:positionH>
              <wp:positionV relativeFrom="page">
                <wp:align>bottom</wp:align>
              </wp:positionV>
              <wp:extent cx="2085975" cy="400685"/>
              <wp:effectExtent l="0" t="0" r="9525" b="0"/>
              <wp:wrapNone/>
              <wp:docPr id="26921180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295268CF" w14:textId="598B8685"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93CF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1.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UHEQIAACIEAAAOAAAAZHJzL2Uyb0RvYy54bWysU01v2zAMvQ/YfxB0X+wE85YacYqsRYYB&#10;QVsgHXpWZCk2IImCpMTOfv0oOU7abqdhF5kiaX6897S47bUiR+F8C6ai00lOiTAc6tbsK/rzef1p&#10;TokPzNRMgREVPQlPb5cfPyw6W4oZNKBq4QgWMb7sbEWbEGyZZZ43QjM/ASsMBiU4zQJe3T6rHeuw&#10;ulbZLM+/ZB242jrgwnv03g9Bukz1pRQ8PErpRSCqojhbSKdL5y6e2XLByr1jtmn5eQz2D1No1hps&#10;eil1zwIjB9f+UUq33IEHGSYcdAZStlykHXCbaf5um23DrEi7IDjeXmDy/68sfzhu7ZMjof8GPRIY&#10;AemsLz064z69dDp+cVKCcYTwdIFN9IFwdM7yeXHztaCEY+wzkjIvYpns+rd1PnwXoEk0KuqQloQW&#10;O258GFLHlNjMwLpVKlGjzBsH1oye7DpitEK/60lbvxp/B/UJt3IwEO4tX7fYesN8eGIOGcZFULXh&#10;EQ+poKsonC1KGnC//uaP+Qg8RinpUDEVNShpStQPg4TMCtw8Kizd0HCjsUvG9CYvYtwc9B2gGKf4&#10;LixPZkwOajSlA/2Col7FbhhihmPPiu5G8y4M+sVHwcVqlZJQTJaFjdlaHktHzCKgz/0Lc/aMekC+&#10;HmDUFCvfgT/kxj+9XR0CUpCYifgOaJ5hRyEmbs+PJir99T1lXZ/28jcAAAD//wMAUEsDBBQABgAI&#10;AAAAIQBmFu8R2gAAAAQBAAAPAAAAZHJzL2Rvd25yZXYueG1sTI/BTsMwDIbvSLxDZKTdWLpOVFNp&#10;Ok2DIa50SHBMG6+p1jhdk23l7TFc4GLJ+n99/lysJ9eLC46h86RgMU9AIDXedNQqeN/v7lcgQtRk&#10;dO8JFXxhgHV5e1Po3PgrveGliq1gCIVcK7AxDrmUobHodJj7AYmzgx+djryOrTSjvjLc9TJNkkw6&#10;3RFfsHrArcXmWJ2dguzpZWOHj+zzdEjDa6j9MVb+WanZ3bR5BBFxin9l+NFndSjZqfZnMkH0CviR&#10;+Ds5W6arBxA1g5cLkGUh/8uX3wAAAP//AwBQSwECLQAUAAYACAAAACEAtoM4kv4AAADhAQAAEwAA&#10;AAAAAAAAAAAAAAAAAAAAW0NvbnRlbnRfVHlwZXNdLnhtbFBLAQItABQABgAIAAAAIQA4/SH/1gAA&#10;AJQBAAALAAAAAAAAAAAAAAAAAC8BAABfcmVscy8ucmVsc1BLAQItABQABgAIAAAAIQDr8eUHEQIA&#10;ACIEAAAOAAAAAAAAAAAAAAAAAC4CAABkcnMvZTJvRG9jLnhtbFBLAQItABQABgAIAAAAIQBmFu8R&#10;2gAAAAQBAAAPAAAAAAAAAAAAAAAAAGsEAABkcnMvZG93bnJldi54bWxQSwUGAAAAAAQABADzAAAA&#10;cgUAAAAA&#10;" filled="f" stroked="f">
              <v:fill o:detectmouseclick="t"/>
              <v:textbox style="mso-fit-shape-to-text:t" inset="20pt,0,0,15pt">
                <w:txbxContent>
                  <w:p w14:paraId="295268CF" w14:textId="598B8685"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2B7A" w14:textId="78D215BD" w:rsidR="00E04472" w:rsidRDefault="00E04472">
    <w:pPr>
      <w:pStyle w:val="Footer"/>
    </w:pPr>
    <w:r>
      <w:rPr>
        <w:noProof/>
        <w14:ligatures w14:val="standardContextual"/>
      </w:rPr>
      <mc:AlternateContent>
        <mc:Choice Requires="wps">
          <w:drawing>
            <wp:anchor distT="0" distB="0" distL="0" distR="0" simplePos="0" relativeHeight="251658240" behindDoc="0" locked="0" layoutInCell="1" allowOverlap="1" wp14:anchorId="2E98E088" wp14:editId="0C42F088">
              <wp:simplePos x="635" y="635"/>
              <wp:positionH relativeFrom="page">
                <wp:align>left</wp:align>
              </wp:positionH>
              <wp:positionV relativeFrom="page">
                <wp:align>bottom</wp:align>
              </wp:positionV>
              <wp:extent cx="2085975" cy="400685"/>
              <wp:effectExtent l="0" t="0" r="9525" b="0"/>
              <wp:wrapNone/>
              <wp:docPr id="9181018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34333C7F" w14:textId="2CA49434"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98E08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1.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ZFEgIAACIEAAAOAAAAZHJzL2Uyb0RvYy54bWysU01v2zAMvQ/YfxB0X+wEy5YacYqsRYYB&#10;QVsgHXqWZSk2IImCpMTOfv0oOU62rqdiF5kiaX6897S87bUiR+F8C6ak00lOiTAc6tbsS/rzefNp&#10;QYkPzNRMgRElPQlPb1cfPyw7W4gZNKBq4QgWMb7obEmbEGyRZZ43QjM/ASsMBiU4zQJe3T6rHeuw&#10;ulbZLM+/ZB242jrgwnv03g9Bukr1pRQ8PErpRSCqpDhbSKdLZxXPbLVkxd4x27T8PAZ7xxSatQab&#10;Xkrds8DIwbX/lNItd+BBhgkHnYGULRdpB9xmmr/aZtcwK9IuCI63F5j8/yvLH447++RI6L9BjwRG&#10;QDrrC4/OuE8vnY5fnJRgHCE8XWATfSAcnbN8Mb/5OqeEY+wzkrKYxzLZ9W/rfPguQJNolNQhLQkt&#10;dtz6MKSOKbGZgU2rVKJGmb8cWDN6suuI0Qp91ZO2xknG8SuoT7iVg4Fwb/mmxdZb5sMTc8gwLoKq&#10;DY94SAVdSeFsUdKA+/WWP+Yj8BilpEPFlNSgpClRPwwSMpvj5lFh6YaGG40qGdObfB7j5qDvAMU4&#10;xXdheTJjclCjKR3oFxT1OnbDEDMce5a0Gs27MOgXHwUX63VKQjFZFrZmZ3ksHTGLgD73L8zZM+oB&#10;+XqAUVOseAX+kBv/9HZ9CEhBYibiO6B5hh2FmLg9P5qo9D/vKev6tFe/AQAA//8DAFBLAwQUAAYA&#10;CAAAACEAZhbvEdoAAAAEAQAADwAAAGRycy9kb3ducmV2LnhtbEyPwU7DMAyG70i8Q2Sk3Vi6TlRT&#10;aTpNgyGudEhwTBuvqdY4XZNt5e0xXOBiyfp/ff5crCfXiwuOofOkYDFPQCA13nTUKnjf7+5XIELU&#10;ZHTvCRV8YYB1eXtT6Nz4K73hpYqtYAiFXCuwMQ65lKGx6HSY+wGJs4MfnY68jq00o74y3PUyTZJM&#10;Ot0RX7B6wK3F5lidnYLs6WVjh4/s83RIw2uo/TFW/lmp2d20eQQRcYp/ZfjRZ3Uo2an2ZzJB9Ar4&#10;kfg7OVumqwcQNYOXC5BlIf/Ll98AAAD//wMAUEsBAi0AFAAGAAgAAAAhALaDOJL+AAAA4QEAABMA&#10;AAAAAAAAAAAAAAAAAAAAAFtDb250ZW50X1R5cGVzXS54bWxQSwECLQAUAAYACAAAACEAOP0h/9YA&#10;AACUAQAACwAAAAAAAAAAAAAAAAAvAQAAX3JlbHMvLnJlbHNQSwECLQAUAAYACAAAACEAumcWRRIC&#10;AAAiBAAADgAAAAAAAAAAAAAAAAAuAgAAZHJzL2Uyb0RvYy54bWxQSwECLQAUAAYACAAAACEAZhbv&#10;EdoAAAAEAQAADwAAAAAAAAAAAAAAAABsBAAAZHJzL2Rvd25yZXYueG1sUEsFBgAAAAAEAAQA8wAA&#10;AHMFAAAAAA==&#10;" filled="f" stroked="f">
              <v:fill o:detectmouseclick="t"/>
              <v:textbox style="mso-fit-shape-to-text:t" inset="20pt,0,0,15pt">
                <w:txbxContent>
                  <w:p w14:paraId="34333C7F" w14:textId="2CA49434" w:rsidR="00E04472" w:rsidRPr="00E04472" w:rsidRDefault="00E04472" w:rsidP="00E04472">
                    <w:pPr>
                      <w:spacing w:after="0"/>
                      <w:rPr>
                        <w:rFonts w:ascii="Rockwell" w:eastAsia="Rockwell" w:hAnsi="Rockwell" w:cs="Rockwell"/>
                        <w:noProof/>
                        <w:color w:val="0078D7"/>
                        <w:sz w:val="18"/>
                        <w:szCs w:val="18"/>
                      </w:rPr>
                    </w:pPr>
                    <w:r w:rsidRPr="00E044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D919" w14:textId="77777777" w:rsidR="007165D8" w:rsidRDefault="007165D8" w:rsidP="00E04472">
      <w:pPr>
        <w:spacing w:before="0" w:after="0"/>
      </w:pPr>
      <w:r>
        <w:separator/>
      </w:r>
    </w:p>
  </w:footnote>
  <w:footnote w:type="continuationSeparator" w:id="0">
    <w:p w14:paraId="5DCB7490" w14:textId="77777777" w:rsidR="007165D8" w:rsidRDefault="007165D8" w:rsidP="00E0447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7F"/>
    <w:rsid w:val="000161D5"/>
    <w:rsid w:val="000203A0"/>
    <w:rsid w:val="00052F55"/>
    <w:rsid w:val="00054323"/>
    <w:rsid w:val="00070C2F"/>
    <w:rsid w:val="00091B71"/>
    <w:rsid w:val="00097474"/>
    <w:rsid w:val="000B0ADC"/>
    <w:rsid w:val="000B4D78"/>
    <w:rsid w:val="000E4BD4"/>
    <w:rsid w:val="00107D68"/>
    <w:rsid w:val="001C09F4"/>
    <w:rsid w:val="001D0AFE"/>
    <w:rsid w:val="001F1D5C"/>
    <w:rsid w:val="0020178E"/>
    <w:rsid w:val="002C3739"/>
    <w:rsid w:val="002C607D"/>
    <w:rsid w:val="002D4A22"/>
    <w:rsid w:val="002F31A4"/>
    <w:rsid w:val="00304CAC"/>
    <w:rsid w:val="00313116"/>
    <w:rsid w:val="00320649"/>
    <w:rsid w:val="00320997"/>
    <w:rsid w:val="003244D8"/>
    <w:rsid w:val="00362AB9"/>
    <w:rsid w:val="003732DD"/>
    <w:rsid w:val="0041430A"/>
    <w:rsid w:val="00436D75"/>
    <w:rsid w:val="004423C9"/>
    <w:rsid w:val="004532DE"/>
    <w:rsid w:val="0046674C"/>
    <w:rsid w:val="004B0EB5"/>
    <w:rsid w:val="004D441A"/>
    <w:rsid w:val="00511866"/>
    <w:rsid w:val="00512939"/>
    <w:rsid w:val="00516542"/>
    <w:rsid w:val="005244DD"/>
    <w:rsid w:val="005503F3"/>
    <w:rsid w:val="0057157F"/>
    <w:rsid w:val="00584900"/>
    <w:rsid w:val="005C64E5"/>
    <w:rsid w:val="005F1708"/>
    <w:rsid w:val="005F5E8C"/>
    <w:rsid w:val="005F74F6"/>
    <w:rsid w:val="00624B11"/>
    <w:rsid w:val="006378D4"/>
    <w:rsid w:val="00640BAD"/>
    <w:rsid w:val="006B5CFA"/>
    <w:rsid w:val="006B67C7"/>
    <w:rsid w:val="006E7526"/>
    <w:rsid w:val="00704E56"/>
    <w:rsid w:val="007165D8"/>
    <w:rsid w:val="0072604B"/>
    <w:rsid w:val="007603C5"/>
    <w:rsid w:val="007826E8"/>
    <w:rsid w:val="007868AE"/>
    <w:rsid w:val="007C74CC"/>
    <w:rsid w:val="007F5354"/>
    <w:rsid w:val="00802899"/>
    <w:rsid w:val="008050E6"/>
    <w:rsid w:val="00832250"/>
    <w:rsid w:val="0083779D"/>
    <w:rsid w:val="008540AD"/>
    <w:rsid w:val="0088338E"/>
    <w:rsid w:val="008B079E"/>
    <w:rsid w:val="008F27CC"/>
    <w:rsid w:val="008F3319"/>
    <w:rsid w:val="0094232E"/>
    <w:rsid w:val="00950619"/>
    <w:rsid w:val="009538E0"/>
    <w:rsid w:val="009E63BF"/>
    <w:rsid w:val="009F013A"/>
    <w:rsid w:val="00A04E56"/>
    <w:rsid w:val="00A05B6B"/>
    <w:rsid w:val="00A12AE3"/>
    <w:rsid w:val="00A15A94"/>
    <w:rsid w:val="00A317FE"/>
    <w:rsid w:val="00A31DB3"/>
    <w:rsid w:val="00A343D5"/>
    <w:rsid w:val="00A5301C"/>
    <w:rsid w:val="00A64F62"/>
    <w:rsid w:val="00A731CF"/>
    <w:rsid w:val="00A80A04"/>
    <w:rsid w:val="00A90732"/>
    <w:rsid w:val="00A90843"/>
    <w:rsid w:val="00A96F9F"/>
    <w:rsid w:val="00AA7EB9"/>
    <w:rsid w:val="00AD35AB"/>
    <w:rsid w:val="00AF6F86"/>
    <w:rsid w:val="00B11834"/>
    <w:rsid w:val="00B414D8"/>
    <w:rsid w:val="00BC05F3"/>
    <w:rsid w:val="00BE255B"/>
    <w:rsid w:val="00C16F75"/>
    <w:rsid w:val="00C50A15"/>
    <w:rsid w:val="00CE5113"/>
    <w:rsid w:val="00D00715"/>
    <w:rsid w:val="00D00CB7"/>
    <w:rsid w:val="00D105DA"/>
    <w:rsid w:val="00D8491D"/>
    <w:rsid w:val="00DB4EA3"/>
    <w:rsid w:val="00DC12BE"/>
    <w:rsid w:val="00DC56DF"/>
    <w:rsid w:val="00DF190D"/>
    <w:rsid w:val="00E03110"/>
    <w:rsid w:val="00E04472"/>
    <w:rsid w:val="00E10278"/>
    <w:rsid w:val="00E109A3"/>
    <w:rsid w:val="00E1355C"/>
    <w:rsid w:val="00E32745"/>
    <w:rsid w:val="00E503CD"/>
    <w:rsid w:val="00E60C4B"/>
    <w:rsid w:val="00E6549C"/>
    <w:rsid w:val="00E73497"/>
    <w:rsid w:val="00E87DD6"/>
    <w:rsid w:val="00E90A5A"/>
    <w:rsid w:val="00EE6EC9"/>
    <w:rsid w:val="00F11FA4"/>
    <w:rsid w:val="00F16BD9"/>
    <w:rsid w:val="00F172C9"/>
    <w:rsid w:val="00F42213"/>
    <w:rsid w:val="00F47B69"/>
    <w:rsid w:val="00F77CAE"/>
    <w:rsid w:val="00F831D7"/>
    <w:rsid w:val="00FA3E2F"/>
    <w:rsid w:val="00FD79F0"/>
    <w:rsid w:val="00F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42FF"/>
  <w15:chartTrackingRefBased/>
  <w15:docId w15:val="{C63A478D-8476-5F4C-AB03-CCEA32FA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1D"/>
    <w:pPr>
      <w:spacing w:before="120" w:after="240"/>
    </w:pPr>
    <w:rPr>
      <w:rFonts w:ascii="Times New Roman" w:hAnsi="Times New Roman"/>
      <w:kern w:val="0"/>
      <w:sz w:val="24"/>
      <w:szCs w:val="22"/>
      <w:lang w:eastAsia="en-US"/>
      <w14:ligatures w14:val="none"/>
    </w:rPr>
  </w:style>
  <w:style w:type="paragraph" w:styleId="Heading1">
    <w:name w:val="heading 1"/>
    <w:basedOn w:val="Normal"/>
    <w:next w:val="Normal"/>
    <w:link w:val="Heading1Char"/>
    <w:uiPriority w:val="9"/>
    <w:qFormat/>
    <w:rsid w:val="0057157F"/>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Heading2">
    <w:name w:val="heading 2"/>
    <w:basedOn w:val="Normal"/>
    <w:next w:val="Normal"/>
    <w:link w:val="Heading2Char"/>
    <w:uiPriority w:val="9"/>
    <w:semiHidden/>
    <w:unhideWhenUsed/>
    <w:qFormat/>
    <w:rsid w:val="0057157F"/>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3">
    <w:name w:val="heading 3"/>
    <w:basedOn w:val="Normal"/>
    <w:next w:val="Normal"/>
    <w:link w:val="Heading3Char"/>
    <w:uiPriority w:val="9"/>
    <w:semiHidden/>
    <w:unhideWhenUsed/>
    <w:qFormat/>
    <w:rsid w:val="0057157F"/>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4">
    <w:name w:val="heading 4"/>
    <w:basedOn w:val="Normal"/>
    <w:next w:val="Normal"/>
    <w:link w:val="Heading4Char"/>
    <w:uiPriority w:val="9"/>
    <w:semiHidden/>
    <w:unhideWhenUsed/>
    <w:qFormat/>
    <w:rsid w:val="0057157F"/>
    <w:pPr>
      <w:keepNext/>
      <w:keepLines/>
      <w:widowControl w:val="0"/>
      <w:spacing w:before="80" w:after="40"/>
      <w:jc w:val="both"/>
      <w:outlineLvl w:val="3"/>
    </w:pPr>
    <w:rPr>
      <w:rFonts w:asciiTheme="minorHAnsi" w:hAnsiTheme="minorHAnsi" w:cstheme="majorBidi"/>
      <w:color w:val="0F4761" w:themeColor="accent1" w:themeShade="BF"/>
      <w:kern w:val="2"/>
      <w:sz w:val="28"/>
      <w:szCs w:val="28"/>
      <w:lang w:eastAsia="zh-CN"/>
      <w14:ligatures w14:val="standardContextual"/>
    </w:rPr>
  </w:style>
  <w:style w:type="paragraph" w:styleId="Heading5">
    <w:name w:val="heading 5"/>
    <w:basedOn w:val="Normal"/>
    <w:next w:val="Normal"/>
    <w:link w:val="Heading5Char"/>
    <w:uiPriority w:val="9"/>
    <w:semiHidden/>
    <w:unhideWhenUsed/>
    <w:qFormat/>
    <w:rsid w:val="0057157F"/>
    <w:pPr>
      <w:keepNext/>
      <w:keepLines/>
      <w:widowControl w:val="0"/>
      <w:spacing w:before="80" w:after="40"/>
      <w:jc w:val="both"/>
      <w:outlineLvl w:val="4"/>
    </w:pPr>
    <w:rPr>
      <w:rFonts w:asciiTheme="minorHAnsi" w:hAnsiTheme="minorHAnsi" w:cstheme="majorBidi"/>
      <w:color w:val="0F4761"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57157F"/>
    <w:pPr>
      <w:keepNext/>
      <w:keepLines/>
      <w:widowControl w:val="0"/>
      <w:spacing w:before="40" w:after="0"/>
      <w:jc w:val="both"/>
      <w:outlineLvl w:val="5"/>
    </w:pPr>
    <w:rPr>
      <w:rFonts w:asciiTheme="minorHAnsi" w:hAnsiTheme="minorHAnsi" w:cstheme="majorBidi"/>
      <w:b/>
      <w:bCs/>
      <w:color w:val="0F4761" w:themeColor="accent1" w:themeShade="BF"/>
      <w:kern w:val="2"/>
      <w:sz w:val="21"/>
      <w:szCs w:val="24"/>
      <w:lang w:eastAsia="zh-CN"/>
      <w14:ligatures w14:val="standardContextual"/>
    </w:rPr>
  </w:style>
  <w:style w:type="paragraph" w:styleId="Heading7">
    <w:name w:val="heading 7"/>
    <w:basedOn w:val="Normal"/>
    <w:next w:val="Normal"/>
    <w:link w:val="Heading7Char"/>
    <w:uiPriority w:val="9"/>
    <w:semiHidden/>
    <w:unhideWhenUsed/>
    <w:qFormat/>
    <w:rsid w:val="0057157F"/>
    <w:pPr>
      <w:keepNext/>
      <w:keepLines/>
      <w:widowControl w:val="0"/>
      <w:spacing w:before="40" w:after="0"/>
      <w:jc w:val="both"/>
      <w:outlineLvl w:val="6"/>
    </w:pPr>
    <w:rPr>
      <w:rFonts w:asciiTheme="minorHAnsi" w:hAnsiTheme="minorHAnsi" w:cstheme="majorBidi"/>
      <w:b/>
      <w:bCs/>
      <w:color w:val="595959" w:themeColor="text1" w:themeTint="A6"/>
      <w:kern w:val="2"/>
      <w:sz w:val="21"/>
      <w:szCs w:val="24"/>
      <w:lang w:eastAsia="zh-CN"/>
      <w14:ligatures w14:val="standardContextual"/>
    </w:rPr>
  </w:style>
  <w:style w:type="paragraph" w:styleId="Heading8">
    <w:name w:val="heading 8"/>
    <w:basedOn w:val="Normal"/>
    <w:next w:val="Normal"/>
    <w:link w:val="Heading8Char"/>
    <w:uiPriority w:val="9"/>
    <w:semiHidden/>
    <w:unhideWhenUsed/>
    <w:qFormat/>
    <w:rsid w:val="0057157F"/>
    <w:pPr>
      <w:keepNext/>
      <w:keepLines/>
      <w:widowControl w:val="0"/>
      <w:spacing w:before="0" w:after="0"/>
      <w:jc w:val="both"/>
      <w:outlineLvl w:val="7"/>
    </w:pPr>
    <w:rPr>
      <w:rFonts w:asciiTheme="minorHAnsi" w:hAnsiTheme="minorHAnsi" w:cstheme="majorBidi"/>
      <w:color w:val="595959" w:themeColor="text1" w:themeTint="A6"/>
      <w:kern w:val="2"/>
      <w:sz w:val="21"/>
      <w:szCs w:val="24"/>
      <w:lang w:eastAsia="zh-CN"/>
      <w14:ligatures w14:val="standardContextual"/>
    </w:rPr>
  </w:style>
  <w:style w:type="paragraph" w:styleId="Heading9">
    <w:name w:val="heading 9"/>
    <w:basedOn w:val="Normal"/>
    <w:next w:val="Normal"/>
    <w:link w:val="Heading9Char"/>
    <w:uiPriority w:val="9"/>
    <w:semiHidden/>
    <w:unhideWhenUsed/>
    <w:qFormat/>
    <w:rsid w:val="0057157F"/>
    <w:pPr>
      <w:keepNext/>
      <w:keepLines/>
      <w:widowControl w:val="0"/>
      <w:spacing w:before="0" w:after="0"/>
      <w:jc w:val="both"/>
      <w:outlineLvl w:val="8"/>
    </w:pPr>
    <w:rPr>
      <w:rFonts w:asciiTheme="minorHAnsi" w:eastAsiaTheme="majorEastAsia" w:hAnsiTheme="minorHAnsi" w:cstheme="majorBidi"/>
      <w:color w:val="595959" w:themeColor="text1" w:themeTint="A6"/>
      <w:kern w:val="2"/>
      <w:sz w:val="21"/>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7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7157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7157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7157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7157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57157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57157F"/>
    <w:rPr>
      <w:rFonts w:cstheme="majorBidi"/>
      <w:b/>
      <w:bCs/>
      <w:color w:val="595959" w:themeColor="text1" w:themeTint="A6"/>
    </w:rPr>
  </w:style>
  <w:style w:type="character" w:customStyle="1" w:styleId="Heading8Char">
    <w:name w:val="Heading 8 Char"/>
    <w:basedOn w:val="DefaultParagraphFont"/>
    <w:link w:val="Heading8"/>
    <w:uiPriority w:val="9"/>
    <w:semiHidden/>
    <w:rsid w:val="0057157F"/>
    <w:rPr>
      <w:rFonts w:cstheme="majorBidi"/>
      <w:color w:val="595959" w:themeColor="text1" w:themeTint="A6"/>
    </w:rPr>
  </w:style>
  <w:style w:type="character" w:customStyle="1" w:styleId="Heading9Char">
    <w:name w:val="Heading 9 Char"/>
    <w:basedOn w:val="DefaultParagraphFont"/>
    <w:link w:val="Heading9"/>
    <w:uiPriority w:val="9"/>
    <w:semiHidden/>
    <w:rsid w:val="0057157F"/>
    <w:rPr>
      <w:rFonts w:eastAsiaTheme="majorEastAsia" w:cstheme="majorBidi"/>
      <w:color w:val="595959" w:themeColor="text1" w:themeTint="A6"/>
    </w:rPr>
  </w:style>
  <w:style w:type="paragraph" w:styleId="Title">
    <w:name w:val="Title"/>
    <w:basedOn w:val="Normal"/>
    <w:next w:val="Normal"/>
    <w:link w:val="TitleChar"/>
    <w:uiPriority w:val="10"/>
    <w:qFormat/>
    <w:rsid w:val="0057157F"/>
    <w:pPr>
      <w:widowControl w:val="0"/>
      <w:spacing w:before="0" w:after="80"/>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7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7F"/>
    <w:pPr>
      <w:widowControl w:val="0"/>
      <w:numPr>
        <w:ilvl w:val="1"/>
      </w:numPr>
      <w:spacing w:before="0" w:after="160"/>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7157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7157F"/>
    <w:pPr>
      <w:widowControl w:val="0"/>
      <w:spacing w:before="160" w:after="160"/>
      <w:jc w:val="center"/>
    </w:pPr>
    <w:rPr>
      <w:rFonts w:asciiTheme="minorHAnsi" w:hAnsiTheme="minorHAnsi"/>
      <w:i/>
      <w:iCs/>
      <w:color w:val="404040" w:themeColor="text1" w:themeTint="BF"/>
      <w:kern w:val="2"/>
      <w:sz w:val="21"/>
      <w:szCs w:val="24"/>
      <w:lang w:eastAsia="zh-CN"/>
      <w14:ligatures w14:val="standardContextual"/>
    </w:rPr>
  </w:style>
  <w:style w:type="character" w:customStyle="1" w:styleId="QuoteChar">
    <w:name w:val="Quote Char"/>
    <w:basedOn w:val="DefaultParagraphFont"/>
    <w:link w:val="Quote"/>
    <w:uiPriority w:val="29"/>
    <w:rsid w:val="0057157F"/>
    <w:rPr>
      <w:i/>
      <w:iCs/>
      <w:color w:val="404040" w:themeColor="text1" w:themeTint="BF"/>
    </w:rPr>
  </w:style>
  <w:style w:type="paragraph" w:styleId="ListParagraph">
    <w:name w:val="List Paragraph"/>
    <w:basedOn w:val="Normal"/>
    <w:uiPriority w:val="34"/>
    <w:qFormat/>
    <w:rsid w:val="0057157F"/>
    <w:pPr>
      <w:widowControl w:val="0"/>
      <w:spacing w:before="0" w:after="0"/>
      <w:ind w:left="720"/>
      <w:contextualSpacing/>
      <w:jc w:val="both"/>
    </w:pPr>
    <w:rPr>
      <w:rFonts w:asciiTheme="minorHAnsi" w:hAnsiTheme="minorHAnsi"/>
      <w:kern w:val="2"/>
      <w:sz w:val="21"/>
      <w:szCs w:val="24"/>
      <w:lang w:eastAsia="zh-CN"/>
      <w14:ligatures w14:val="standardContextual"/>
    </w:rPr>
  </w:style>
  <w:style w:type="character" w:styleId="IntenseEmphasis">
    <w:name w:val="Intense Emphasis"/>
    <w:basedOn w:val="DefaultParagraphFont"/>
    <w:uiPriority w:val="21"/>
    <w:qFormat/>
    <w:rsid w:val="0057157F"/>
    <w:rPr>
      <w:i/>
      <w:iCs/>
      <w:color w:val="0F4761" w:themeColor="accent1" w:themeShade="BF"/>
    </w:rPr>
  </w:style>
  <w:style w:type="paragraph" w:styleId="IntenseQuote">
    <w:name w:val="Intense Quote"/>
    <w:basedOn w:val="Normal"/>
    <w:next w:val="Normal"/>
    <w:link w:val="IntenseQuoteChar"/>
    <w:uiPriority w:val="30"/>
    <w:qFormat/>
    <w:rsid w:val="0057157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1"/>
      <w:szCs w:val="24"/>
      <w:lang w:eastAsia="zh-CN"/>
      <w14:ligatures w14:val="standardContextual"/>
    </w:rPr>
  </w:style>
  <w:style w:type="character" w:customStyle="1" w:styleId="IntenseQuoteChar">
    <w:name w:val="Intense Quote Char"/>
    <w:basedOn w:val="DefaultParagraphFont"/>
    <w:link w:val="IntenseQuote"/>
    <w:uiPriority w:val="30"/>
    <w:rsid w:val="0057157F"/>
    <w:rPr>
      <w:i/>
      <w:iCs/>
      <w:color w:val="0F4761" w:themeColor="accent1" w:themeShade="BF"/>
    </w:rPr>
  </w:style>
  <w:style w:type="character" w:styleId="IntenseReference">
    <w:name w:val="Intense Reference"/>
    <w:basedOn w:val="DefaultParagraphFont"/>
    <w:uiPriority w:val="32"/>
    <w:qFormat/>
    <w:rsid w:val="0057157F"/>
    <w:rPr>
      <w:b/>
      <w:bCs/>
      <w:smallCaps/>
      <w:color w:val="0F4761" w:themeColor="accent1" w:themeShade="BF"/>
      <w:spacing w:val="5"/>
    </w:rPr>
  </w:style>
  <w:style w:type="paragraph" w:styleId="CommentText">
    <w:name w:val="annotation text"/>
    <w:basedOn w:val="Normal"/>
    <w:link w:val="CommentTextChar"/>
    <w:uiPriority w:val="99"/>
    <w:unhideWhenUsed/>
    <w:rsid w:val="00D8491D"/>
    <w:rPr>
      <w:sz w:val="20"/>
      <w:szCs w:val="20"/>
    </w:rPr>
  </w:style>
  <w:style w:type="character" w:customStyle="1" w:styleId="CommentTextChar">
    <w:name w:val="Comment Text Char"/>
    <w:basedOn w:val="DefaultParagraphFont"/>
    <w:link w:val="CommentText"/>
    <w:uiPriority w:val="99"/>
    <w:rsid w:val="00D8491D"/>
    <w:rPr>
      <w:rFonts w:ascii="Times New Roman" w:hAnsi="Times New Roman"/>
      <w:kern w:val="0"/>
      <w:sz w:val="20"/>
      <w:szCs w:val="20"/>
      <w:lang w:eastAsia="en-US"/>
      <w14:ligatures w14:val="none"/>
    </w:rPr>
  </w:style>
  <w:style w:type="character" w:styleId="CommentReference">
    <w:name w:val="annotation reference"/>
    <w:basedOn w:val="DefaultParagraphFont"/>
    <w:uiPriority w:val="99"/>
    <w:semiHidden/>
    <w:unhideWhenUsed/>
    <w:rsid w:val="00D8491D"/>
    <w:rPr>
      <w:sz w:val="16"/>
      <w:szCs w:val="16"/>
    </w:rPr>
  </w:style>
  <w:style w:type="paragraph" w:styleId="BodyText">
    <w:name w:val="Body Text"/>
    <w:basedOn w:val="Normal"/>
    <w:link w:val="BodyTextChar"/>
    <w:uiPriority w:val="1"/>
    <w:qFormat/>
    <w:rsid w:val="00D8491D"/>
    <w:pPr>
      <w:widowControl w:val="0"/>
      <w:autoSpaceDE w:val="0"/>
      <w:autoSpaceDN w:val="0"/>
      <w:spacing w:before="5" w:after="0"/>
      <w:ind w:left="167"/>
    </w:pPr>
    <w:rPr>
      <w:rFonts w:ascii="Calibri" w:eastAsia="Calibri" w:hAnsi="Calibri" w:cs="Calibri"/>
      <w:i/>
      <w:sz w:val="18"/>
      <w:szCs w:val="18"/>
      <w:lang w:bidi="en-US"/>
    </w:rPr>
  </w:style>
  <w:style w:type="character" w:customStyle="1" w:styleId="BodyTextChar">
    <w:name w:val="Body Text Char"/>
    <w:basedOn w:val="DefaultParagraphFont"/>
    <w:link w:val="BodyText"/>
    <w:uiPriority w:val="1"/>
    <w:rsid w:val="00D8491D"/>
    <w:rPr>
      <w:rFonts w:ascii="Calibri" w:eastAsia="Calibri" w:hAnsi="Calibri" w:cs="Calibri"/>
      <w:i/>
      <w:kern w:val="0"/>
      <w:sz w:val="18"/>
      <w:szCs w:val="18"/>
      <w:lang w:eastAsia="en-US" w:bidi="en-US"/>
      <w14:ligatures w14:val="none"/>
    </w:rPr>
  </w:style>
  <w:style w:type="paragraph" w:styleId="CommentSubject">
    <w:name w:val="annotation subject"/>
    <w:basedOn w:val="CommentText"/>
    <w:next w:val="CommentText"/>
    <w:link w:val="CommentSubjectChar"/>
    <w:uiPriority w:val="99"/>
    <w:semiHidden/>
    <w:unhideWhenUsed/>
    <w:rsid w:val="00107D68"/>
    <w:rPr>
      <w:b/>
      <w:bCs/>
      <w:sz w:val="24"/>
      <w:szCs w:val="22"/>
    </w:rPr>
  </w:style>
  <w:style w:type="character" w:customStyle="1" w:styleId="CommentSubjectChar">
    <w:name w:val="Comment Subject Char"/>
    <w:basedOn w:val="CommentTextChar"/>
    <w:link w:val="CommentSubject"/>
    <w:uiPriority w:val="99"/>
    <w:semiHidden/>
    <w:rsid w:val="00107D68"/>
    <w:rPr>
      <w:rFonts w:ascii="Times New Roman" w:hAnsi="Times New Roman"/>
      <w:b/>
      <w:bCs/>
      <w:kern w:val="0"/>
      <w:sz w:val="24"/>
      <w:szCs w:val="22"/>
      <w:lang w:eastAsia="en-US"/>
      <w14:ligatures w14:val="none"/>
    </w:rPr>
  </w:style>
  <w:style w:type="paragraph" w:styleId="Footer">
    <w:name w:val="footer"/>
    <w:basedOn w:val="Normal"/>
    <w:link w:val="FooterChar"/>
    <w:uiPriority w:val="99"/>
    <w:unhideWhenUsed/>
    <w:rsid w:val="00E04472"/>
    <w:pPr>
      <w:tabs>
        <w:tab w:val="center" w:pos="4513"/>
        <w:tab w:val="right" w:pos="9026"/>
      </w:tabs>
      <w:spacing w:before="0" w:after="0"/>
    </w:pPr>
  </w:style>
  <w:style w:type="character" w:customStyle="1" w:styleId="FooterChar">
    <w:name w:val="Footer Char"/>
    <w:basedOn w:val="DefaultParagraphFont"/>
    <w:link w:val="Footer"/>
    <w:uiPriority w:val="99"/>
    <w:rsid w:val="00E04472"/>
    <w:rPr>
      <w:rFonts w:ascii="Times New Roman" w:hAnsi="Times New Roman"/>
      <w:kern w:val="0"/>
      <w:sz w:val="24"/>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Wilcock, Jay</cp:lastModifiedBy>
  <cp:revision>16</cp:revision>
  <dcterms:created xsi:type="dcterms:W3CDTF">2026-06-14T12:47:00Z</dcterms:created>
  <dcterms:modified xsi:type="dcterms:W3CDTF">2026-06-16T08:41:00Z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36b91f7f,200205b9,100bd89f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2026-06-16T08:41:46Z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46e1f0bb-c263-4f05-a897-85a98774e94d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