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08D" w:rsidRDefault="006F108D" w:rsidP="006F108D">
      <w:pPr>
        <w:pStyle w:val="2"/>
        <w:rPr>
          <w:rFonts w:ascii="Times New Roman" w:hAnsi="Times New Roman" w:cs="Times New Roman"/>
          <w:sz w:val="24"/>
          <w:szCs w:val="24"/>
        </w:rPr>
      </w:pPr>
      <w:r>
        <w:t>Appendix 1: OHMDT Nurse Competency Scale Items</w:t>
      </w: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Scoring:</w:t>
      </w:r>
      <w:r>
        <w:rPr>
          <w:rFonts w:ascii="Times New Roman" w:eastAsia="Arial" w:hAnsi="Times New Roman" w:cs="Times New Roman"/>
          <w:sz w:val="24"/>
          <w:szCs w:val="24"/>
        </w:rPr>
        <w:t xml:space="preserve"> Each item is rated on a 5-point Likert scale (1 = completely unable, 2 = barely able, 3 = somewhat able, 4 = quite able, 5 = completely able). Total scores range from 23 to 115, with higher scores indicating greater competence.</w:t>
      </w: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Dimension 1: Specialized Clinical Competence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Mastery of oral multidisciplinary basic theories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prepare interdisciplinary instruments and materials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Competence in assisting multidisciplinary combined surgeries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identify complication risks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Competence in using digital diagnostic and treatment equipment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perform comprehensive systematic oral health assessment</w:t>
            </w:r>
          </w:p>
        </w:tc>
      </w:tr>
    </w:tbl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Dimension 2: Interdisciplinary Coordination and Collaboration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Q7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Competence in coordinating scheduling of different specialists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Q8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accurately report nursing issues in MDT discussions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assist in resolving disagreements between specialties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Q10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Competence in handling cross-department referrals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Q11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share information with team members</w:t>
            </w:r>
          </w:p>
        </w:tc>
      </w:tr>
    </w:tbl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Dimension 3: Patient Full-Cycle Management and Humanistic Care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Q12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Competence in developing personalized full-cycle health education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Q13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use psychological nursing techniques to relieve fear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Q14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manage follow-up and tracking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Q15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Competence in explaining complex procedures in plain language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Q16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Commitment to respecting and protecting patient privacy rights</w:t>
            </w:r>
          </w:p>
        </w:tc>
      </w:tr>
    </w:tbl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Dimension 4: Professional Qualities and Emergency Responsiveness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Q17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Competence in rapidly responding to medical emergencies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Q18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adapt to high-intensity, fast-paced OMDT environment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Q19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identify safety hazards and propose improvements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Q20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Commitment to proactively learning new OMDT nursing developments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Q21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participate in or assist clinical nursing research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Q22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Competence in properly handling doctor-patient disputes</w:t>
            </w:r>
          </w:p>
        </w:tc>
      </w:tr>
      <w:tr w:rsidR="006F108D" w:rsidTr="00183F43"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Q23</w:t>
            </w:r>
          </w:p>
        </w:tc>
        <w:tc>
          <w:tcPr>
            <w:tcW w:w="4320" w:type="dxa"/>
          </w:tcPr>
          <w:p w:rsidR="006F108D" w:rsidRDefault="006F108D" w:rsidP="0018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professional identity for OMDT nursing work</w:t>
            </w:r>
          </w:p>
        </w:tc>
      </w:tr>
    </w:tbl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</w:p>
    <w:p w:rsidR="006F108D" w:rsidRDefault="006F108D" w:rsidP="006F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>Note.</w:t>
      </w:r>
      <w:r>
        <w:rPr>
          <w:rFonts w:ascii="Times New Roman" w:eastAsia="Arial" w:hAnsi="Times New Roman" w:cs="Times New Roman"/>
          <w:sz w:val="24"/>
          <w:szCs w:val="24"/>
        </w:rPr>
        <w:t xml:space="preserve"> The Delphi-derived dimensional labels (above) reflect the theoretical framework used during item development. The EFA-derived factor names partially reorganize item clusters based on empirical loading patterns; both frameworks are presented to facilitate interpretation and comparison with future CFA studies.</w:t>
      </w:r>
    </w:p>
    <w:p w:rsidR="000A6B45" w:rsidRDefault="000A6B45">
      <w:pPr>
        <w:spacing w:line="360" w:lineRule="auto"/>
        <w:jc w:val="left"/>
        <w:rPr>
          <w:rFonts w:ascii="Arial" w:eastAsia="Arial" w:hAnsi="Arial" w:cs="Arial"/>
          <w:color w:val="595959"/>
        </w:rPr>
      </w:pPr>
    </w:p>
    <w:sectPr w:rsidR="000A6B45" w:rsidSect="006F10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33D" w:rsidRDefault="0086433D">
      <w:r>
        <w:separator/>
      </w:r>
    </w:p>
  </w:endnote>
  <w:endnote w:type="continuationSeparator" w:id="0">
    <w:p w:rsidR="0086433D" w:rsidRDefault="008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33D" w:rsidRDefault="0086433D">
      <w:r>
        <w:separator/>
      </w:r>
    </w:p>
  </w:footnote>
  <w:footnote w:type="continuationSeparator" w:id="0">
    <w:p w:rsidR="0086433D" w:rsidRDefault="008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0EF"/>
    <w:multiLevelType w:val="hybridMultilevel"/>
    <w:tmpl w:val="8338776C"/>
    <w:lvl w:ilvl="0" w:tplc="E59299DC">
      <w:start w:val="1"/>
      <w:numFmt w:val="bullet"/>
      <w:lvlText w:val="·"/>
      <w:lvlJc w:val="left"/>
      <w:pPr>
        <w:ind w:left="720" w:hanging="349"/>
      </w:pPr>
      <w:rPr>
        <w:rFonts w:ascii="Symbol" w:eastAsia="Symbol" w:hAnsi="Symbol" w:cs="Symbol"/>
      </w:rPr>
    </w:lvl>
    <w:lvl w:ilvl="1" w:tplc="2CD09CBE">
      <w:start w:val="1"/>
      <w:numFmt w:val="bullet"/>
      <w:lvlText w:val="o"/>
      <w:lvlJc w:val="left"/>
      <w:pPr>
        <w:ind w:left="1440" w:hanging="349"/>
      </w:pPr>
      <w:rPr>
        <w:rFonts w:ascii="Courier New" w:eastAsia="Courier New" w:hAnsi="Courier New" w:cs="Courier New"/>
      </w:rPr>
    </w:lvl>
    <w:lvl w:ilvl="2" w:tplc="CD860ED2">
      <w:start w:val="1"/>
      <w:numFmt w:val="bullet"/>
      <w:lvlText w:val="§"/>
      <w:lvlJc w:val="left"/>
      <w:pPr>
        <w:ind w:left="2160" w:hanging="349"/>
      </w:pPr>
      <w:rPr>
        <w:rFonts w:ascii="Wingdings" w:eastAsia="Wingdings" w:hAnsi="Wingdings" w:cs="Wingdings"/>
      </w:rPr>
    </w:lvl>
    <w:lvl w:ilvl="3" w:tplc="0B62F47C">
      <w:start w:val="1"/>
      <w:numFmt w:val="bullet"/>
      <w:lvlText w:val="·"/>
      <w:lvlJc w:val="left"/>
      <w:pPr>
        <w:ind w:left="2880" w:hanging="349"/>
      </w:pPr>
      <w:rPr>
        <w:rFonts w:ascii="Symbol" w:eastAsia="Symbol" w:hAnsi="Symbol" w:cs="Symbol"/>
      </w:rPr>
    </w:lvl>
    <w:lvl w:ilvl="4" w:tplc="ECD42286">
      <w:start w:val="1"/>
      <w:numFmt w:val="bullet"/>
      <w:lvlText w:val="o"/>
      <w:lvlJc w:val="left"/>
      <w:pPr>
        <w:ind w:left="3600" w:hanging="349"/>
      </w:pPr>
      <w:rPr>
        <w:rFonts w:ascii="Courier New" w:eastAsia="Courier New" w:hAnsi="Courier New" w:cs="Courier New"/>
      </w:rPr>
    </w:lvl>
    <w:lvl w:ilvl="5" w:tplc="C06C5F76">
      <w:start w:val="1"/>
      <w:numFmt w:val="bullet"/>
      <w:lvlText w:val="§"/>
      <w:lvlJc w:val="left"/>
      <w:pPr>
        <w:ind w:left="4320" w:hanging="349"/>
      </w:pPr>
      <w:rPr>
        <w:rFonts w:ascii="Wingdings" w:eastAsia="Wingdings" w:hAnsi="Wingdings" w:cs="Wingdings"/>
      </w:rPr>
    </w:lvl>
    <w:lvl w:ilvl="6" w:tplc="B3707008">
      <w:start w:val="1"/>
      <w:numFmt w:val="bullet"/>
      <w:lvlText w:val="·"/>
      <w:lvlJc w:val="left"/>
      <w:pPr>
        <w:ind w:left="5040" w:hanging="349"/>
      </w:pPr>
      <w:rPr>
        <w:rFonts w:ascii="Symbol" w:eastAsia="Symbol" w:hAnsi="Symbol" w:cs="Symbol"/>
      </w:rPr>
    </w:lvl>
    <w:lvl w:ilvl="7" w:tplc="6E04ED12">
      <w:start w:val="1"/>
      <w:numFmt w:val="bullet"/>
      <w:lvlText w:val="o"/>
      <w:lvlJc w:val="left"/>
      <w:pPr>
        <w:ind w:left="5760" w:hanging="349"/>
      </w:pPr>
      <w:rPr>
        <w:rFonts w:ascii="Courier New" w:eastAsia="Courier New" w:hAnsi="Courier New" w:cs="Courier New"/>
      </w:rPr>
    </w:lvl>
    <w:lvl w:ilvl="8" w:tplc="94D885FE">
      <w:start w:val="1"/>
      <w:numFmt w:val="bullet"/>
      <w:lvlText w:val="§"/>
      <w:lvlJc w:val="left"/>
      <w:pPr>
        <w:ind w:left="6480" w:hanging="349"/>
      </w:pPr>
      <w:rPr>
        <w:rFonts w:ascii="Wingdings" w:eastAsia="Wingdings" w:hAnsi="Wingdings" w:cs="Wingdings"/>
      </w:rPr>
    </w:lvl>
  </w:abstractNum>
  <w:num w:numId="1" w16cid:durableId="84463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45"/>
    <w:rsid w:val="000A6B45"/>
    <w:rsid w:val="006F108D"/>
    <w:rsid w:val="0086433D"/>
    <w:rsid w:val="00DC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138C"/>
  <w15:docId w15:val="{6EDD3B31-5816-A748-8BB7-EC54BD2F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1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页眉 字符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页脚 字符"/>
    <w:basedOn w:val="a0"/>
    <w:link w:val="af"/>
    <w:uiPriority w:val="99"/>
  </w:style>
  <w:style w:type="table" w:styleId="af1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脚注文本 字符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character" w:customStyle="1" w:styleId="10">
    <w:name w:val="标题 1 字符"/>
    <w:basedOn w:val="a0"/>
    <w:link w:val="1"/>
    <w:uiPriority w:val="9"/>
    <w:rPr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xiao</cp:lastModifiedBy>
  <cp:revision>4</cp:revision>
  <dcterms:created xsi:type="dcterms:W3CDTF">2026-04-22T15:07:00Z</dcterms:created>
  <dcterms:modified xsi:type="dcterms:W3CDTF">2026-04-22T15:08:00Z</dcterms:modified>
</cp:coreProperties>
</file>