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D211B">
      <w:pPr>
        <w:keepNext w:val="0"/>
        <w:keepLines w:val="0"/>
        <w:widowControl/>
        <w:suppressLineNumbers w:val="0"/>
        <w:jc w:val="left"/>
        <w:rPr>
          <w:rFonts w:hint="default" w:ascii="Arial" w:hAnsi="Arial" w:eastAsia="宋体" w:cs="Arial"/>
          <w:b w:val="0"/>
          <w:kern w:val="0"/>
          <w:sz w:val="24"/>
          <w:szCs w:val="24"/>
          <w:lang w:val="en-US" w:eastAsia="zh-CN" w:bidi="ar"/>
        </w:rPr>
      </w:pPr>
      <w:bookmarkStart w:id="0" w:name="_GoBack"/>
      <w:bookmarkEnd w:id="0"/>
      <w:r>
        <w:rPr>
          <w:rFonts w:hint="default" w:ascii="Arial" w:hAnsi="Arial" w:eastAsia="宋体" w:cs="Arial"/>
          <w:b w:val="0"/>
          <w:kern w:val="0"/>
          <w:sz w:val="24"/>
          <w:szCs w:val="24"/>
          <w:lang w:val="en-US" w:eastAsia="zh-CN" w:bidi="ar"/>
        </w:rPr>
        <w:drawing>
          <wp:inline distT="0" distB="0" distL="114300" distR="114300">
            <wp:extent cx="5239385" cy="3041015"/>
            <wp:effectExtent l="0" t="0" r="18415" b="6985"/>
            <wp:docPr id="2" name="图片 2"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1"/>
                    <pic:cNvPicPr>
                      <a:picLocks noChangeAspect="1"/>
                    </pic:cNvPicPr>
                  </pic:nvPicPr>
                  <pic:blipFill>
                    <a:blip r:embed="rId4"/>
                    <a:stretch>
                      <a:fillRect/>
                    </a:stretch>
                  </pic:blipFill>
                  <pic:spPr>
                    <a:xfrm>
                      <a:off x="0" y="0"/>
                      <a:ext cx="5239385" cy="3041015"/>
                    </a:xfrm>
                    <a:prstGeom prst="rect">
                      <a:avLst/>
                    </a:prstGeom>
                  </pic:spPr>
                </pic:pic>
              </a:graphicData>
            </a:graphic>
          </wp:inline>
        </w:drawing>
      </w:r>
    </w:p>
    <w:p w14:paraId="40876AE3">
      <w:pPr>
        <w:keepNext w:val="0"/>
        <w:keepLines w:val="0"/>
        <w:widowControl/>
        <w:suppressLineNumbers w:val="0"/>
        <w:jc w:val="left"/>
        <w:rPr>
          <w:rFonts w:hint="default" w:ascii="Arial" w:hAnsi="Arial" w:eastAsia="Songti SC" w:cs="Arial"/>
          <w:b w:val="0"/>
          <w:sz w:val="24"/>
          <w:szCs w:val="24"/>
          <w:lang w:eastAsia="zh-CN"/>
        </w:rPr>
      </w:pPr>
    </w:p>
    <w:p w14:paraId="4316656C">
      <w:pPr>
        <w:tabs>
          <w:tab w:val="left" w:pos="2100"/>
        </w:tabs>
        <w:rPr>
          <w:rFonts w:hint="default" w:ascii="Arial" w:hAnsi="Arial" w:cs="Arial"/>
          <w:color w:val="auto"/>
          <w:sz w:val="24"/>
          <w:szCs w:val="24"/>
          <w:lang w:val="en-US" w:eastAsia="zh-CN"/>
        </w:rPr>
      </w:pPr>
      <w:r>
        <w:rPr>
          <w:rFonts w:hint="default" w:ascii="Arial" w:hAnsi="Arial" w:eastAsia="宋体" w:cs="Arial"/>
          <w:b w:val="0"/>
          <w:kern w:val="0"/>
          <w:sz w:val="24"/>
          <w:szCs w:val="24"/>
          <w:lang w:val="en-US" w:eastAsia="zh-CN" w:bidi="ar"/>
        </w:rPr>
        <w:t xml:space="preserve">Supplementary Figure S1. Gene Ontology (GO) </w:t>
      </w:r>
      <w:r>
        <w:rPr>
          <w:rFonts w:hint="default" w:ascii="Arial" w:hAnsi="Arial" w:cs="Arial"/>
          <w:color w:val="auto"/>
          <w:sz w:val="24"/>
          <w:szCs w:val="24"/>
          <w:lang w:val="en-US" w:eastAsia="zh-CN"/>
        </w:rPr>
        <w:t>pathway enrichment analysis of exploratory DEG sets across comparisons.</w:t>
      </w:r>
      <w:r>
        <w:rPr>
          <w:rFonts w:hint="default" w:ascii="Arial" w:hAnsi="Arial" w:eastAsia="宋体" w:cs="Arial"/>
          <w:b w:val="0"/>
          <w:kern w:val="0"/>
          <w:sz w:val="24"/>
          <w:szCs w:val="24"/>
          <w:lang w:val="en-US" w:eastAsia="zh-CN" w:bidi="ar"/>
        </w:rPr>
        <w:br w:type="textWrapping"/>
      </w:r>
      <w:r>
        <w:rPr>
          <w:rFonts w:hint="default" w:ascii="Arial" w:hAnsi="Arial" w:cs="Arial"/>
          <w:color w:val="auto"/>
          <w:sz w:val="24"/>
          <w:szCs w:val="24"/>
          <w:lang w:val="en-US" w:eastAsia="zh-CN"/>
        </w:rPr>
        <w:t>(A) GO pathway enrichment of exploratory DEGs in IBD patients after RR-MBI compared with before intervention.</w:t>
      </w:r>
    </w:p>
    <w:p w14:paraId="215185FF">
      <w:pPr>
        <w:tabs>
          <w:tab w:val="left" w:pos="2100"/>
        </w:tabs>
        <w:rPr>
          <w:rFonts w:hint="default" w:ascii="Arial" w:hAnsi="Arial" w:cs="Arial"/>
          <w:color w:val="auto"/>
          <w:sz w:val="24"/>
          <w:szCs w:val="24"/>
          <w:lang w:val="en-US" w:eastAsia="zh-CN"/>
        </w:rPr>
      </w:pPr>
      <w:r>
        <w:rPr>
          <w:rFonts w:hint="default" w:ascii="Arial" w:hAnsi="Arial" w:cs="Arial"/>
          <w:color w:val="auto"/>
          <w:sz w:val="24"/>
          <w:szCs w:val="24"/>
          <w:lang w:val="en-US" w:eastAsia="zh-CN"/>
        </w:rPr>
        <w:t>(B) GO pathway enrichment of exploratory DEGs in IBS patients after RR-MBI compared with before intervention.</w:t>
      </w:r>
    </w:p>
    <w:p w14:paraId="109621F6">
      <w:pPr>
        <w:tabs>
          <w:tab w:val="left" w:pos="2100"/>
        </w:tabs>
        <w:rPr>
          <w:rFonts w:hint="default" w:ascii="Arial" w:hAnsi="Arial" w:cs="Arial"/>
          <w:b w:val="0"/>
          <w:sz w:val="24"/>
          <w:szCs w:val="24"/>
          <w:lang w:val="en-US"/>
        </w:rPr>
      </w:pPr>
      <w:r>
        <w:rPr>
          <w:rFonts w:hint="default" w:ascii="Arial" w:hAnsi="Arial" w:cs="Arial"/>
          <w:color w:val="auto"/>
          <w:sz w:val="24"/>
          <w:szCs w:val="24"/>
          <w:lang w:val="en-US" w:eastAsia="zh-CN"/>
        </w:rPr>
        <w:t>(C) GO pathway enrichment of exploratory DEGs between IBD and IBS at baseline.</w:t>
      </w:r>
      <w:r>
        <w:rPr>
          <w:rFonts w:hint="default" w:ascii="Arial" w:hAnsi="Arial" w:eastAsia="宋体" w:cs="Arial"/>
          <w:b w:val="0"/>
          <w:kern w:val="0"/>
          <w:sz w:val="24"/>
          <w:szCs w:val="24"/>
          <w:lang w:val="en-US" w:eastAsia="zh-CN" w:bidi="ar"/>
        </w:rPr>
        <w:br w:type="textWrapping"/>
      </w:r>
      <w:r>
        <w:rPr>
          <w:rFonts w:hint="default" w:ascii="Arial" w:hAnsi="Arial" w:eastAsia="宋体" w:cs="Arial"/>
          <w:b w:val="0"/>
          <w:color w:val="auto"/>
          <w:kern w:val="0"/>
          <w:sz w:val="24"/>
          <w:szCs w:val="24"/>
          <w:lang w:val="en-US" w:eastAsia="zh-CN" w:bidi="ar"/>
        </w:rPr>
        <w:t xml:space="preserve">Notes: </w:t>
      </w:r>
      <w:r>
        <w:rPr>
          <w:rFonts w:hint="default" w:ascii="Arial" w:hAnsi="Arial" w:eastAsia="宋体" w:cs="Arial"/>
          <w:b w:val="0"/>
          <w:kern w:val="0"/>
          <w:sz w:val="24"/>
          <w:szCs w:val="24"/>
          <w:lang w:val="en-US" w:eastAsia="zh-CN" w:bidi="ar"/>
        </w:rPr>
        <w:t>Bar length indicates gene counts associated with each GO term. Color scale represents statistical significance (metric indicated in each panel). Only terms with P &lt; 0.05 are shown. Exploratory DEG sets were defined using nominal P &lt; 0.05 and AFC ≥ 1.2.</w:t>
      </w:r>
    </w:p>
    <w:p w14:paraId="607A164A">
      <w:pPr>
        <w:rPr>
          <w:rFonts w:hint="default" w:ascii="Arial" w:hAnsi="Arial" w:eastAsia="Songti SC" w:cs="Arial"/>
          <w:b w:val="0"/>
          <w:sz w:val="24"/>
          <w:szCs w:val="24"/>
          <w:lang w:eastAsia="zh-CN"/>
        </w:rPr>
      </w:pPr>
    </w:p>
    <w:p w14:paraId="5FC300A4">
      <w:pPr>
        <w:rPr>
          <w:rFonts w:hint="default" w:ascii="Arial" w:hAnsi="Arial" w:eastAsia="Songti SC" w:cs="Arial"/>
          <w:b w:val="0"/>
          <w:sz w:val="24"/>
          <w:szCs w:val="24"/>
          <w:lang w:eastAsia="zh-CN"/>
        </w:rPr>
      </w:pPr>
    </w:p>
    <w:p w14:paraId="529261F4">
      <w:pPr>
        <w:rPr>
          <w:rFonts w:hint="default" w:ascii="Arial" w:hAnsi="Arial" w:eastAsia="Songti SC" w:cs="Arial"/>
          <w:b w:val="0"/>
          <w:sz w:val="24"/>
          <w:szCs w:val="24"/>
          <w:lang w:eastAsia="zh-CN"/>
        </w:rPr>
      </w:pPr>
    </w:p>
    <w:p w14:paraId="7D00F235">
      <w:pPr>
        <w:rPr>
          <w:rFonts w:hint="default" w:ascii="Arial" w:hAnsi="Arial" w:eastAsia="宋体" w:cs="Arial"/>
          <w:b w:val="0"/>
          <w:kern w:val="0"/>
          <w:sz w:val="24"/>
          <w:szCs w:val="24"/>
          <w:lang w:val="en-US" w:eastAsia="zh-CN" w:bidi="ar"/>
        </w:rPr>
      </w:pPr>
      <w:r>
        <w:rPr>
          <w:rFonts w:hint="default" w:ascii="Arial" w:hAnsi="Arial" w:eastAsia="宋体" w:cs="Arial"/>
          <w:b w:val="0"/>
          <w:kern w:val="0"/>
          <w:sz w:val="24"/>
          <w:szCs w:val="24"/>
          <w:lang w:val="en-US" w:eastAsia="zh-CN" w:bidi="ar"/>
        </w:rPr>
        <w:drawing>
          <wp:inline distT="0" distB="0" distL="114300" distR="114300">
            <wp:extent cx="5476240" cy="1999615"/>
            <wp:effectExtent l="0" t="0" r="10160" b="6985"/>
            <wp:docPr id="3" name="图片 3" descr="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S2"/>
                    <pic:cNvPicPr>
                      <a:picLocks noChangeAspect="1"/>
                    </pic:cNvPicPr>
                  </pic:nvPicPr>
                  <pic:blipFill>
                    <a:blip r:embed="rId5"/>
                    <a:stretch>
                      <a:fillRect/>
                    </a:stretch>
                  </pic:blipFill>
                  <pic:spPr>
                    <a:xfrm>
                      <a:off x="0" y="0"/>
                      <a:ext cx="5476240" cy="1999615"/>
                    </a:xfrm>
                    <a:prstGeom prst="rect">
                      <a:avLst/>
                    </a:prstGeom>
                  </pic:spPr>
                </pic:pic>
              </a:graphicData>
            </a:graphic>
          </wp:inline>
        </w:drawing>
      </w:r>
    </w:p>
    <w:p w14:paraId="15FE25A4">
      <w:pPr>
        <w:rPr>
          <w:rFonts w:hint="default" w:ascii="Arial" w:hAnsi="Arial" w:eastAsia="宋体" w:cs="Arial"/>
          <w:b w:val="0"/>
          <w:kern w:val="0"/>
          <w:sz w:val="24"/>
          <w:szCs w:val="24"/>
          <w:lang w:val="en-US" w:eastAsia="zh-CN" w:bidi="ar"/>
        </w:rPr>
      </w:pPr>
    </w:p>
    <w:p w14:paraId="775D40B0">
      <w:pPr>
        <w:rPr>
          <w:rFonts w:hint="default" w:ascii="Arial" w:hAnsi="Arial" w:eastAsia="宋体" w:cs="Arial"/>
          <w:b w:val="0"/>
          <w:kern w:val="0"/>
          <w:sz w:val="24"/>
          <w:szCs w:val="24"/>
          <w:lang w:val="en-US" w:eastAsia="zh-CN" w:bidi="ar"/>
        </w:rPr>
      </w:pPr>
      <w:r>
        <w:rPr>
          <w:rFonts w:hint="default" w:ascii="Arial" w:hAnsi="Arial" w:eastAsia="宋体" w:cs="Arial"/>
          <w:b w:val="0"/>
          <w:kern w:val="0"/>
          <w:sz w:val="24"/>
          <w:szCs w:val="24"/>
          <w:lang w:val="en-US" w:eastAsia="zh-CN" w:bidi="ar"/>
        </w:rPr>
        <w:t>Supplementary Figure S2. MCODE-identified functional modules within PPI networks.</w:t>
      </w:r>
    </w:p>
    <w:p w14:paraId="0B2B37D8">
      <w:pPr>
        <w:rPr>
          <w:rFonts w:hint="default" w:ascii="Arial" w:hAnsi="Arial" w:eastAsia="宋体" w:cs="Arial"/>
          <w:b w:val="0"/>
          <w:kern w:val="0"/>
          <w:sz w:val="24"/>
          <w:szCs w:val="24"/>
          <w:lang w:val="en-US" w:eastAsia="zh-CN" w:bidi="ar"/>
        </w:rPr>
      </w:pPr>
      <w:r>
        <w:rPr>
          <w:rFonts w:hint="default" w:ascii="Arial" w:hAnsi="Arial" w:eastAsia="宋体" w:cs="Arial"/>
          <w:b w:val="0"/>
          <w:kern w:val="0"/>
          <w:sz w:val="24"/>
          <w:szCs w:val="24"/>
          <w:lang w:val="en-US" w:eastAsia="zh-CN" w:bidi="ar"/>
        </w:rPr>
        <w:t>(A, B) Representative network clusters extracted from the IBD post- vs pre-intervention comparison.</w:t>
      </w:r>
    </w:p>
    <w:p w14:paraId="73D61403">
      <w:pPr>
        <w:rPr>
          <w:rFonts w:hint="default" w:ascii="Arial" w:hAnsi="Arial" w:eastAsia="宋体" w:cs="Arial"/>
          <w:b w:val="0"/>
          <w:color w:val="FF0000"/>
          <w:kern w:val="0"/>
          <w:sz w:val="24"/>
          <w:szCs w:val="24"/>
          <w:lang w:val="en-US" w:eastAsia="zh-CN" w:bidi="ar"/>
        </w:rPr>
      </w:pPr>
      <w:r>
        <w:rPr>
          <w:rFonts w:hint="default" w:ascii="Arial" w:hAnsi="Arial" w:eastAsia="宋体" w:cs="Arial"/>
          <w:b w:val="0"/>
          <w:kern w:val="0"/>
          <w:sz w:val="24"/>
          <w:szCs w:val="24"/>
          <w:lang w:val="en-US" w:eastAsia="zh-CN" w:bidi="ar"/>
        </w:rPr>
        <w:t>(C) Representative cluster extracted from the baseline comparison between IBD and IBS.</w:t>
      </w:r>
    </w:p>
    <w:p w14:paraId="29B0DFB6">
      <w:pPr>
        <w:rPr>
          <w:rFonts w:hint="default" w:ascii="Arial" w:hAnsi="Arial" w:eastAsia="宋体" w:cs="Arial"/>
          <w:b w:val="0"/>
          <w:color w:val="auto"/>
          <w:kern w:val="0"/>
          <w:sz w:val="24"/>
          <w:szCs w:val="24"/>
          <w:lang w:val="en-US" w:eastAsia="zh-CN" w:bidi="ar"/>
        </w:rPr>
      </w:pPr>
      <w:r>
        <w:rPr>
          <w:rFonts w:hint="default" w:ascii="Arial" w:hAnsi="Arial" w:eastAsia="宋体" w:cs="Arial"/>
          <w:b w:val="0"/>
          <w:color w:val="auto"/>
          <w:kern w:val="0"/>
          <w:sz w:val="24"/>
          <w:szCs w:val="24"/>
          <w:lang w:val="en-US" w:eastAsia="zh-CN" w:bidi="ar"/>
        </w:rPr>
        <w:t>Notes: Nodes represent proteins encoded by exploratory DEGs within MCODE-identified PPI modules, and edges indicate predicted protein–protein interactions. Light-blue circles indicate other exploratory DEGs within the corresponding modules. Yellow hexagons indicate genes annotated to the broad disease term “pain” in DisGeNET. Edge thickness reflects the STRING combined interaction score. Exploratory DEG sets were defined using nominal P &lt; 0.05 and AFC ≥ 1.2.</w:t>
      </w:r>
    </w:p>
    <w:p w14:paraId="4F614E2E">
      <w:pPr>
        <w:rPr>
          <w:rFonts w:hint="default" w:ascii="Arial" w:hAnsi="Arial" w:eastAsia="宋体" w:cs="Arial"/>
          <w:b w:val="0"/>
          <w:color w:val="auto"/>
          <w:kern w:val="0"/>
          <w:sz w:val="24"/>
          <w:szCs w:val="24"/>
          <w:lang w:val="en-US" w:eastAsia="zh-CN" w:bidi="ar"/>
        </w:rPr>
      </w:pPr>
    </w:p>
    <w:p w14:paraId="477DA1AD">
      <w:pPr>
        <w:rPr>
          <w:rFonts w:hint="default" w:ascii="Arial" w:hAnsi="Arial" w:eastAsia="宋体" w:cs="Arial"/>
          <w:b w:val="0"/>
          <w:color w:val="auto"/>
          <w:kern w:val="0"/>
          <w:sz w:val="24"/>
          <w:szCs w:val="24"/>
          <w:lang w:val="en-US" w:eastAsia="zh-CN" w:bidi="ar"/>
        </w:rPr>
      </w:pPr>
      <w:r>
        <w:rPr>
          <w:rFonts w:hint="default" w:ascii="Arial" w:hAnsi="Arial" w:eastAsia="宋体" w:cs="Arial"/>
          <w:b w:val="0"/>
          <w:color w:val="auto"/>
          <w:kern w:val="0"/>
          <w:sz w:val="24"/>
          <w:szCs w:val="24"/>
          <w:lang w:val="en-US" w:eastAsia="zh-CN" w:bidi="ar"/>
        </w:rPr>
        <w:t>Abbreviations: AFC, absolute fold-change magnitude; DEG, differentially expressed gene; IBD, inflammatory bowel disease; IBS, irritable bowel syndrome; MCODE, Molecular Complex Detection; PPI, protein–protein interaction; RR-MBI, relaxation response–based mind–body intervention.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Songti SC">
    <w:panose1 w:val="02010800040101010101"/>
    <w:charset w:val="86"/>
    <w:family w:val="auto"/>
    <w:pitch w:val="default"/>
    <w:sig w:usb0="00000001" w:usb1="080F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EEC7C"/>
    <w:rsid w:val="2F690740"/>
    <w:rsid w:val="3FEFC757"/>
    <w:rsid w:val="5BB90B6D"/>
    <w:rsid w:val="67EF2266"/>
    <w:rsid w:val="7B8FA4B0"/>
    <w:rsid w:val="83CFFCD3"/>
    <w:rsid w:val="9F1F09DD"/>
    <w:rsid w:val="BF67E3E0"/>
    <w:rsid w:val="EBBF83D3"/>
    <w:rsid w:val="EF7B1B65"/>
    <w:rsid w:val="F7D55E95"/>
    <w:rsid w:val="FD7F1757"/>
    <w:rsid w:val="FF6F0DDE"/>
    <w:rsid w:val="FF7EEC7C"/>
    <w:rsid w:val="FFEC9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ongti SC"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2026-02-23T03:33:00Z</dcterms:created>
  <dc:creator>林中原</dc:creator>
  <cp:lastModifiedBy>林中原</cp:lastModifiedBy>
  <dcterms:modified xsi:type="dcterms:W3CDTF">2026-05-31T03:45:51Z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F0E87E220F94E7817D27996929C3A5A1_41</vt:lpwstr>
  </property>
</Properties>
</file>