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Supplementary Materials</w:t>
      </w:r>
    </w:p>
    <w:p>
      <w:r>
        <w:t>Manuscript: Multidisciplinary Stakeholder Perspectives on the Design Needs of a Smart Walker for Fall Prevention Among Older Adults: A Qualitative Study in West Java, Indonesia</w:t>
      </w:r>
    </w:p>
    <w:p>
      <w:r>
        <w:t>Submission ID: 605216</w:t>
      </w:r>
    </w:p>
    <w:p>
      <w:r>
        <w:t>Authors: Dharmansyah D, Rahayuwati L, Pramukti I, Mutyara K.</w:t>
      </w:r>
    </w:p>
    <w:p/>
    <w:p>
      <w:r>
        <w:t>List of supplementary items (cited in the main text in numerical order):</w:t>
      </w:r>
    </w:p>
    <w:p>
      <w:pPr>
        <w:pStyle w:val="ListBullet"/>
      </w:pPr>
      <w:r>
        <w:t>• Supplementary Material 1. COREQ (Consolidated Criteria for Reporting Qualitative Research) 32-item checklist — cited in the Methods section (Study Design).</w:t>
      </w:r>
    </w:p>
    <w:p>
      <w:pPr>
        <w:pStyle w:val="ListBullet"/>
      </w:pPr>
      <w:r>
        <w:t>• Supplementary Material 2. Semi-structured interview guide (English translation of the Indonesian/Sundanese guide used in the field).</w:t>
      </w:r>
    </w:p>
    <w:p>
      <w:pPr>
        <w:pStyle w:val="ListBullet"/>
      </w:pPr>
      <w:r>
        <w:t>• Supplementary Table S1. Coding tree showing progression from codes to subthemes to themes, by stakeholder group.</w:t>
      </w:r>
    </w:p>
    <w:p>
      <w:pPr>
        <w:pStyle w:val="Heading1"/>
      </w:pPr>
      <w:r>
        <w:t>Supplementary Material 1. COREQ 32-Item Checklist</w:t>
      </w:r>
    </w:p>
    <w:p>
      <w:r>
        <w:t>Domain 1: Research team and reflexivity</w:t>
      </w:r>
    </w:p>
    <w:p>
      <w:r>
        <w:t>1. Interviewer/facilitator: DD (male, doctoral nursing researcher) conducted all interviews.</w:t>
      </w:r>
    </w:p>
    <w:p>
      <w:r>
        <w:t>2. Credentials: DD: RN, MNS, PhD candidate. LR, IP: PhD, experienced qualitative researchers. KM: MD, MPH, PhD.</w:t>
      </w:r>
    </w:p>
    <w:p>
      <w:r>
        <w:t>3. Occupation: Academic researchers; DD also clinical nurse educator.</w:t>
      </w:r>
    </w:p>
    <w:p>
      <w:r>
        <w:t>4. Gender: DD male; LR, IP, KM female.</w:t>
      </w:r>
    </w:p>
    <w:p>
      <w:r>
        <w:t>5. Experience/training: All team members had formal qualitative-research training; DD had prior fieldwork in geriatric settings.</w:t>
      </w:r>
    </w:p>
    <w:p>
      <w:r>
        <w:t>6. Relationship established: No prior relationship with participants; introductions made at recruitment.</w:t>
      </w:r>
    </w:p>
    <w:p>
      <w:r>
        <w:t>7. Participant knowledge of interviewer: Participants informed of researcher role, institution, and study purpose.</w:t>
      </w:r>
    </w:p>
    <w:p>
      <w:r>
        <w:t>8. Interviewer characteristics: Reflexive memos maintained; assumptions disclosed in Methods (Reflexivity).</w:t>
      </w:r>
    </w:p>
    <w:p>
      <w:r>
        <w:t>Domain 2: Study design</w:t>
      </w:r>
    </w:p>
    <w:p>
      <w:r>
        <w:t>9. Methodological orientation: Qualitative description; Braun &amp; Clarke reflexive thematic analysis.</w:t>
      </w:r>
    </w:p>
    <w:p>
      <w:r>
        <w:t>10. Sampling: Purposive sampling with maximum variation.</w:t>
      </w:r>
    </w:p>
    <w:p>
      <w:r>
        <w:t>11. Method of approach: Face-to-face invitation at care facilities and clinic; written information sheet provided.</w:t>
      </w:r>
    </w:p>
    <w:p>
      <w:r>
        <w:t>12. Sample size: n = 13 (5 older adults, 5 caregivers, 3 healthcare professionals).</w:t>
      </w:r>
    </w:p>
    <w:p>
      <w:r>
        <w:t>13. Non-participation: Two older adults declined due to fatigue; reasons documented.</w:t>
      </w:r>
    </w:p>
    <w:p>
      <w:r>
        <w:t>14. Setting of data collection: Private rooms at Panti Sosial Budi Pertiwi, Pondok Lansia Tulus Kasih, and RS Al-Islam Bandung.</w:t>
      </w:r>
    </w:p>
    <w:p>
      <w:r>
        <w:t>15. Presence of non-participants: Only interviewer and field-note taker present.</w:t>
      </w:r>
    </w:p>
    <w:p>
      <w:r>
        <w:t>16. Description of sample: See Table 1 of main manuscript.</w:t>
      </w:r>
    </w:p>
    <w:p>
      <w:r>
        <w:t>17. Interview guide: Pilot-tested with one participant per stakeholder group; see Supplementary Material 2.</w:t>
      </w:r>
    </w:p>
    <w:p>
      <w:r>
        <w:t>18. Repeat interviews: Not conducted; member-checking visits used instead.</w:t>
      </w:r>
    </w:p>
    <w:p>
      <w:r>
        <w:t>19. Audio/visual recording: All interviews audio-recorded with consent.</w:t>
      </w:r>
    </w:p>
    <w:p>
      <w:r>
        <w:t>20. Field notes: Written during and after each interview by second team member.</w:t>
      </w:r>
    </w:p>
    <w:p>
      <w:r>
        <w:t>21. Duration: 15–45 minutes per interview.</w:t>
      </w:r>
    </w:p>
    <w:p>
      <w:r>
        <w:t>22. Data saturation: Data sufficiency assessed per RTA; frequency-based saturation not the organizing construct (see Methods).</w:t>
      </w:r>
    </w:p>
    <w:p>
      <w:r>
        <w:t>23. Transcripts returned: Thematic summaries returned to three participants (one per group); full transcripts not returned at participants’ preference.</w:t>
      </w:r>
    </w:p>
    <w:p>
      <w:r>
        <w:t>Domain 3: Analysis and findings</w:t>
      </w:r>
    </w:p>
    <w:p>
      <w:r>
        <w:t>24. Number of data coders: Two (DD and LR) coded independently; reconciled through discussion.</w:t>
      </w:r>
    </w:p>
    <w:p>
      <w:r>
        <w:t>25. Description of coding tree: See Supplementary Table S1.</w:t>
      </w:r>
    </w:p>
    <w:p>
      <w:r>
        <w:t>26. Derivation of themes: Themes derived inductively from the data.</w:t>
      </w:r>
    </w:p>
    <w:p>
      <w:r>
        <w:t>27. Software: NVivo 14 (Lumivero) used for data management; manual analytic memos.</w:t>
      </w:r>
    </w:p>
    <w:p>
      <w:r>
        <w:t>28. Participant checking: Yes — thematic summaries confirmed accurate by three participants.</w:t>
      </w:r>
    </w:p>
    <w:p>
      <w:r>
        <w:t>29. Quotations presented: Verbatim quotations in Indonesian/Sundanese with English translation; participant codes (R, C, D, P) provided.</w:t>
      </w:r>
    </w:p>
    <w:p>
      <w:r>
        <w:t>30. Data and findings consistent: Themes directly supported by extracts shown in Results.</w:t>
      </w:r>
    </w:p>
    <w:p>
      <w:r>
        <w:t>31. Clarity of major themes: See Results, Part A–C; synthesis in Part D.</w:t>
      </w:r>
    </w:p>
    <w:p>
      <w:r>
        <w:t>32. Clarity of minor themes: Divergent views reported in Part D (Cross-Stakeholder Synthesis).</w:t>
      </w:r>
    </w:p>
    <w:p>
      <w:pPr>
        <w:pStyle w:val="Heading1"/>
      </w:pPr>
      <w:r>
        <w:t>Supplementary Material 2. Semi-Structured Interview Guide</w:t>
      </w:r>
    </w:p>
    <w:p>
      <w:r>
        <w:t>The interview guide below was administered in Bahasa Indonesia or Sundanese, according to participant preference. English translation shown.</w:t>
      </w:r>
    </w:p>
    <w:p>
      <w:pPr>
        <w:pStyle w:val="Heading2"/>
      </w:pPr>
      <w:r>
        <w:t>A. Older Adult Walker Users</w:t>
      </w:r>
    </w:p>
    <w:p>
      <w:pPr>
        <w:pStyle w:val="ListNumber"/>
      </w:pPr>
      <w:r>
        <w:t>1. Could you tell me about your experience using a walker in daily life?</w:t>
      </w:r>
    </w:p>
    <w:p>
      <w:pPr>
        <w:pStyle w:val="ListNumber"/>
      </w:pPr>
      <w:r>
        <w:t>2. In what situations does the walker help you most? In what situations is it difficult?</w:t>
      </w:r>
    </w:p>
    <w:p>
      <w:pPr>
        <w:pStyle w:val="ListNumber"/>
      </w:pPr>
      <w:r>
        <w:t>3. How do you feel emotionally about using the walker?</w:t>
      </w:r>
    </w:p>
    <w:p>
      <w:pPr>
        <w:pStyle w:val="ListNumber"/>
      </w:pPr>
      <w:r>
        <w:t>4. What features would you want in an improved walker?</w:t>
      </w:r>
    </w:p>
    <w:p>
      <w:pPr>
        <w:pStyle w:val="ListNumber"/>
      </w:pPr>
      <w:r>
        <w:t>5. What do you think about a walker that could warn you before a fall?</w:t>
      </w:r>
    </w:p>
    <w:p>
      <w:pPr>
        <w:pStyle w:val="ListNumber"/>
      </w:pPr>
      <w:r>
        <w:t>6. What price would you consider affordable?</w:t>
      </w:r>
    </w:p>
    <w:p>
      <w:pPr>
        <w:pStyle w:val="Heading2"/>
      </w:pPr>
      <w:r>
        <w:t>B. Caregivers</w:t>
      </w:r>
    </w:p>
    <w:p>
      <w:pPr>
        <w:pStyle w:val="ListNumber"/>
      </w:pPr>
      <w:r>
        <w:t>1. How has the walker affected the daily care you provide?</w:t>
      </w:r>
    </w:p>
    <w:p>
      <w:pPr>
        <w:pStyle w:val="ListNumber"/>
      </w:pPr>
      <w:r>
        <w:t>2. What training did you and the older adult receive?</w:t>
      </w:r>
    </w:p>
    <w:p>
      <w:pPr>
        <w:pStyle w:val="ListNumber"/>
      </w:pPr>
      <w:r>
        <w:t>3. What safety concerns do you still have?</w:t>
      </w:r>
    </w:p>
    <w:p>
      <w:pPr>
        <w:pStyle w:val="ListNumber"/>
      </w:pPr>
      <w:r>
        <w:t>4. What additional features would help your caregiving work?</w:t>
      </w:r>
    </w:p>
    <w:p>
      <w:pPr>
        <w:pStyle w:val="ListNumber"/>
      </w:pPr>
      <w:r>
        <w:t>5. What price point would be acceptable to families?</w:t>
      </w:r>
    </w:p>
    <w:p>
      <w:pPr>
        <w:pStyle w:val="Heading2"/>
      </w:pPr>
      <w:r>
        <w:t>C. Healthcare Professionals</w:t>
      </w:r>
    </w:p>
    <w:p>
      <w:pPr>
        <w:pStyle w:val="ListNumber"/>
      </w:pPr>
      <w:r>
        <w:t>1. In your clinical practice, what are the main indications for prescribing a walker?</w:t>
      </w:r>
    </w:p>
    <w:p>
      <w:pPr>
        <w:pStyle w:val="ListNumber"/>
      </w:pPr>
      <w:r>
        <w:t>2. What barriers do patients face in adopting walkers?</w:t>
      </w:r>
    </w:p>
    <w:p>
      <w:pPr>
        <w:pStyle w:val="ListNumber"/>
      </w:pPr>
      <w:r>
        <w:t>3. What role could sensor-based technology play in fall prevention?</w:t>
      </w:r>
    </w:p>
    <w:p>
      <w:pPr>
        <w:pStyle w:val="ListNumber"/>
      </w:pPr>
      <w:r>
        <w:t>4. How would a smart walker need to integrate with SOPs and BPJS coverage?</w:t>
      </w:r>
    </w:p>
    <w:p>
      <w:pPr>
        <w:pStyle w:val="ListNumber"/>
      </w:pPr>
      <w:r>
        <w:t>5. What training infrastructure would be needed?</w:t>
      </w:r>
    </w:p>
    <w:p>
      <w:pPr>
        <w:pStyle w:val="Heading1"/>
      </w:pPr>
      <w:r>
        <w:t>Supplementary Table S1. Coding Tree (Codes → Subthemes → Themes)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Stakeholder group</w:t>
            </w:r>
          </w:p>
        </w:tc>
        <w:tc>
          <w:tcPr>
            <w:tcW w:type="dxa" w:w="2160"/>
          </w:tcPr>
          <w:p>
            <w:r>
              <w:t>Illustrative codes</w:t>
            </w:r>
          </w:p>
        </w:tc>
        <w:tc>
          <w:tcPr>
            <w:tcW w:type="dxa" w:w="2160"/>
          </w:tcPr>
          <w:p>
            <w:r>
              <w:t>Subthemes</w:t>
            </w:r>
          </w:p>
        </w:tc>
        <w:tc>
          <w:tcPr>
            <w:tcW w:type="dxa" w:w="2160"/>
          </w:tcPr>
          <w:p>
            <w:r>
              <w:t>Final theme</w:t>
            </w:r>
          </w:p>
        </w:tc>
      </w:tr>
      <w:tr>
        <w:tc>
          <w:tcPr>
            <w:tcW w:type="dxa" w:w="2160"/>
          </w:tcPr>
          <w:p>
            <w:r>
              <w:t>Older adults</w:t>
            </w:r>
          </w:p>
        </w:tc>
        <w:tc>
          <w:tcPr>
            <w:tcW w:type="dxa" w:w="2160"/>
          </w:tcPr>
          <w:p>
            <w:r>
              <w:t>fear of falling; safety anchor; confidence</w:t>
            </w:r>
          </w:p>
        </w:tc>
        <w:tc>
          <w:tcPr>
            <w:tcW w:type="dxa" w:w="2160"/>
          </w:tcPr>
          <w:p>
            <w:r>
              <w:t>safety; confidence</w:t>
            </w:r>
          </w:p>
        </w:tc>
        <w:tc>
          <w:tcPr>
            <w:tcW w:type="dxa" w:w="2160"/>
          </w:tcPr>
          <w:p>
            <w:r>
              <w:t>Walker as safety anchor</w:t>
            </w:r>
          </w:p>
        </w:tc>
      </w:tr>
      <w:tr>
        <w:tc>
          <w:tcPr>
            <w:tcW w:type="dxa" w:w="2160"/>
          </w:tcPr>
          <w:p>
            <w:r>
              <w:t>Older adults</w:t>
            </w:r>
          </w:p>
        </w:tc>
        <w:tc>
          <w:tcPr>
            <w:tcW w:type="dxa" w:w="2160"/>
          </w:tcPr>
          <w:p>
            <w:r>
              <w:t>bathroom; tight space; jamban; narrow corridor</w:t>
            </w:r>
          </w:p>
        </w:tc>
        <w:tc>
          <w:tcPr>
            <w:tcW w:type="dxa" w:w="2160"/>
          </w:tcPr>
          <w:p>
            <w:r>
              <w:t>architectural constraints</w:t>
            </w:r>
          </w:p>
        </w:tc>
        <w:tc>
          <w:tcPr>
            <w:tcW w:type="dxa" w:w="2160"/>
          </w:tcPr>
          <w:p>
            <w:r>
              <w:t>Environmental and postural challenges</w:t>
            </w:r>
          </w:p>
        </w:tc>
      </w:tr>
      <w:tr>
        <w:tc>
          <w:tcPr>
            <w:tcW w:type="dxa" w:w="2160"/>
          </w:tcPr>
          <w:p>
            <w:r>
              <w:t>Older adults</w:t>
            </w:r>
          </w:p>
        </w:tc>
        <w:tc>
          <w:tcPr>
            <w:tcW w:type="dxa" w:w="2160"/>
          </w:tcPr>
          <w:p>
            <w:r>
              <w:t>alarm; durability; foldable; no wheels</w:t>
            </w:r>
          </w:p>
        </w:tc>
        <w:tc>
          <w:tcPr>
            <w:tcW w:type="dxa" w:w="2160"/>
          </w:tcPr>
          <w:p>
            <w:r>
              <w:t>design features</w:t>
            </w:r>
          </w:p>
        </w:tc>
        <w:tc>
          <w:tcPr>
            <w:tcW w:type="dxa" w:w="2160"/>
          </w:tcPr>
          <w:p>
            <w:r>
              <w:t>Desired design features</w:t>
            </w:r>
          </w:p>
        </w:tc>
      </w:tr>
      <w:tr>
        <w:tc>
          <w:tcPr>
            <w:tcW w:type="dxa" w:w="2160"/>
          </w:tcPr>
          <w:p>
            <w:r>
              <w:t>Caregivers</w:t>
            </w:r>
          </w:p>
        </w:tc>
        <w:tc>
          <w:tcPr>
            <w:tcW w:type="dxa" w:w="2160"/>
          </w:tcPr>
          <w:p>
            <w:r>
              <w:t>lifting; wheelchair replacement; less fatigue</w:t>
            </w:r>
          </w:p>
        </w:tc>
        <w:tc>
          <w:tcPr>
            <w:tcW w:type="dxa" w:w="2160"/>
          </w:tcPr>
          <w:p>
            <w:r>
              <w:t>physical burden</w:t>
            </w:r>
          </w:p>
        </w:tc>
        <w:tc>
          <w:tcPr>
            <w:tcW w:type="dxa" w:w="2160"/>
          </w:tcPr>
          <w:p>
            <w:r>
              <w:t>Reduced caregiver physical burden</w:t>
            </w:r>
          </w:p>
        </w:tc>
      </w:tr>
      <w:tr>
        <w:tc>
          <w:tcPr>
            <w:tcW w:type="dxa" w:w="2160"/>
          </w:tcPr>
          <w:p>
            <w:r>
              <w:t>Caregivers</w:t>
            </w:r>
          </w:p>
        </w:tc>
        <w:tc>
          <w:tcPr>
            <w:tcW w:type="dxa" w:w="2160"/>
          </w:tcPr>
          <w:p>
            <w:r>
              <w:t>sequencing; training; teaching</w:t>
            </w:r>
          </w:p>
        </w:tc>
        <w:tc>
          <w:tcPr>
            <w:tcW w:type="dxa" w:w="2160"/>
          </w:tcPr>
          <w:p>
            <w:r>
              <w:t>education</w:t>
            </w:r>
          </w:p>
        </w:tc>
        <w:tc>
          <w:tcPr>
            <w:tcW w:type="dxa" w:w="2160"/>
          </w:tcPr>
          <w:p>
            <w:r>
              <w:t>Critical role of education and training</w:t>
            </w:r>
          </w:p>
        </w:tc>
      </w:tr>
      <w:tr>
        <w:tc>
          <w:tcPr>
            <w:tcW w:type="dxa" w:w="2160"/>
          </w:tcPr>
          <w:p>
            <w:r>
              <w:t>Caregivers</w:t>
            </w:r>
          </w:p>
        </w:tc>
        <w:tc>
          <w:tcPr>
            <w:tcW w:type="dxa" w:w="2160"/>
          </w:tcPr>
          <w:p>
            <w:r>
              <w:t>camera; notification; affordability Rp 500,000</w:t>
            </w:r>
          </w:p>
        </w:tc>
        <w:tc>
          <w:tcPr>
            <w:tcW w:type="dxa" w:w="2160"/>
          </w:tcPr>
          <w:p>
            <w:r>
              <w:t>technology expectations</w:t>
            </w:r>
          </w:p>
        </w:tc>
        <w:tc>
          <w:tcPr>
            <w:tcW w:type="dxa" w:w="2160"/>
          </w:tcPr>
          <w:p>
            <w:r>
              <w:t>Expectations for technologically enhanced walkers</w:t>
            </w:r>
          </w:p>
        </w:tc>
      </w:tr>
      <w:tr>
        <w:tc>
          <w:tcPr>
            <w:tcW w:type="dxa" w:w="2160"/>
          </w:tcPr>
          <w:p>
            <w:r>
              <w:t>Healthcare professionals</w:t>
            </w:r>
          </w:p>
        </w:tc>
        <w:tc>
          <w:tcPr>
            <w:tcW w:type="dxa" w:w="2160"/>
          </w:tcPr>
          <w:p>
            <w:r>
              <w:t>BPJS; retiree; affordability</w:t>
            </w:r>
          </w:p>
        </w:tc>
        <w:tc>
          <w:tcPr>
            <w:tcW w:type="dxa" w:w="2160"/>
          </w:tcPr>
          <w:p>
            <w:r>
              <w:t>economic constraint</w:t>
            </w:r>
          </w:p>
        </w:tc>
        <w:tc>
          <w:tcPr>
            <w:tcW w:type="dxa" w:w="2160"/>
          </w:tcPr>
          <w:p>
            <w:r>
              <w:t>Affordability and BPJS insurance constraints</w:t>
            </w:r>
          </w:p>
        </w:tc>
      </w:tr>
      <w:tr>
        <w:tc>
          <w:tcPr>
            <w:tcW w:type="dxa" w:w="2160"/>
          </w:tcPr>
          <w:p>
            <w:r>
              <w:t>Healthcare professionals</w:t>
            </w:r>
          </w:p>
        </w:tc>
        <w:tc>
          <w:tcPr>
            <w:tcW w:type="dxa" w:w="2160"/>
          </w:tcPr>
          <w:p>
            <w:r>
              <w:t>SOP; algorithm; specialist referral</w:t>
            </w:r>
          </w:p>
        </w:tc>
        <w:tc>
          <w:tcPr>
            <w:tcW w:type="dxa" w:w="2160"/>
          </w:tcPr>
          <w:p>
            <w:r>
              <w:t>regulatory integration</w:t>
            </w:r>
          </w:p>
        </w:tc>
        <w:tc>
          <w:tcPr>
            <w:tcW w:type="dxa" w:w="2160"/>
          </w:tcPr>
          <w:p>
            <w:r>
              <w:t>Regulatory integration and training infrastructure</w:t>
            </w:r>
          </w:p>
        </w:tc>
      </w:tr>
      <w:tr>
        <w:tc>
          <w:tcPr>
            <w:tcW w:type="dxa" w:w="2160"/>
          </w:tcPr>
          <w:p>
            <w:r>
              <w:t>Healthcare professionals</w:t>
            </w:r>
          </w:p>
        </w:tc>
        <w:tc>
          <w:tcPr>
            <w:tcW w:type="dxa" w:w="2160"/>
          </w:tcPr>
          <w:p>
            <w:r>
              <w:t>passive sensing; no buttons; simplicity</w:t>
            </w:r>
          </w:p>
        </w:tc>
        <w:tc>
          <w:tcPr>
            <w:tcW w:type="dxa" w:w="2160"/>
          </w:tcPr>
          <w:p>
            <w:r>
              <w:t>simplicity</w:t>
            </w:r>
          </w:p>
        </w:tc>
        <w:tc>
          <w:tcPr>
            <w:tcW w:type="dxa" w:w="2160"/>
          </w:tcPr>
          <w:p>
            <w:r>
              <w:t>Sensor technology as early warning – with simplicity requirements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