
<file path=[Content_Types].xml><?xml version="1.0" encoding="utf-8"?>
<Types xmlns="http://schemas.openxmlformats.org/package/2006/content-types">
  <Default Extension="png" ContentType="image/png"/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D5416E">
      <w:pPr>
        <w:rPr>
          <w:rFonts w:hint="default" w:ascii="Times New Roman" w:hAnsi="Times New Roman" w:cs="Times New Roman"/>
          <w:b w:val="0"/>
          <w:bCs w:val="0"/>
          <w:sz w:val="21"/>
          <w:szCs w:val="21"/>
          <w:highlight w:val="none"/>
        </w:rPr>
      </w:pPr>
      <w:bookmarkStart w:id="0" w:name="_GoBack"/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eastAsia="zh-CN"/>
        </w:rPr>
        <w:t>Figure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</w:rPr>
        <w:t xml:space="preserve"> S1</w:t>
      </w:r>
      <w:r>
        <w:rPr>
          <w:rFonts w:hint="default" w:ascii="Times New Roman" w:hAnsi="Times New Roman" w:cs="Times New Roman"/>
          <w:b w:val="0"/>
          <w:bCs w:val="0"/>
          <w:sz w:val="21"/>
          <w:szCs w:val="21"/>
          <w:highlight w:val="none"/>
        </w:rPr>
        <w:t xml:space="preserve"> The flow chart.</w:t>
      </w:r>
    </w:p>
    <w:p w14:paraId="634FE25B">
      <w:pPr>
        <w:rPr>
          <w:rFonts w:hint="default" w:ascii="Times New Roman" w:hAnsi="Times New Roman" w:cs="Times New Roman"/>
          <w:sz w:val="21"/>
          <w:szCs w:val="21"/>
          <w:highlight w:val="none"/>
        </w:rPr>
      </w:pPr>
      <w:r>
        <w:rPr>
          <w:highlight w:val="none"/>
        </w:rPr>
        <w:drawing>
          <wp:inline distT="0" distB="0" distL="114300" distR="114300">
            <wp:extent cx="4077970" cy="2775585"/>
            <wp:effectExtent l="0" t="0" r="8255" b="571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77970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13F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/>
        <w:textAlignment w:val="auto"/>
        <w:rPr>
          <w:rFonts w:hint="default" w:ascii="Times New Roman" w:hAnsi="Times New Roman" w:cs="Times New Roman"/>
          <w:sz w:val="21"/>
          <w:szCs w:val="21"/>
          <w:highlight w:val="none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eastAsia="zh-CN"/>
        </w:rPr>
        <w:t>Figure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</w:rPr>
        <w:t xml:space="preserve"> S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2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</w:rPr>
        <w:t xml:space="preserve"> 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The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a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ssociation of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PNI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,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NRI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, and CONUT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s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cores with ICU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m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ortality in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s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epsis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>atients.</w:t>
      </w:r>
    </w:p>
    <w:p w14:paraId="273B2E1D">
      <w:pPr>
        <w:rPr>
          <w:rFonts w:hint="default" w:ascii="Times New Roman" w:hAnsi="Times New Roman" w:cs="Times New Roman"/>
          <w:sz w:val="21"/>
          <w:szCs w:val="21"/>
          <w:highlight w:val="none"/>
          <w:lang w:eastAsia="zh-CN"/>
        </w:rPr>
      </w:pPr>
      <w:r>
        <w:rPr>
          <w:rFonts w:hint="default" w:ascii="Times New Roman" w:hAnsi="Times New Roman" w:cs="Times New Roman" w:eastAsiaTheme="minorEastAsia"/>
          <w:sz w:val="21"/>
          <w:szCs w:val="21"/>
          <w:highlight w:val="none"/>
          <w:lang w:eastAsia="zh-CN"/>
        </w:rPr>
        <w:drawing>
          <wp:inline distT="0" distB="0" distL="114300" distR="114300">
            <wp:extent cx="6631305" cy="2005965"/>
            <wp:effectExtent l="0" t="0" r="7620" b="3810"/>
            <wp:docPr id="3" name="图片 3" descr="RCS曲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RCS曲线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31305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54D4B">
      <w:pPr>
        <w:rPr>
          <w:rFonts w:hint="default" w:ascii="Times New Roman" w:hAnsi="Times New Roman" w:cs="Times New Roman"/>
          <w:sz w:val="21"/>
          <w:szCs w:val="21"/>
          <w:highlight w:val="none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eastAsia="zh-CN"/>
        </w:rPr>
        <w:t>Figure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</w:rPr>
        <w:t xml:space="preserve"> S</w:t>
      </w: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3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 Cut-off values of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PNI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,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NRI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, and CONUT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s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cores with ICU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m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ortality in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s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 xml:space="preserve">epsis 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sz w:val="21"/>
          <w:szCs w:val="21"/>
          <w:highlight w:val="none"/>
        </w:rPr>
        <w:t>atients.</w:t>
      </w:r>
    </w:p>
    <w:p w14:paraId="6D5DF885">
      <w:pPr>
        <w:rPr>
          <w:rFonts w:hint="eastAsia" w:ascii="Times New Roman" w:hAnsi="Times New Roman" w:cs="Times New Roman" w:eastAsiaTheme="minorEastAsia"/>
          <w:sz w:val="21"/>
          <w:szCs w:val="21"/>
          <w:highlight w:val="none"/>
          <w:lang w:eastAsia="zh-CN"/>
        </w:rPr>
      </w:pPr>
      <w:r>
        <w:rPr>
          <w:rFonts w:hint="eastAsia" w:ascii="Times New Roman" w:hAnsi="Times New Roman" w:cs="Times New Roman" w:eastAsiaTheme="minorEastAsia"/>
          <w:sz w:val="21"/>
          <w:szCs w:val="21"/>
          <w:highlight w:val="none"/>
          <w:lang w:eastAsia="zh-CN"/>
        </w:rPr>
        <w:drawing>
          <wp:inline distT="0" distB="0" distL="114300" distR="114300">
            <wp:extent cx="6631305" cy="2273935"/>
            <wp:effectExtent l="0" t="0" r="7620" b="2540"/>
            <wp:docPr id="5" name="图片 5" descr="cuto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utof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31305" cy="227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F9EBA">
      <w:pP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</w:pPr>
    </w:p>
    <w:p w14:paraId="6E64145A">
      <w:pP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</w:pPr>
    </w:p>
    <w:p w14:paraId="67CAF123">
      <w:pP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</w:pPr>
    </w:p>
    <w:p w14:paraId="501E4A6E">
      <w:pP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</w:pPr>
    </w:p>
    <w:p w14:paraId="4883F57A">
      <w:pP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</w:pPr>
    </w:p>
    <w:p w14:paraId="429EB29E">
      <w:pP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</w:pPr>
    </w:p>
    <w:p w14:paraId="5A826970">
      <w:pP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</w:pPr>
    </w:p>
    <w:p w14:paraId="30173592">
      <w:pP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</w:pPr>
    </w:p>
    <w:p w14:paraId="123F3771">
      <w:pP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Figure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 xml:space="preserve"> S</w:t>
      </w: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4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 xml:space="preserve"> Venn diagram of the number of patients with malnutrition diagnosed using different diagnostic criteria.</w:t>
      </w:r>
    </w:p>
    <w:p w14:paraId="7EB021F7">
      <w:pPr>
        <w:jc w:val="center"/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drawing>
          <wp:inline distT="0" distB="0" distL="114300" distR="114300">
            <wp:extent cx="2520315" cy="1994535"/>
            <wp:effectExtent l="0" t="0" r="3810" b="5715"/>
            <wp:docPr id="2" name="图片 2" descr="图片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A13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/>
        <w:textAlignment w:val="auto"/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Figure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 xml:space="preserve"> S</w:t>
      </w: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5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 xml:space="preserve"> The Kaplan-Meier curves of sepsis patients with malnutrition and no malnutrition based on </w:t>
      </w:r>
      <w: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  <w:t>mNUTRIC index.</w:t>
      </w:r>
    </w:p>
    <w:p w14:paraId="5C6D578B">
      <w:pPr>
        <w:rPr>
          <w:rFonts w:hint="eastAsia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640830" cy="1947545"/>
            <wp:effectExtent l="0" t="0" r="0" b="0"/>
            <wp:docPr id="7" name="图片 7" descr="KM-Mnutr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KM-Mnutric"/>
                    <pic:cNvPicPr>
                      <a:picLocks noChangeAspect="1"/>
                    </pic:cNvPicPr>
                  </pic:nvPicPr>
                  <pic:blipFill>
                    <a:blip r:embed="rId8"/>
                    <a:srcRect t="6863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7F2EB">
      <w:pP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  <w:t>Notes: A. total population; B. patients with septic shock; C. patients with sepsis without shock.</w:t>
      </w:r>
    </w:p>
    <w:p w14:paraId="7E719D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/>
        <w:textAlignment w:val="auto"/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Figure S6</w:t>
      </w:r>
      <w: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  <w:t xml:space="preserve"> The Kaplan-Meier curves of sepsis patients with malnutrition and no malnutrition based on PNI index.</w:t>
      </w:r>
    </w:p>
    <w:p w14:paraId="348EF4A4">
      <w:pP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  <w:drawing>
          <wp:inline distT="0" distB="0" distL="114300" distR="114300">
            <wp:extent cx="6640830" cy="1940560"/>
            <wp:effectExtent l="0" t="0" r="0" b="0"/>
            <wp:docPr id="8" name="图片 8" descr="KM-P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KM-PNI"/>
                    <pic:cNvPicPr>
                      <a:picLocks noChangeAspect="1"/>
                    </pic:cNvPicPr>
                  </pic:nvPicPr>
                  <pic:blipFill>
                    <a:blip r:embed="rId9"/>
                    <a:srcRect t="7197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194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68FFB">
      <w:pP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Notes: A. total population; B. patients with septic shock; C. patients with sepsis without shock.</w:t>
      </w:r>
    </w:p>
    <w:p w14:paraId="1F8957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/>
        <w:textAlignment w:val="auto"/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Figure S7</w:t>
      </w:r>
      <w: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  <w:t xml:space="preserve"> The Kaplan-Meier curves of sepsis patients with malnutrition and no malnutrition based on NRI index.</w:t>
      </w:r>
    </w:p>
    <w:p w14:paraId="47C22753">
      <w:pP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  <w:drawing>
          <wp:inline distT="0" distB="0" distL="114300" distR="114300">
            <wp:extent cx="6645275" cy="1972310"/>
            <wp:effectExtent l="0" t="0" r="0" b="0"/>
            <wp:docPr id="9" name="图片 9" descr="NRI-K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NRI-KM"/>
                    <pic:cNvPicPr>
                      <a:picLocks noChangeAspect="1"/>
                    </pic:cNvPicPr>
                  </pic:nvPicPr>
                  <pic:blipFill>
                    <a:blip r:embed="rId10"/>
                    <a:srcRect t="5964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FA88D">
      <w:pP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Notes: A. total population; B. patients with septic shock; C. patients with sepsis without shock.</w:t>
      </w:r>
    </w:p>
    <w:p w14:paraId="2B4F9B0B">
      <w:pP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Figure S8</w:t>
      </w:r>
      <w: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  <w:t xml:space="preserve"> The Kaplan-Meier curves of sepsis patients with malnutrition and no malnutrition based on CONUT index.</w:t>
      </w:r>
    </w:p>
    <w:p w14:paraId="41819EA9">
      <w:pP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sz w:val="21"/>
          <w:szCs w:val="21"/>
          <w:highlight w:val="none"/>
          <w:lang w:val="en-US" w:eastAsia="zh-CN"/>
        </w:rPr>
        <w:drawing>
          <wp:inline distT="0" distB="0" distL="114300" distR="114300">
            <wp:extent cx="6640830" cy="1939290"/>
            <wp:effectExtent l="0" t="0" r="0" b="0"/>
            <wp:docPr id="10" name="图片 10" descr="KM-CON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KM-CONUT"/>
                    <pic:cNvPicPr>
                      <a:picLocks noChangeAspect="1"/>
                    </pic:cNvPicPr>
                  </pic:nvPicPr>
                  <pic:blipFill>
                    <a:blip r:embed="rId11"/>
                    <a:srcRect t="7258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C1371">
      <w:pP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Notes: A. total population; B. patients with septic shock; C. patients with sepsis without shock.</w:t>
      </w:r>
    </w:p>
    <w:p w14:paraId="3B50D1F7">
      <w:pP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</w:p>
    <w:p w14:paraId="68E1E441">
      <w:pP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Figure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 xml:space="preserve"> S</w:t>
      </w: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lang w:val="en-US" w:eastAsia="zh-CN"/>
        </w:rPr>
        <w:t>9</w:t>
      </w: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t xml:space="preserve"> The coefficient bar plot of LASSO regression.</w:t>
      </w:r>
    </w:p>
    <w:p w14:paraId="4D51E3D8">
      <w:pPr>
        <w:jc w:val="center"/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drawing>
          <wp:inline distT="0" distB="0" distL="114300" distR="114300">
            <wp:extent cx="4067810" cy="2712085"/>
            <wp:effectExtent l="0" t="0" r="8890" b="2540"/>
            <wp:docPr id="11" name="图片 11" descr="图C_LASSO系数柱状图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C_LASSO系数柱状图_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67810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14E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20" w:lineRule="exact"/>
        <w:textAlignment w:val="auto"/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</w:pP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Notes:</w:t>
      </w:r>
      <w:r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 The x-axis displays LASSO coefficient values, with red bars denoting positive correlations and blue bars denoting negative ones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.</w:t>
      </w:r>
    </w:p>
    <w:p w14:paraId="0BE357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20" w:lineRule="exact"/>
        <w:textAlignment w:val="auto"/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</w:pPr>
      <w:r>
        <w:rPr>
          <w:rFonts w:hint="default" w:ascii="Times New Roman" w:hAnsi="Times New Roman" w:cs="Times New Roman"/>
          <w:i/>
          <w:iCs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ANC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: </w:t>
      </w:r>
      <w:r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Absolute Neutrophil Count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; </w:t>
      </w:r>
      <w:r>
        <w:rPr>
          <w:rFonts w:hint="default" w:ascii="Times New Roman" w:hAnsi="Times New Roman" w:cs="Times New Roman"/>
          <w:i/>
          <w:iCs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BUN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: </w:t>
      </w:r>
      <w:r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Blood Urea Nitrogen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; </w:t>
      </w:r>
      <w:r>
        <w:rPr>
          <w:rFonts w:hint="default" w:ascii="Times New Roman" w:hAnsi="Times New Roman" w:cs="Times New Roman"/>
          <w:i/>
          <w:iCs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Hb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: </w:t>
      </w:r>
      <w:r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Hemoglobin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; </w:t>
      </w:r>
      <w:r>
        <w:rPr>
          <w:rFonts w:hint="default" w:ascii="Times New Roman" w:hAnsi="Times New Roman" w:cs="Times New Roman"/>
          <w:i/>
          <w:iCs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Lac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: </w:t>
      </w:r>
      <w:r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Lactate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; </w:t>
      </w:r>
      <w:r>
        <w:rPr>
          <w:rFonts w:hint="default" w:ascii="Times New Roman" w:hAnsi="Times New Roman" w:cs="Times New Roman"/>
          <w:i/>
          <w:iCs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PA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: </w:t>
      </w:r>
      <w:r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Prealbumin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; </w:t>
      </w:r>
      <w:r>
        <w:rPr>
          <w:rFonts w:hint="default" w:ascii="Times New Roman" w:hAnsi="Times New Roman" w:cs="Times New Roman"/>
          <w:i/>
          <w:iCs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PCT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: </w:t>
      </w:r>
      <w:r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Procalcitonin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; </w:t>
      </w:r>
      <w:r>
        <w:rPr>
          <w:rFonts w:hint="default" w:ascii="Times New Roman" w:hAnsi="Times New Roman" w:cs="Times New Roman"/>
          <w:i/>
          <w:iCs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PLT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: </w:t>
      </w:r>
      <w:r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Platelet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; </w:t>
      </w:r>
      <w:r>
        <w:rPr>
          <w:rFonts w:hint="default" w:ascii="Times New Roman" w:hAnsi="Times New Roman" w:cs="Times New Roman"/>
          <w:i/>
          <w:iCs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TG</w:t>
      </w:r>
      <w:r>
        <w:rPr>
          <w:rFonts w:hint="eastAsia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 xml:space="preserve">: </w:t>
      </w:r>
      <w:r>
        <w:rPr>
          <w:rFonts w:hint="default" w:ascii="Times New Roman" w:hAnsi="Times New Roman" w:cs="Times New Roman"/>
          <w:color w:val="auto"/>
          <w:sz w:val="18"/>
          <w:szCs w:val="18"/>
          <w:highlight w:val="none"/>
          <w:shd w:val="clear" w:color="auto" w:fill="auto"/>
          <w:lang w:val="en-US" w:eastAsia="zh-CN"/>
        </w:rPr>
        <w:t>Triglyceride</w:t>
      </w:r>
    </w:p>
    <w:p w14:paraId="6DF5B4D6">
      <w:pP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</w:pPr>
    </w:p>
    <w:p w14:paraId="61ABDD88">
      <w:pPr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  <w:t>Figure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  <w:t xml:space="preserve"> S1</w:t>
      </w: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  <w:t>0</w:t>
      </w:r>
      <w:r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  <w:t xml:space="preserve"> ROC analysis of nutrition-related indicators for discriminating ICU mortality in patients with sepsis by excluding patients with short-term deaths</w:t>
      </w:r>
      <w:r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eastAsia="zh-CN"/>
        </w:rPr>
        <w:t>(</w:t>
      </w:r>
      <w:r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  <w:t>72 hours).</w:t>
      </w:r>
    </w:p>
    <w:p w14:paraId="6742BC12">
      <w:pPr>
        <w:jc w:val="center"/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  <w:drawing>
          <wp:inline distT="0" distB="0" distL="114300" distR="114300">
            <wp:extent cx="2714625" cy="2714625"/>
            <wp:effectExtent l="0" t="0" r="0" b="0"/>
            <wp:docPr id="14" name="图片 14" descr="ro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roc_H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6FE9A">
      <w:pP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</w:pPr>
    </w:p>
    <w:p w14:paraId="31D8D0C3">
      <w:pP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</w:pPr>
    </w:p>
    <w:p w14:paraId="1B79419F">
      <w:pP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</w:pPr>
    </w:p>
    <w:p w14:paraId="2BAC9264">
      <w:pPr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  <w:t>Figure</w:t>
      </w:r>
      <w:r>
        <w:rPr>
          <w:rFonts w:hint="default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  <w:t xml:space="preserve"> S1</w:t>
      </w: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  <w:t>1</w:t>
      </w:r>
      <w:r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  <w:t xml:space="preserve"> ROC analysis of nutrition-related indicators for discriminating ICU mortality in patients with sepsis.</w:t>
      </w:r>
    </w:p>
    <w:p w14:paraId="0CFA9E64">
      <w:pPr>
        <w:jc w:val="center"/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</w:pPr>
      <w:r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5427980" cy="2714625"/>
            <wp:effectExtent l="0" t="0" r="1270" b="0"/>
            <wp:docPr id="15" name="图片 15" descr="ROCtr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ROCtrain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2798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E84C9">
      <w:pPr>
        <w:jc w:val="left"/>
        <w:rPr>
          <w:rFonts w:hint="default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</w:pPr>
      <w:r>
        <w:rPr>
          <w:rFonts w:hint="default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  <w:t>Notes: A. train cohort</w:t>
      </w:r>
      <w:r>
        <w:rPr>
          <w:rFonts w:hint="eastAsia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  <w:t>;</w:t>
      </w:r>
      <w:r>
        <w:rPr>
          <w:rFonts w:hint="default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  <w:t xml:space="preserve"> B. test cohort. </w:t>
      </w:r>
    </w:p>
    <w:p w14:paraId="26B033E2">
      <w:pPr>
        <w:rPr>
          <w:rFonts w:hint="default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</w:pPr>
      <w:r>
        <w:rPr>
          <w:rFonts w:hint="default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  <w:br w:type="page"/>
      </w:r>
    </w:p>
    <w:p w14:paraId="6DFDC93E">
      <w:pPr>
        <w:jc w:val="left"/>
        <w:rPr>
          <w:rFonts w:hint="default" w:ascii="Times New Roman" w:hAnsi="Times New Roman" w:cs="Times New Roman"/>
          <w:sz w:val="18"/>
          <w:szCs w:val="18"/>
          <w:highlight w:val="none"/>
          <w:shd w:val="clear" w:color="auto" w:fill="auto"/>
          <w:lang w:val="en-US" w:eastAsia="zh-CN"/>
        </w:rPr>
      </w:pPr>
    </w:p>
    <w:p w14:paraId="11933874">
      <w:pPr>
        <w:jc w:val="left"/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1"/>
          <w:szCs w:val="21"/>
          <w:highlight w:val="none"/>
          <w:shd w:val="clear" w:color="auto" w:fill="auto"/>
          <w:lang w:val="en-US" w:eastAsia="zh-CN"/>
        </w:rPr>
        <w:t xml:space="preserve">Table S1 </w:t>
      </w:r>
      <w:r>
        <w:rPr>
          <w:rFonts w:hint="eastAsia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  <w:t>C</w:t>
      </w:r>
      <w:r>
        <w:rPr>
          <w:rFonts w:hint="default" w:ascii="Times New Roman" w:hAnsi="Times New Roman" w:cs="Times New Roman"/>
          <w:sz w:val="21"/>
          <w:szCs w:val="21"/>
          <w:highlight w:val="none"/>
          <w:shd w:val="clear" w:color="auto" w:fill="auto"/>
          <w:lang w:val="en-US" w:eastAsia="zh-CN"/>
        </w:rPr>
        <w:t>haracteristics of sepsis patients grouped by LPNI-derived nutritional status</w:t>
      </w:r>
    </w:p>
    <w:tbl>
      <w:tblPr>
        <w:tblStyle w:val="2"/>
        <w:tblW w:w="4549" w:type="pct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73"/>
        <w:gridCol w:w="1587"/>
        <w:gridCol w:w="2111"/>
        <w:gridCol w:w="1764"/>
        <w:gridCol w:w="587"/>
      </w:tblGrid>
      <w:tr w14:paraId="66CEEAD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tblHeader/>
        </w:trPr>
        <w:tc>
          <w:tcPr>
            <w:tcW w:w="1823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5931C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right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Variables</w:t>
            </w:r>
          </w:p>
        </w:tc>
        <w:tc>
          <w:tcPr>
            <w:tcW w:w="833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CFC6C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right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 xml:space="preserve">Total </w:t>
            </w:r>
          </w:p>
          <w:p w14:paraId="67B034C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right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(n = 1915)</w:t>
            </w:r>
          </w:p>
        </w:tc>
        <w:tc>
          <w:tcPr>
            <w:tcW w:w="1108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1E9710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right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No malnutrition</w:t>
            </w:r>
            <w:r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 xml:space="preserve"> </w:t>
            </w:r>
          </w:p>
          <w:p w14:paraId="18D38B67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right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(n = 1555)</w:t>
            </w:r>
          </w:p>
        </w:tc>
        <w:tc>
          <w:tcPr>
            <w:tcW w:w="926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4E404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right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Malnutrition</w:t>
            </w:r>
            <w:r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 xml:space="preserve"> </w:t>
            </w:r>
          </w:p>
          <w:p w14:paraId="774B4B0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right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(n = 360)</w:t>
            </w:r>
          </w:p>
        </w:tc>
        <w:tc>
          <w:tcPr>
            <w:tcW w:w="308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1D55D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right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/>
                <w:bCs/>
                <w:i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P</w:t>
            </w:r>
          </w:p>
        </w:tc>
      </w:tr>
      <w:tr w14:paraId="15A718A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tblHeader/>
        </w:trPr>
        <w:tc>
          <w:tcPr>
            <w:tcW w:w="1823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B10F0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833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2441A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1108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D767C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926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82627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308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28298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</w:tr>
      <w:tr w14:paraId="4E6F452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C306B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eastAsia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Age, years</w:t>
            </w:r>
          </w:p>
        </w:tc>
        <w:tc>
          <w:tcPr>
            <w:tcW w:w="833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46931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65.70 ± 16.44</w:t>
            </w:r>
          </w:p>
        </w:tc>
        <w:tc>
          <w:tcPr>
            <w:tcW w:w="1108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684CFC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65.87 ± 16.41</w:t>
            </w:r>
          </w:p>
        </w:tc>
        <w:tc>
          <w:tcPr>
            <w:tcW w:w="926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DAF0A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64.95 ± 16.59</w:t>
            </w:r>
          </w:p>
        </w:tc>
        <w:tc>
          <w:tcPr>
            <w:tcW w:w="308" w:type="pct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F967B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0.340</w:t>
            </w:r>
          </w:p>
        </w:tc>
      </w:tr>
      <w:tr w14:paraId="0F4F381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04E2B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eastAsia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 xml:space="preserve">Male sex, </w:t>
            </w:r>
            <w:r>
              <w:rPr>
                <w:rFonts w:hint="eastAsia" w:ascii="Times New Roman" w:hAnsi="Times New Roman" w:eastAsia="Times New Roman" w:cs="Times New Roman"/>
                <w:b w:val="0"/>
                <w:i/>
                <w:iCs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n</w:t>
            </w:r>
            <w:r>
              <w:rPr>
                <w:rFonts w:hint="eastAsia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D2689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1258 (65.69)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BAEF85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1029 (66.17)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9DB2E5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229 (63.61)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F7D2A1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0.356</w:t>
            </w:r>
          </w:p>
        </w:tc>
      </w:tr>
      <w:tr w14:paraId="50B61CD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82A73F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0" w:firstLineChars="0"/>
              <w:jc w:val="left"/>
              <w:textAlignment w:val="auto"/>
              <w:rPr>
                <w:rFonts w:hint="eastAsia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BMI, kg/m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vertAlign w:val="superscript"/>
                <w:lang w:val="en-US" w:eastAsia="zh-CN" w:bidi="ar"/>
              </w:rPr>
              <w:t>2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B93C7F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aps w:val="0"/>
                <w:color w:val="000000"/>
                <w:spacing w:val="0"/>
                <w:sz w:val="18"/>
                <w:szCs w:val="18"/>
                <w:highlight w:val="none"/>
                <w:shd w:val="clear" w:fill="FFFFFF"/>
              </w:rPr>
              <w:t>23.51 ± 4.12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405DCB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aps w:val="0"/>
                <w:color w:val="000000"/>
                <w:spacing w:val="0"/>
                <w:sz w:val="18"/>
                <w:szCs w:val="18"/>
                <w:highlight w:val="none"/>
                <w:shd w:val="clear" w:fill="FFFFFF"/>
              </w:rPr>
              <w:t>23.63 ± 4.18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CD374B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aps w:val="0"/>
                <w:color w:val="000000"/>
                <w:spacing w:val="0"/>
                <w:sz w:val="18"/>
                <w:szCs w:val="18"/>
                <w:highlight w:val="none"/>
                <w:shd w:val="clear" w:fill="FFFFFF"/>
              </w:rPr>
              <w:t>22.99 ± 3.83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4005F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0.009</w:t>
            </w:r>
          </w:p>
        </w:tc>
      </w:tr>
      <w:tr w14:paraId="5F6A704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98D44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Style w:val="6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 xml:space="preserve">Presumed site of infection causing sepsis, </w:t>
            </w:r>
            <w:r>
              <w:rPr>
                <w:rStyle w:val="7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>n</w:t>
            </w:r>
            <w:r>
              <w:rPr>
                <w:rStyle w:val="6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>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DB096F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9DED6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E8A2A0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56FE13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  <w:tr w14:paraId="3621479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AA01B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 xml:space="preserve">  Respiratory tract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8E4A9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1006 (52.53)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E5593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851 (54.73)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5DEE2F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155 (43.06)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83E7C3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</w:tr>
      <w:tr w14:paraId="075DC2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C313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 xml:space="preserve">  Intra-abdominal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C24947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530 (27.68)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09F17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391 (25.14)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720C6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139 (38.61)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AB186A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</w:tr>
      <w:tr w14:paraId="273DB2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83E9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 xml:space="preserve">  Urinary tract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820BC5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155 (8.09)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75B633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130 (8.36)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5DC7B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25 (6.94)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4CC24A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</w:tr>
      <w:tr w14:paraId="08E1BC5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EFD6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 xml:space="preserve">  Bloodstream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BC4B1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67 (3.50)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7ECB70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55 (3.54)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FE90A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12 (3.33)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0B9DC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</w:p>
        </w:tc>
      </w:tr>
      <w:tr w14:paraId="4D65EC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FFB7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 xml:space="preserve">  Skin and soft tissue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5BA9B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59 (3.08)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A2F91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47 (3.02)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57BA0A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12 (3.33)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D5869B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</w:tr>
      <w:tr w14:paraId="7026D9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B188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 xml:space="preserve">  Central nervous system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68FDE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53 (2.77)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79CD5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46 (2.96)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7677E1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7 (1.94)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9B51C7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</w:tr>
      <w:tr w14:paraId="2B0278F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CA76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 xml:space="preserve">  Other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EEFA4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45 (2.35)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F4E40A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35 (2.25)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DA7F6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10 (2.78)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4BFF3F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</w:tr>
      <w:tr w14:paraId="0EB63C4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990D3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 xml:space="preserve">Septic shock, </w:t>
            </w:r>
            <w:r>
              <w:rPr>
                <w:rFonts w:ascii="Times New Roman" w:hAnsi="Times New Roman" w:eastAsia="Times New Roman" w:cs="Times New Roman"/>
                <w:b w:val="0"/>
                <w:i/>
                <w:iCs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n</w:t>
            </w: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CCB01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1225 (63.97)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4E360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927 (59.61)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8416E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298 (82.78)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31BAA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  <w:tr w14:paraId="4333813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B421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APACHE II score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60180F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19.00 (14.00, 25.00)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FAF3CA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18.00 (13.00, 23.00)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FD155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23.00 (17.00, 30.00)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F5264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  <w:tr w14:paraId="56CF2FA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B85A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SOFA score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D2ED2B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7.00 (4.00, 10.00)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15B61B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7.00 (4.00, 9.00)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247E07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10.00 (7.00, 13.00)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C9C72C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  <w:tr w14:paraId="2497122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14726C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Style w:val="6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 xml:space="preserve">Comorbid conditions, </w:t>
            </w:r>
            <w:r>
              <w:rPr>
                <w:rStyle w:val="7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>n</w:t>
            </w:r>
            <w:r>
              <w:rPr>
                <w:rStyle w:val="6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>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D34840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137E97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11EAB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6F1C8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</w:p>
        </w:tc>
      </w:tr>
      <w:tr w14:paraId="7E8BA39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71994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360" w:firstLineChars="200"/>
              <w:jc w:val="left"/>
              <w:textAlignment w:val="auto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Hypertension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D10BCB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975 (50.91)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DF723C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801 (51.51)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91833A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174 (48.33)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01D07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0.277</w:t>
            </w:r>
          </w:p>
        </w:tc>
      </w:tr>
      <w:tr w14:paraId="7C87E3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B621A6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360" w:firstLineChars="200"/>
              <w:jc w:val="left"/>
              <w:textAlignment w:val="auto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Cerebrovascular disease, n(%)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F5E443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597 (31.17)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D349E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499 (32.09)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BBD0FC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98 (27.22)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3A010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0.072</w:t>
            </w:r>
          </w:p>
        </w:tc>
      </w:tr>
      <w:tr w14:paraId="26F78D3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C909A7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360" w:firstLineChars="200"/>
              <w:jc w:val="left"/>
              <w:textAlignment w:val="auto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Diabetes mellitus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F222E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547 (28.56)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067CD3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440 (28.30)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8EA50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107 (29.72)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E6016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0.589</w:t>
            </w:r>
          </w:p>
        </w:tc>
      </w:tr>
      <w:tr w14:paraId="0C3C4C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BEF9B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360" w:firstLineChars="200"/>
              <w:jc w:val="left"/>
              <w:textAlignment w:val="auto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Solid tumor, n(%)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AC46F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371 (19.37)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CB123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276 (17.75)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4525C2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95 (26.39)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284D11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  <w:tr w14:paraId="485E27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948705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360" w:firstLineChars="200"/>
              <w:jc w:val="left"/>
              <w:textAlignment w:val="auto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Chronic kidney disease, n(%)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17E71C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335 (17.49)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0FF870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234 (15.05)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2CA0EA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101 (28.06)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025B15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  <w:tr w14:paraId="294289B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6F3DD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360" w:firstLineChars="200"/>
              <w:jc w:val="left"/>
              <w:textAlignment w:val="auto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Coronary artery disease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FD8E27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334 (17.44)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08615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277 (17.81)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0B356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57 (15.83)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CD707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0.372</w:t>
            </w:r>
          </w:p>
        </w:tc>
      </w:tr>
      <w:tr w14:paraId="5528CC3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61E9B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360" w:firstLineChars="200"/>
              <w:jc w:val="left"/>
              <w:textAlignment w:val="auto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Chronic pulmonary disease, n(%)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F46D8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200 (10.44)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EEF97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168 (10.80)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93CD63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32 (8.89)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2B1D83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0.284</w:t>
            </w:r>
          </w:p>
        </w:tc>
      </w:tr>
      <w:tr w14:paraId="29642A1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8FDC4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360" w:firstLineChars="200"/>
              <w:jc w:val="left"/>
              <w:textAlignment w:val="auto"/>
              <w:rPr>
                <w:rStyle w:val="6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</w:pPr>
            <w:r>
              <w:rPr>
                <w:rFonts w:hint="default" w:ascii="Times New Roman" w:hAnsi="Times New Roman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CCI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 xml:space="preserve"> score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283BD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 (1, 3)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5E4233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 (0, 3)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0CFB5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 (1, 3)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D51FB3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  <w:tr w14:paraId="6F64337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E0C525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Style w:val="6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 xml:space="preserve">Mechanical ventilation, </w:t>
            </w:r>
            <w:r>
              <w:rPr>
                <w:rStyle w:val="7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>n</w:t>
            </w:r>
            <w:r>
              <w:rPr>
                <w:rStyle w:val="6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>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DD1297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1797 (93.84)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4D3A3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1452 (93.38)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614B4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345 (95.83)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46D0A01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0.081</w:t>
            </w:r>
          </w:p>
        </w:tc>
      </w:tr>
      <w:tr w14:paraId="704EF27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D1E48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0" w:firstLineChars="0"/>
              <w:jc w:val="left"/>
              <w:textAlignment w:val="auto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CRRT, n(%)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15386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465 (24.28)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8FB2D1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361 (23.22)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C943D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104 (28.89)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068062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0.024</w:t>
            </w:r>
          </w:p>
        </w:tc>
      </w:tr>
      <w:tr w14:paraId="5730A67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37241C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leftChars="0" w:right="0" w:rightChars="0" w:firstLine="0" w:firstLineChars="0"/>
              <w:jc w:val="left"/>
              <w:textAlignment w:val="auto"/>
              <w:rPr>
                <w:rFonts w:hint="default"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ECMO, n(%)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09B2EA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83 (4.33)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E495E0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64 (4.12)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580217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19 (5.28)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585CF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0.329</w:t>
            </w:r>
          </w:p>
        </w:tc>
      </w:tr>
      <w:tr w14:paraId="48A69D4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12D4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2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ICU length of stay, days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C9C0E1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9.07 (4.37, 16.74)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8B20A4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9.60 (4.74, 17.61)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5B77D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6.79 (3.12, 14.83)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1F639A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  <w:tr w14:paraId="71023A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ACE93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28-d ICU-free days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4D8D3A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15.</w:t>
            </w:r>
            <w:r>
              <w:rPr>
                <w:rFonts w:hint="eastAsia" w:ascii="Times New Roman" w:hAnsi="Times New Roman" w:eastAsia="宋体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00</w:t>
            </w: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 xml:space="preserve"> (0.00, 22.</w:t>
            </w:r>
            <w:r>
              <w:rPr>
                <w:rFonts w:hint="eastAsia" w:ascii="Times New Roman" w:hAnsi="Times New Roman" w:eastAsia="宋体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00</w:t>
            </w: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)</w:t>
            </w:r>
          </w:p>
        </w:tc>
        <w:tc>
          <w:tcPr>
            <w:tcW w:w="11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D2DD3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16.38 (0.00, 22.94)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0C92C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0.00 (0.00, 19.56)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6071C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  <w:tr w14:paraId="564FEE2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1823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0B0071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80" w:lineRule="exact"/>
              <w:ind w:left="0" w:right="0" w:firstLine="0" w:firstLineChars="0"/>
              <w:jc w:val="left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Style w:val="6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 xml:space="preserve">ICU mortality, </w:t>
            </w:r>
            <w:r>
              <w:rPr>
                <w:rStyle w:val="7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>n</w:t>
            </w:r>
            <w:r>
              <w:rPr>
                <w:rStyle w:val="6"/>
                <w:rFonts w:hint="default" w:ascii="Times New Roman" w:hAnsi="Times New Roman" w:eastAsia="宋体" w:cs="Times New Roman"/>
                <w:sz w:val="18"/>
                <w:szCs w:val="18"/>
                <w:highlight w:val="none"/>
                <w:lang w:val="en-US" w:eastAsia="zh-CN" w:bidi="ar"/>
              </w:rPr>
              <w:t>(%)</w:t>
            </w:r>
          </w:p>
        </w:tc>
        <w:tc>
          <w:tcPr>
            <w:tcW w:w="833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F05569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423 (22.09)</w:t>
            </w:r>
          </w:p>
        </w:tc>
        <w:tc>
          <w:tcPr>
            <w:tcW w:w="1108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E8F94E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243 (15.63)</w:t>
            </w:r>
          </w:p>
        </w:tc>
        <w:tc>
          <w:tcPr>
            <w:tcW w:w="926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273E88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leftChars="0" w:right="40" w:rightChars="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en-US" w:bidi="ar-SA"/>
              </w:rPr>
            </w:pPr>
            <w:r>
              <w:rPr>
                <w:rFonts w:ascii="Times New Roman" w:hAnsi="Times New Roman" w:eastAsia="Times New Roman" w:cs="Times New Roman"/>
                <w:b w:val="0"/>
                <w:i w:val="0"/>
                <w:color w:val="000000"/>
                <w:kern w:val="0"/>
                <w:sz w:val="18"/>
                <w:szCs w:val="18"/>
                <w:highlight w:val="none"/>
                <w:u w:val="none"/>
                <w:lang w:eastAsia="en-US"/>
              </w:rPr>
              <w:t>180 (50.00)</w:t>
            </w:r>
          </w:p>
        </w:tc>
        <w:tc>
          <w:tcPr>
            <w:tcW w:w="308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93722D">
            <w:pPr>
              <w:keepNext w:val="0"/>
              <w:keepLines w:val="0"/>
              <w:pageBreakBefore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0" w:after="40" w:line="280" w:lineRule="exact"/>
              <w:ind w:left="40" w:right="40" w:firstLine="0" w:firstLineChars="0"/>
              <w:jc w:val="center"/>
              <w:textAlignment w:val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&lt;</w:t>
            </w:r>
            <w:r>
              <w:rPr>
                <w:rFonts w:hint="eastAsia" w:ascii="Times New Roman" w:hAnsi="Times New Roman" w:eastAsia="宋体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/>
              </w:rPr>
              <w:t>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color w:val="auto"/>
                <w:kern w:val="0"/>
                <w:sz w:val="18"/>
                <w:szCs w:val="18"/>
                <w:highlight w:val="none"/>
                <w:u w:val="none"/>
                <w:lang w:eastAsia="en-US"/>
              </w:rPr>
              <w:t>.001</w:t>
            </w:r>
          </w:p>
        </w:tc>
      </w:tr>
    </w:tbl>
    <w:p w14:paraId="4390756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 w:ascii="Times New Roman" w:hAnsi="Times New Roman" w:cs="Times New Roman"/>
          <w:sz w:val="18"/>
          <w:szCs w:val="18"/>
          <w:highlight w:val="none"/>
        </w:rPr>
      </w:pPr>
      <w:r>
        <w:rPr>
          <w:rFonts w:hint="default" w:ascii="Times New Roman" w:hAnsi="Times New Roman" w:cs="Times New Roman"/>
          <w:b/>
          <w:bCs/>
          <w:sz w:val="18"/>
          <w:szCs w:val="18"/>
          <w:highlight w:val="none"/>
        </w:rPr>
        <w:t>Abbreviations: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 BMI, body mass index; APACHE II,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a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cute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hysiology and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c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hronic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h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ealth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e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valuation II; SOFA,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s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equential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o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rgan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f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ailure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a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ssessment; CCI,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c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harlson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c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 xml:space="preserve">omorbidity </w:t>
      </w:r>
      <w:r>
        <w:rPr>
          <w:rFonts w:hint="eastAsia" w:ascii="Times New Roman" w:hAnsi="Times New Roman" w:cs="Times New Roman"/>
          <w:sz w:val="18"/>
          <w:szCs w:val="18"/>
          <w:highlight w:val="none"/>
          <w:lang w:val="en-US" w:eastAsia="zh-CN"/>
        </w:rPr>
        <w:t>i</w:t>
      </w:r>
      <w:r>
        <w:rPr>
          <w:rFonts w:hint="default" w:ascii="Times New Roman" w:hAnsi="Times New Roman" w:cs="Times New Roman"/>
          <w:sz w:val="18"/>
          <w:szCs w:val="18"/>
          <w:highlight w:val="none"/>
        </w:rPr>
        <w:t>ndex; CRRT, continuous renal replacement therapy; ECMO, extracorporeal membrane oxygenation; ICU, intensive care unit.</w:t>
      </w:r>
    </w:p>
    <w:p w14:paraId="25190A36">
      <w:pPr>
        <w:widowControl/>
        <w:rPr>
          <w:rFonts w:hint="default" w:ascii="Times New Roman" w:hAnsi="Times New Roman" w:cs="Times New Roman"/>
          <w:sz w:val="21"/>
          <w:szCs w:val="21"/>
          <w:highlight w:val="none"/>
        </w:rPr>
      </w:pPr>
    </w:p>
    <w:p w14:paraId="0B286BD9">
      <w:pPr>
        <w:widowControl/>
        <w:rPr>
          <w:rFonts w:hint="default" w:ascii="Times New Roman" w:hAnsi="Times New Roman" w:cs="Times New Roman"/>
          <w:sz w:val="21"/>
          <w:szCs w:val="21"/>
          <w:highlight w:val="none"/>
        </w:rPr>
      </w:pPr>
    </w:p>
    <w:p w14:paraId="6BF1937A">
      <w:pPr>
        <w:widowControl/>
        <w:rPr>
          <w:rFonts w:hint="default" w:ascii="Times New Roman" w:hAnsi="Times New Roman" w:cs="Times New Roman"/>
          <w:sz w:val="21"/>
          <w:szCs w:val="21"/>
          <w:highlight w:val="none"/>
        </w:rPr>
      </w:pPr>
    </w:p>
    <w:p w14:paraId="1E0F2449">
      <w:pPr>
        <w:widowControl/>
        <w:rPr>
          <w:rFonts w:hint="default" w:ascii="Times New Roman" w:hAnsi="Times New Roman" w:cs="Times New Roman"/>
          <w:sz w:val="21"/>
          <w:szCs w:val="21"/>
          <w:highlight w:val="none"/>
        </w:rPr>
      </w:pPr>
    </w:p>
    <w:p w14:paraId="70A08A2C">
      <w:pPr>
        <w:jc w:val="left"/>
        <w:rPr>
          <w:rFonts w:hint="default" w:ascii="Times New Roman" w:hAnsi="Times New Roman" w:cs="Times New Roman"/>
          <w:sz w:val="21"/>
          <w:szCs w:val="21"/>
          <w:highlight w:val="none"/>
          <w:lang w:val="en-US" w:eastAsia="zh-CN"/>
        </w:rPr>
      </w:pPr>
    </w:p>
    <w:bookmarkEnd w:id="0"/>
    <w:sectPr>
      <w:pgSz w:w="11906" w:h="16838"/>
      <w:pgMar w:top="595" w:right="720" w:bottom="595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177346"/>
    <w:rsid w:val="05E27A84"/>
    <w:rsid w:val="09941D49"/>
    <w:rsid w:val="12A3140D"/>
    <w:rsid w:val="13F76DF0"/>
    <w:rsid w:val="140F61AB"/>
    <w:rsid w:val="17444112"/>
    <w:rsid w:val="1B777EC3"/>
    <w:rsid w:val="1BAC3867"/>
    <w:rsid w:val="1E7E1EBC"/>
    <w:rsid w:val="254479BB"/>
    <w:rsid w:val="257C56C2"/>
    <w:rsid w:val="26CD39E1"/>
    <w:rsid w:val="2B147A1E"/>
    <w:rsid w:val="2E3737E1"/>
    <w:rsid w:val="2ED97C0E"/>
    <w:rsid w:val="342866FA"/>
    <w:rsid w:val="34920B76"/>
    <w:rsid w:val="40B744A3"/>
    <w:rsid w:val="470843FA"/>
    <w:rsid w:val="48A650CF"/>
    <w:rsid w:val="49AF3207"/>
    <w:rsid w:val="4C6F3264"/>
    <w:rsid w:val="4CFF4044"/>
    <w:rsid w:val="51475F13"/>
    <w:rsid w:val="51EE14DB"/>
    <w:rsid w:val="55686DFC"/>
    <w:rsid w:val="5C8F5EA7"/>
    <w:rsid w:val="5CC31452"/>
    <w:rsid w:val="64FD6660"/>
    <w:rsid w:val="69BE4811"/>
    <w:rsid w:val="6A6839DF"/>
    <w:rsid w:val="6A802435"/>
    <w:rsid w:val="6E002106"/>
    <w:rsid w:val="6E3C725A"/>
    <w:rsid w:val="6F5E4BED"/>
    <w:rsid w:val="75752846"/>
    <w:rsid w:val="75F31DC5"/>
    <w:rsid w:val="785118A5"/>
    <w:rsid w:val="78E86305"/>
    <w:rsid w:val="79053844"/>
    <w:rsid w:val="79DB2574"/>
    <w:rsid w:val="7B3332AA"/>
    <w:rsid w:val="7BBA7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0000FF"/>
      <w:u w:val="single"/>
    </w:rPr>
  </w:style>
  <w:style w:type="character" w:customStyle="1" w:styleId="6">
    <w:name w:val="font21"/>
    <w:basedOn w:val="4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</w:rPr>
  </w:style>
  <w:style w:type="character" w:customStyle="1" w:styleId="7">
    <w:name w:val="font31"/>
    <w:basedOn w:val="4"/>
    <w:qFormat/>
    <w:uiPriority w:val="0"/>
    <w:rPr>
      <w:rFonts w:hint="default" w:ascii="Times New Roman" w:hAnsi="Times New Roman" w:cs="Times New Roman"/>
      <w:i/>
      <w:iCs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png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tiff"/><Relationship Id="rId13" Type="http://schemas.openxmlformats.org/officeDocument/2006/relationships/image" Target="media/image10.png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618</Words>
  <Characters>3400</Characters>
  <Lines>0</Lines>
  <Paragraphs>0</Paragraphs>
  <TotalTime>5</TotalTime>
  <ScaleCrop>false</ScaleCrop>
  <LinksUpToDate>false</LinksUpToDate>
  <CharactersWithSpaces>3877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2026-01-15T06:20:00Z</dcterms:created>
  <dc:creator>13908</dc:creator>
  <cp:lastModifiedBy>Guanjie</cp:lastModifiedBy>
  <dcterms:modified xsi:type="dcterms:W3CDTF">2026-05-01T15:14:11Z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KSOTemplateDocerSaveRecord">
    <vt:lpwstr>eyJoZGlkIjoiODFmYTczZDAyZGZmMzQzZTFjN2ZmMzRjOWNhMGQ2YmMiLCJ1c2VySWQiOiIyMzU5OTg4MzUifQ==</vt:lpwstr>
  </property>
  <property fmtid="{D5CDD505-2E9C-101B-9397-08002B2CF9AE}" pid="4" name="ICV">
    <vt:lpwstr>B9391D1874DF45F09AC0D2867DB97E26_13</vt:lpwstr>
  </property>
</Properties>
</file>