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7828" w14:textId="4152205F" w:rsidR="00527EB9" w:rsidRPr="00CB5679" w:rsidRDefault="00527EB9" w:rsidP="00527EB9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OLE_LINK105"/>
      <w:r>
        <w:rPr>
          <w:rFonts w:ascii="Times New Roman" w:hAnsi="Times New Roman" w:cs="Times New Roman" w:hint="eastAsia"/>
          <w:i/>
          <w:iCs/>
          <w:sz w:val="20"/>
          <w:szCs w:val="20"/>
        </w:rPr>
        <w:t>S</w:t>
      </w:r>
      <w:r w:rsidRPr="00FF5F90">
        <w:rPr>
          <w:rFonts w:ascii="Times New Roman" w:hAnsi="Times New Roman" w:cs="Times New Roman"/>
          <w:i/>
          <w:iCs/>
          <w:sz w:val="20"/>
          <w:szCs w:val="20"/>
        </w:rPr>
        <w:t xml:space="preserve">upplementary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T</w:t>
      </w:r>
      <w:r w:rsidRPr="00FF5F90">
        <w:rPr>
          <w:rFonts w:ascii="Times New Roman" w:hAnsi="Times New Roman" w:cs="Times New Roman"/>
          <w:i/>
          <w:iCs/>
          <w:sz w:val="20"/>
          <w:szCs w:val="20"/>
        </w:rPr>
        <w:t>able</w:t>
      </w:r>
      <w:bookmarkEnd w:id="0"/>
      <w:r w:rsidR="001B23F2">
        <w:rPr>
          <w:rFonts w:ascii="Times New Roman" w:hAnsi="Times New Roman" w:cs="Times New Roman" w:hint="eastAsia"/>
          <w:i/>
          <w:iCs/>
          <w:sz w:val="20"/>
          <w:szCs w:val="20"/>
        </w:rPr>
        <w:t>1</w:t>
      </w:r>
      <w:r w:rsidRPr="00CB5679">
        <w:rPr>
          <w:rFonts w:ascii="Times New Roman" w:hAnsi="Times New Roman" w:cs="Times New Roman"/>
          <w:i/>
          <w:iCs/>
          <w:sz w:val="20"/>
          <w:szCs w:val="20"/>
        </w:rPr>
        <w:t xml:space="preserve">. Algorithm for Modified </w:t>
      </w:r>
      <w:proofErr w:type="spellStart"/>
      <w:r w:rsidRPr="00CB5679">
        <w:rPr>
          <w:rFonts w:ascii="Times New Roman" w:hAnsi="Times New Roman" w:cs="Times New Roman"/>
          <w:i/>
          <w:iCs/>
          <w:sz w:val="20"/>
          <w:szCs w:val="20"/>
        </w:rPr>
        <w:t>Dachengqi</w:t>
      </w:r>
      <w:proofErr w:type="spellEnd"/>
      <w:r w:rsidRPr="00CB5679">
        <w:rPr>
          <w:rFonts w:ascii="Times New Roman" w:hAnsi="Times New Roman" w:cs="Times New Roman"/>
          <w:i/>
          <w:iCs/>
          <w:sz w:val="20"/>
          <w:szCs w:val="20"/>
        </w:rPr>
        <w:t xml:space="preserve"> Decoction Dosage Adjustments Based on Individual Patient Presentation</w:t>
      </w:r>
    </w:p>
    <w:tbl>
      <w:tblPr>
        <w:tblStyle w:val="af2"/>
        <w:tblW w:w="834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3190"/>
        <w:gridCol w:w="1961"/>
      </w:tblGrid>
      <w:tr w:rsidR="00527EB9" w:rsidRPr="00634C7F" w14:paraId="206852C4" w14:textId="77777777" w:rsidTr="00810948">
        <w:trPr>
          <w:trHeight w:val="108"/>
          <w:jc w:val="center"/>
        </w:trPr>
        <w:tc>
          <w:tcPr>
            <w:tcW w:w="31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885DA3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Clinical Presentation</w:t>
            </w:r>
          </w:p>
        </w:tc>
        <w:tc>
          <w:tcPr>
            <w:tcW w:w="31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7D1E84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Modification</w:t>
            </w:r>
          </w:p>
        </w:tc>
        <w:tc>
          <w:tcPr>
            <w:tcW w:w="196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0881CC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Dosage / Change</w:t>
            </w:r>
          </w:p>
        </w:tc>
      </w:tr>
      <w:tr w:rsidR="00527EB9" w:rsidRPr="00634C7F" w14:paraId="4EFFD76C" w14:textId="77777777" w:rsidTr="00810948">
        <w:trPr>
          <w:trHeight w:val="591"/>
          <w:jc w:val="center"/>
        </w:trPr>
        <w:tc>
          <w:tcPr>
            <w:tcW w:w="3193" w:type="dxa"/>
            <w:tcBorders>
              <w:top w:val="single" w:sz="8" w:space="0" w:color="auto"/>
            </w:tcBorders>
            <w:vAlign w:val="center"/>
          </w:tcPr>
          <w:p w14:paraId="5D3BF302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Qi deficiency (fatigue, weak pulse)</w:t>
            </w:r>
          </w:p>
        </w:tc>
        <w:tc>
          <w:tcPr>
            <w:tcW w:w="3190" w:type="dxa"/>
            <w:tcBorders>
              <w:top w:val="single" w:sz="8" w:space="0" w:color="auto"/>
            </w:tcBorders>
            <w:vAlign w:val="center"/>
          </w:tcPr>
          <w:p w14:paraId="5FE66A58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Add Astragali Radix (</w:t>
            </w:r>
            <w:proofErr w:type="spellStart"/>
            <w:r w:rsidRPr="006672EF">
              <w:rPr>
                <w:sz w:val="16"/>
                <w:szCs w:val="16"/>
              </w:rPr>
              <w:t>Huangqi</w:t>
            </w:r>
            <w:proofErr w:type="spellEnd"/>
            <w:r w:rsidRPr="006672EF">
              <w:rPr>
                <w:sz w:val="16"/>
                <w:szCs w:val="16"/>
              </w:rPr>
              <w:t>)</w:t>
            </w:r>
          </w:p>
        </w:tc>
        <w:tc>
          <w:tcPr>
            <w:tcW w:w="1961" w:type="dxa"/>
            <w:tcBorders>
              <w:top w:val="single" w:sz="8" w:space="0" w:color="auto"/>
            </w:tcBorders>
            <w:vAlign w:val="center"/>
          </w:tcPr>
          <w:p w14:paraId="258A8AE9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>20–30 g</w:t>
            </w:r>
          </w:p>
        </w:tc>
      </w:tr>
      <w:tr w:rsidR="00527EB9" w:rsidRPr="00634C7F" w14:paraId="0E3244C4" w14:textId="77777777" w:rsidTr="00810948">
        <w:trPr>
          <w:trHeight w:val="887"/>
          <w:jc w:val="center"/>
        </w:trPr>
        <w:tc>
          <w:tcPr>
            <w:tcW w:w="3193" w:type="dxa"/>
            <w:vAlign w:val="center"/>
          </w:tcPr>
          <w:p w14:paraId="47F82EB7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Blood stasis (dark tongue, fixed abdominal pain)</w:t>
            </w:r>
          </w:p>
        </w:tc>
        <w:tc>
          <w:tcPr>
            <w:tcW w:w="3190" w:type="dxa"/>
            <w:vAlign w:val="center"/>
          </w:tcPr>
          <w:p w14:paraId="1724EC36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 xml:space="preserve">Add </w:t>
            </w:r>
            <w:proofErr w:type="spellStart"/>
            <w:r w:rsidRPr="006672EF">
              <w:rPr>
                <w:sz w:val="16"/>
                <w:szCs w:val="16"/>
              </w:rPr>
              <w:t>Persicae</w:t>
            </w:r>
            <w:proofErr w:type="spellEnd"/>
            <w:r w:rsidRPr="006672EF">
              <w:rPr>
                <w:sz w:val="16"/>
                <w:szCs w:val="16"/>
              </w:rPr>
              <w:t xml:space="preserve"> Semen (</w:t>
            </w:r>
            <w:proofErr w:type="spellStart"/>
            <w:r w:rsidRPr="006672EF">
              <w:rPr>
                <w:sz w:val="16"/>
                <w:szCs w:val="16"/>
              </w:rPr>
              <w:t>Taoren</w:t>
            </w:r>
            <w:proofErr w:type="spellEnd"/>
            <w:r w:rsidRPr="006672EF">
              <w:rPr>
                <w:sz w:val="16"/>
                <w:szCs w:val="16"/>
              </w:rPr>
              <w:t xml:space="preserve">) + </w:t>
            </w:r>
            <w:proofErr w:type="spellStart"/>
            <w:r w:rsidRPr="006672EF">
              <w:rPr>
                <w:sz w:val="16"/>
                <w:szCs w:val="16"/>
              </w:rPr>
              <w:t>Carthami</w:t>
            </w:r>
            <w:proofErr w:type="spellEnd"/>
            <w:r w:rsidRPr="006672EF">
              <w:rPr>
                <w:sz w:val="16"/>
                <w:szCs w:val="16"/>
              </w:rPr>
              <w:t xml:space="preserve"> Flos (</w:t>
            </w:r>
            <w:proofErr w:type="spellStart"/>
            <w:r w:rsidRPr="006672EF">
              <w:rPr>
                <w:sz w:val="16"/>
                <w:szCs w:val="16"/>
              </w:rPr>
              <w:t>Honghua</w:t>
            </w:r>
            <w:proofErr w:type="spellEnd"/>
          </w:p>
        </w:tc>
        <w:tc>
          <w:tcPr>
            <w:tcW w:w="1961" w:type="dxa"/>
            <w:vAlign w:val="center"/>
          </w:tcPr>
          <w:p w14:paraId="7E86A343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>12 g each</w:t>
            </w:r>
          </w:p>
        </w:tc>
      </w:tr>
      <w:tr w:rsidR="00527EB9" w:rsidRPr="00634C7F" w14:paraId="12378B74" w14:textId="77777777" w:rsidTr="00810948">
        <w:trPr>
          <w:trHeight w:val="1481"/>
          <w:jc w:val="center"/>
        </w:trPr>
        <w:tc>
          <w:tcPr>
            <w:tcW w:w="3193" w:type="dxa"/>
            <w:vAlign w:val="center"/>
          </w:tcPr>
          <w:p w14:paraId="3984DDC2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Severe abdominal distension due to qi stagnation</w:t>
            </w:r>
          </w:p>
        </w:tc>
        <w:tc>
          <w:tcPr>
            <w:tcW w:w="3190" w:type="dxa"/>
            <w:vAlign w:val="center"/>
          </w:tcPr>
          <w:p w14:paraId="393C2B0D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 xml:space="preserve">Increase </w:t>
            </w:r>
            <w:proofErr w:type="spellStart"/>
            <w:r w:rsidRPr="00CB5679">
              <w:rPr>
                <w:sz w:val="16"/>
                <w:szCs w:val="16"/>
              </w:rPr>
              <w:t>Aurantii</w:t>
            </w:r>
            <w:proofErr w:type="spellEnd"/>
            <w:r w:rsidRPr="00CB5679">
              <w:rPr>
                <w:sz w:val="16"/>
                <w:szCs w:val="16"/>
              </w:rPr>
              <w:t xml:space="preserve"> Fructus </w:t>
            </w:r>
            <w:proofErr w:type="spellStart"/>
            <w:r w:rsidRPr="00CB5679">
              <w:rPr>
                <w:sz w:val="16"/>
                <w:szCs w:val="16"/>
              </w:rPr>
              <w:t>Immaturus</w:t>
            </w:r>
            <w:proofErr w:type="spellEnd"/>
            <w:r w:rsidRPr="00CB5679">
              <w:rPr>
                <w:sz w:val="16"/>
                <w:szCs w:val="16"/>
              </w:rPr>
              <w:t xml:space="preserve"> (</w:t>
            </w:r>
            <w:proofErr w:type="spellStart"/>
            <w:r w:rsidRPr="00CB5679">
              <w:rPr>
                <w:sz w:val="16"/>
                <w:szCs w:val="16"/>
              </w:rPr>
              <w:t>Zhishi</w:t>
            </w:r>
            <w:proofErr w:type="spellEnd"/>
            <w:r w:rsidRPr="00CB5679">
              <w:rPr>
                <w:sz w:val="16"/>
                <w:szCs w:val="16"/>
              </w:rPr>
              <w:t xml:space="preserve">) and </w:t>
            </w:r>
            <w:proofErr w:type="spellStart"/>
            <w:r w:rsidRPr="00CB5679">
              <w:rPr>
                <w:sz w:val="16"/>
                <w:szCs w:val="16"/>
              </w:rPr>
              <w:t>Magnoliae</w:t>
            </w:r>
            <w:proofErr w:type="spellEnd"/>
            <w:r w:rsidRPr="00CB5679">
              <w:rPr>
                <w:sz w:val="16"/>
                <w:szCs w:val="16"/>
              </w:rPr>
              <w:t xml:space="preserve"> Officinalis Cortex (</w:t>
            </w:r>
            <w:proofErr w:type="spellStart"/>
            <w:r w:rsidRPr="00CB5679">
              <w:rPr>
                <w:sz w:val="16"/>
                <w:szCs w:val="16"/>
              </w:rPr>
              <w:t>Houpo</w:t>
            </w:r>
            <w:proofErr w:type="spellEnd"/>
            <w:r w:rsidRPr="00CB5679">
              <w:rPr>
                <w:sz w:val="16"/>
                <w:szCs w:val="16"/>
              </w:rPr>
              <w:t>); or add stir</w:t>
            </w:r>
            <w:r w:rsidRPr="00CB5679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CB5679">
              <w:rPr>
                <w:sz w:val="16"/>
                <w:szCs w:val="16"/>
              </w:rPr>
              <w:t xml:space="preserve">fried </w:t>
            </w:r>
            <w:proofErr w:type="spellStart"/>
            <w:r w:rsidRPr="00CB5679">
              <w:rPr>
                <w:sz w:val="16"/>
                <w:szCs w:val="16"/>
              </w:rPr>
              <w:t>Raphani</w:t>
            </w:r>
            <w:proofErr w:type="spellEnd"/>
            <w:r w:rsidRPr="00CB5679">
              <w:rPr>
                <w:sz w:val="16"/>
                <w:szCs w:val="16"/>
              </w:rPr>
              <w:t xml:space="preserve"> Semen (</w:t>
            </w:r>
            <w:proofErr w:type="spellStart"/>
            <w:r w:rsidRPr="00CB5679">
              <w:rPr>
                <w:sz w:val="16"/>
                <w:szCs w:val="16"/>
              </w:rPr>
              <w:t>Laifuzi</w:t>
            </w:r>
            <w:proofErr w:type="spellEnd"/>
            <w:r w:rsidRPr="00CB5679">
              <w:rPr>
                <w:sz w:val="16"/>
                <w:szCs w:val="16"/>
              </w:rPr>
              <w:t>)</w:t>
            </w:r>
          </w:p>
        </w:tc>
        <w:tc>
          <w:tcPr>
            <w:tcW w:w="1961" w:type="dxa"/>
            <w:vAlign w:val="center"/>
          </w:tcPr>
          <w:p w14:paraId="544C67D0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>Increase by 3 g each; or add 15 g</w:t>
            </w:r>
          </w:p>
        </w:tc>
      </w:tr>
      <w:tr w:rsidR="00527EB9" w:rsidRPr="00634C7F" w14:paraId="0F05F7D1" w14:textId="77777777" w:rsidTr="00810948">
        <w:trPr>
          <w:trHeight w:val="887"/>
          <w:jc w:val="center"/>
        </w:trPr>
        <w:tc>
          <w:tcPr>
            <w:tcW w:w="3193" w:type="dxa"/>
            <w:vAlign w:val="center"/>
          </w:tcPr>
          <w:p w14:paraId="77EDA266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Severe constipation (no bowel movement for &gt;3 days, good tolerance)</w:t>
            </w:r>
          </w:p>
        </w:tc>
        <w:tc>
          <w:tcPr>
            <w:tcW w:w="3190" w:type="dxa"/>
            <w:vAlign w:val="center"/>
          </w:tcPr>
          <w:p w14:paraId="727C2B46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 xml:space="preserve">Increase </w:t>
            </w:r>
            <w:proofErr w:type="spellStart"/>
            <w:r w:rsidRPr="00CB5679">
              <w:rPr>
                <w:sz w:val="16"/>
                <w:szCs w:val="16"/>
              </w:rPr>
              <w:t>Rhei</w:t>
            </w:r>
            <w:proofErr w:type="spellEnd"/>
            <w:r w:rsidRPr="00CB5679">
              <w:rPr>
                <w:sz w:val="16"/>
                <w:szCs w:val="16"/>
              </w:rPr>
              <w:t xml:space="preserve"> Radix et </w:t>
            </w:r>
            <w:proofErr w:type="spellStart"/>
            <w:r w:rsidRPr="00CB5679">
              <w:rPr>
                <w:sz w:val="16"/>
                <w:szCs w:val="16"/>
              </w:rPr>
              <w:t>Rhizoma</w:t>
            </w:r>
            <w:proofErr w:type="spellEnd"/>
            <w:r w:rsidRPr="00CB5679">
              <w:rPr>
                <w:sz w:val="16"/>
                <w:szCs w:val="16"/>
              </w:rPr>
              <w:t xml:space="preserve"> (</w:t>
            </w:r>
            <w:proofErr w:type="spellStart"/>
            <w:r w:rsidRPr="00CB5679">
              <w:rPr>
                <w:sz w:val="16"/>
                <w:szCs w:val="16"/>
              </w:rPr>
              <w:t>Dahuang</w:t>
            </w:r>
            <w:proofErr w:type="spellEnd"/>
            <w:r w:rsidRPr="00CB5679">
              <w:rPr>
                <w:sz w:val="16"/>
                <w:szCs w:val="16"/>
              </w:rPr>
              <w:t xml:space="preserve">) and </w:t>
            </w:r>
            <w:proofErr w:type="spellStart"/>
            <w:r w:rsidRPr="00CB5679">
              <w:rPr>
                <w:sz w:val="16"/>
                <w:szCs w:val="16"/>
              </w:rPr>
              <w:t>Natrii</w:t>
            </w:r>
            <w:proofErr w:type="spellEnd"/>
            <w:r w:rsidRPr="00CB5679">
              <w:rPr>
                <w:sz w:val="16"/>
                <w:szCs w:val="16"/>
              </w:rPr>
              <w:t xml:space="preserve"> Sulfas (</w:t>
            </w:r>
            <w:proofErr w:type="spellStart"/>
            <w:r w:rsidRPr="00CB5679">
              <w:rPr>
                <w:sz w:val="16"/>
                <w:szCs w:val="16"/>
              </w:rPr>
              <w:t>Mangxiao</w:t>
            </w:r>
            <w:proofErr w:type="spellEnd"/>
            <w:r w:rsidRPr="00CB5679">
              <w:rPr>
                <w:sz w:val="16"/>
                <w:szCs w:val="16"/>
              </w:rPr>
              <w:t>)</w:t>
            </w:r>
          </w:p>
        </w:tc>
        <w:tc>
          <w:tcPr>
            <w:tcW w:w="1961" w:type="dxa"/>
            <w:vAlign w:val="center"/>
          </w:tcPr>
          <w:p w14:paraId="2094FEF6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>Increase by 3 g each</w:t>
            </w:r>
          </w:p>
        </w:tc>
      </w:tr>
      <w:tr w:rsidR="00527EB9" w:rsidRPr="00634C7F" w14:paraId="28FEA759" w14:textId="77777777" w:rsidTr="00810948">
        <w:trPr>
          <w:trHeight w:val="1776"/>
          <w:jc w:val="center"/>
        </w:trPr>
        <w:tc>
          <w:tcPr>
            <w:tcW w:w="3193" w:type="dxa"/>
            <w:vAlign w:val="center"/>
          </w:tcPr>
          <w:p w14:paraId="7300B53C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Diarrhea or excessively frequent bowel movements</w:t>
            </w:r>
          </w:p>
        </w:tc>
        <w:tc>
          <w:tcPr>
            <w:tcW w:w="3190" w:type="dxa"/>
            <w:vAlign w:val="center"/>
          </w:tcPr>
          <w:p w14:paraId="7D35B45B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 xml:space="preserve">Reduce </w:t>
            </w:r>
            <w:proofErr w:type="spellStart"/>
            <w:r w:rsidRPr="00CB5679">
              <w:rPr>
                <w:sz w:val="16"/>
                <w:szCs w:val="16"/>
              </w:rPr>
              <w:t>Rhei</w:t>
            </w:r>
            <w:proofErr w:type="spellEnd"/>
            <w:r w:rsidRPr="00CB5679">
              <w:rPr>
                <w:sz w:val="16"/>
                <w:szCs w:val="16"/>
              </w:rPr>
              <w:t xml:space="preserve"> Radix et </w:t>
            </w:r>
            <w:proofErr w:type="spellStart"/>
            <w:r w:rsidRPr="00CB5679">
              <w:rPr>
                <w:sz w:val="16"/>
                <w:szCs w:val="16"/>
              </w:rPr>
              <w:t>Rhizoma</w:t>
            </w:r>
            <w:proofErr w:type="spellEnd"/>
            <w:r w:rsidRPr="00CB5679">
              <w:rPr>
                <w:sz w:val="16"/>
                <w:szCs w:val="16"/>
              </w:rPr>
              <w:t xml:space="preserve"> (</w:t>
            </w:r>
            <w:proofErr w:type="spellStart"/>
            <w:r w:rsidRPr="00CB5679">
              <w:rPr>
                <w:sz w:val="16"/>
                <w:szCs w:val="16"/>
              </w:rPr>
              <w:t>Dahuang</w:t>
            </w:r>
            <w:proofErr w:type="spellEnd"/>
            <w:r w:rsidRPr="00CB5679">
              <w:rPr>
                <w:sz w:val="16"/>
                <w:szCs w:val="16"/>
              </w:rPr>
              <w:t xml:space="preserve">) and </w:t>
            </w:r>
            <w:proofErr w:type="spellStart"/>
            <w:r w:rsidRPr="00CB5679">
              <w:rPr>
                <w:sz w:val="16"/>
                <w:szCs w:val="16"/>
              </w:rPr>
              <w:t>Natrii</w:t>
            </w:r>
            <w:proofErr w:type="spellEnd"/>
            <w:r w:rsidRPr="00CB5679">
              <w:rPr>
                <w:sz w:val="16"/>
                <w:szCs w:val="16"/>
              </w:rPr>
              <w:t xml:space="preserve"> Sulfas (</w:t>
            </w:r>
            <w:proofErr w:type="spellStart"/>
            <w:r w:rsidRPr="00CB5679">
              <w:rPr>
                <w:sz w:val="16"/>
                <w:szCs w:val="16"/>
              </w:rPr>
              <w:t>Mangxiao</w:t>
            </w:r>
            <w:proofErr w:type="spellEnd"/>
            <w:r w:rsidRPr="00CB5679">
              <w:rPr>
                <w:sz w:val="16"/>
                <w:szCs w:val="16"/>
              </w:rPr>
              <w:t>); change decoction method from "added later" to "decocted together"</w:t>
            </w:r>
          </w:p>
        </w:tc>
        <w:tc>
          <w:tcPr>
            <w:tcW w:w="1961" w:type="dxa"/>
            <w:vAlign w:val="center"/>
          </w:tcPr>
          <w:p w14:paraId="1055071D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>Reduce to 9 g each; modify preparation</w:t>
            </w:r>
          </w:p>
        </w:tc>
      </w:tr>
      <w:tr w:rsidR="00527EB9" w:rsidRPr="00634C7F" w14:paraId="55C73396" w14:textId="77777777" w:rsidTr="00810948">
        <w:trPr>
          <w:trHeight w:val="381"/>
          <w:jc w:val="center"/>
        </w:trPr>
        <w:tc>
          <w:tcPr>
            <w:tcW w:w="3193" w:type="dxa"/>
            <w:tcBorders>
              <w:bottom w:val="single" w:sz="8" w:space="0" w:color="auto"/>
            </w:tcBorders>
            <w:vAlign w:val="center"/>
          </w:tcPr>
          <w:p w14:paraId="4C66C391" w14:textId="77777777" w:rsidR="00527EB9" w:rsidRPr="00634C7F" w:rsidRDefault="00527EB9" w:rsidP="00810948">
            <w:pPr>
              <w:jc w:val="left"/>
              <w:rPr>
                <w:sz w:val="16"/>
                <w:szCs w:val="16"/>
              </w:rPr>
            </w:pPr>
            <w:r w:rsidRPr="006672EF">
              <w:rPr>
                <w:sz w:val="16"/>
                <w:szCs w:val="16"/>
              </w:rPr>
              <w:t>Bowel movements become smooth</w:t>
            </w:r>
          </w:p>
        </w:tc>
        <w:tc>
          <w:tcPr>
            <w:tcW w:w="3190" w:type="dxa"/>
            <w:tcBorders>
              <w:bottom w:val="single" w:sz="8" w:space="0" w:color="auto"/>
            </w:tcBorders>
            <w:vAlign w:val="center"/>
          </w:tcPr>
          <w:p w14:paraId="1D698165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 xml:space="preserve">Omit </w:t>
            </w:r>
            <w:proofErr w:type="spellStart"/>
            <w:r w:rsidRPr="00CB5679">
              <w:rPr>
                <w:sz w:val="16"/>
                <w:szCs w:val="16"/>
              </w:rPr>
              <w:t>Natrii</w:t>
            </w:r>
            <w:proofErr w:type="spellEnd"/>
            <w:r w:rsidRPr="00CB5679">
              <w:rPr>
                <w:sz w:val="16"/>
                <w:szCs w:val="16"/>
              </w:rPr>
              <w:t xml:space="preserve"> Sulfas (</w:t>
            </w:r>
            <w:proofErr w:type="spellStart"/>
            <w:r w:rsidRPr="00CB5679">
              <w:rPr>
                <w:sz w:val="16"/>
                <w:szCs w:val="16"/>
              </w:rPr>
              <w:t>Mangxiao</w:t>
            </w:r>
            <w:proofErr w:type="spellEnd"/>
            <w:r w:rsidRPr="00CB5679">
              <w:rPr>
                <w:sz w:val="16"/>
                <w:szCs w:val="16"/>
              </w:rPr>
              <w:t>)</w:t>
            </w:r>
          </w:p>
        </w:tc>
        <w:tc>
          <w:tcPr>
            <w:tcW w:w="1961" w:type="dxa"/>
            <w:tcBorders>
              <w:bottom w:val="single" w:sz="8" w:space="0" w:color="auto"/>
            </w:tcBorders>
            <w:vAlign w:val="center"/>
          </w:tcPr>
          <w:p w14:paraId="7395D2DC" w14:textId="77777777" w:rsidR="00527EB9" w:rsidRPr="00634C7F" w:rsidRDefault="00527EB9" w:rsidP="00810948">
            <w:pPr>
              <w:widowControl/>
              <w:jc w:val="left"/>
              <w:textAlignment w:val="center"/>
              <w:rPr>
                <w:sz w:val="16"/>
                <w:szCs w:val="16"/>
              </w:rPr>
            </w:pPr>
            <w:r w:rsidRPr="00CB5679">
              <w:rPr>
                <w:sz w:val="16"/>
                <w:szCs w:val="16"/>
              </w:rPr>
              <w:t>Remove from formula</w:t>
            </w:r>
          </w:p>
        </w:tc>
      </w:tr>
    </w:tbl>
    <w:p w14:paraId="5BF861F7" w14:textId="53BBEA53" w:rsidR="00527EB9" w:rsidRPr="00CB5679" w:rsidRDefault="00527EB9" w:rsidP="00527EB9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Note: The base formula comprises </w:t>
      </w:r>
      <w:proofErr w:type="spellStart"/>
      <w:r w:rsidRPr="00CB5679">
        <w:rPr>
          <w:rFonts w:ascii="Times New Roman" w:hAnsi="Times New Roman" w:cs="Times New Roman"/>
          <w:i/>
          <w:iCs/>
          <w:sz w:val="21"/>
          <w:szCs w:val="21"/>
        </w:rPr>
        <w:t>Rhei</w:t>
      </w:r>
      <w:proofErr w:type="spellEnd"/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 Radix et </w:t>
      </w:r>
      <w:proofErr w:type="spellStart"/>
      <w:r w:rsidRPr="00CB5679">
        <w:rPr>
          <w:rFonts w:ascii="Times New Roman" w:hAnsi="Times New Roman" w:cs="Times New Roman"/>
          <w:i/>
          <w:iCs/>
          <w:sz w:val="21"/>
          <w:szCs w:val="21"/>
        </w:rPr>
        <w:t>Rhizoma</w:t>
      </w:r>
      <w:proofErr w:type="spellEnd"/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 (15 g), </w:t>
      </w:r>
      <w:proofErr w:type="spellStart"/>
      <w:r w:rsidRPr="00CB5679">
        <w:rPr>
          <w:rFonts w:ascii="Times New Roman" w:hAnsi="Times New Roman" w:cs="Times New Roman"/>
          <w:i/>
          <w:iCs/>
          <w:sz w:val="21"/>
          <w:szCs w:val="21"/>
        </w:rPr>
        <w:t>Magnoliae</w:t>
      </w:r>
      <w:proofErr w:type="spellEnd"/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 Officinalis Cortex (15 g), </w:t>
      </w:r>
      <w:proofErr w:type="spellStart"/>
      <w:r w:rsidRPr="00CB5679">
        <w:rPr>
          <w:rFonts w:ascii="Times New Roman" w:hAnsi="Times New Roman" w:cs="Times New Roman"/>
          <w:i/>
          <w:iCs/>
          <w:sz w:val="21"/>
          <w:szCs w:val="21"/>
        </w:rPr>
        <w:t>Aurantii</w:t>
      </w:r>
      <w:proofErr w:type="spellEnd"/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 Fructus </w:t>
      </w:r>
      <w:proofErr w:type="spellStart"/>
      <w:r w:rsidRPr="00CB5679">
        <w:rPr>
          <w:rFonts w:ascii="Times New Roman" w:hAnsi="Times New Roman" w:cs="Times New Roman"/>
          <w:i/>
          <w:iCs/>
          <w:sz w:val="21"/>
          <w:szCs w:val="21"/>
        </w:rPr>
        <w:t>Immaturus</w:t>
      </w:r>
      <w:proofErr w:type="spellEnd"/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 (12 g), and </w:t>
      </w:r>
      <w:proofErr w:type="spellStart"/>
      <w:r w:rsidRPr="00CB5679">
        <w:rPr>
          <w:rFonts w:ascii="Times New Roman" w:hAnsi="Times New Roman" w:cs="Times New Roman"/>
          <w:i/>
          <w:iCs/>
          <w:sz w:val="21"/>
          <w:szCs w:val="21"/>
        </w:rPr>
        <w:t>Natrii</w:t>
      </w:r>
      <w:proofErr w:type="spellEnd"/>
      <w:r w:rsidRPr="00CB5679">
        <w:rPr>
          <w:rFonts w:ascii="Times New Roman" w:hAnsi="Times New Roman" w:cs="Times New Roman"/>
          <w:i/>
          <w:iCs/>
          <w:sz w:val="21"/>
          <w:szCs w:val="21"/>
        </w:rPr>
        <w:t xml:space="preserve"> Sulfas (12 g). Modifications are made according to the algorithm above</w:t>
      </w:r>
      <w:r>
        <w:rPr>
          <w:rFonts w:ascii="Times New Roman" w:hAnsi="Times New Roman" w:cs="Times New Roman" w:hint="eastAsia"/>
          <w:i/>
          <w:iCs/>
          <w:sz w:val="21"/>
          <w:szCs w:val="21"/>
        </w:rPr>
        <w:t>.</w:t>
      </w:r>
      <w:r w:rsidRPr="00527EB9">
        <w:rPr>
          <w:rFonts w:ascii="Times New Roman" w:hAnsi="Times New Roman" w:cs="Times New Roman"/>
          <w:i/>
          <w:iCs/>
          <w:sz w:val="21"/>
          <w:szCs w:val="21"/>
        </w:rPr>
        <w:t xml:space="preserve"> All herbs were decocted and administered as described in section 2.2.2.</w:t>
      </w:r>
    </w:p>
    <w:p w14:paraId="4841ECF2" w14:textId="77777777" w:rsidR="00F27EA3" w:rsidRDefault="00F27EA3">
      <w:pPr>
        <w:rPr>
          <w:rFonts w:hint="eastAsia"/>
        </w:rPr>
      </w:pPr>
    </w:p>
    <w:sectPr w:rsidR="00F2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379F" w14:textId="77777777" w:rsidR="00B563E0" w:rsidRDefault="00B563E0" w:rsidP="00527EB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4F3228C" w14:textId="77777777" w:rsidR="00B563E0" w:rsidRDefault="00B563E0" w:rsidP="00527EB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EF283" w14:textId="77777777" w:rsidR="00B563E0" w:rsidRDefault="00B563E0" w:rsidP="00527E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E1DBE6E" w14:textId="77777777" w:rsidR="00B563E0" w:rsidRDefault="00B563E0" w:rsidP="00527E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E2"/>
    <w:rsid w:val="001B23F2"/>
    <w:rsid w:val="002B41E2"/>
    <w:rsid w:val="00527EB9"/>
    <w:rsid w:val="00745521"/>
    <w:rsid w:val="007A71A2"/>
    <w:rsid w:val="00893A0F"/>
    <w:rsid w:val="00B563E0"/>
    <w:rsid w:val="00DC122B"/>
    <w:rsid w:val="00E34B76"/>
    <w:rsid w:val="00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C0F09"/>
  <w15:chartTrackingRefBased/>
  <w15:docId w15:val="{EA34F38A-E0CE-43C1-ABDB-EF227E84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EB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1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1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1E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1E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1E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1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1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1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1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1E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1E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1E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1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1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1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1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1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1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1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1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41E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7E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7E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7E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7EB9"/>
    <w:rPr>
      <w:sz w:val="18"/>
      <w:szCs w:val="18"/>
    </w:rPr>
  </w:style>
  <w:style w:type="table" w:styleId="af2">
    <w:name w:val="Table Grid"/>
    <w:basedOn w:val="a1"/>
    <w:qFormat/>
    <w:rsid w:val="00527EB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1138</Characters>
  <Application>Microsoft Office Word</Application>
  <DocSecurity>0</DocSecurity>
  <Lines>39</Lines>
  <Paragraphs>26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zhangkunpengxajt@163.com</dc:creator>
  <cp:keywords/>
  <dc:description/>
  <cp:lastModifiedBy>zhangkunpengxajt@163.com</cp:lastModifiedBy>
  <cp:revision>3</cp:revision>
  <dcterms:created xsi:type="dcterms:W3CDTF">2026-05-09T09:18:00Z</dcterms:created>
  <dcterms:modified xsi:type="dcterms:W3CDTF">2026-05-11T06:02:00Z</dcterms:modified>
</cp:coreProperties>
</file>