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EFDC" w14:textId="77777777" w:rsidR="00604231" w:rsidRDefault="00604231" w:rsidP="00604231">
      <w:pPr>
        <w:spacing w:line="360" w:lineRule="auto"/>
        <w:rPr>
          <w:rFonts w:cs="Arial"/>
          <w:szCs w:val="20"/>
        </w:rPr>
      </w:pPr>
      <w:r w:rsidRPr="00400B84">
        <w:rPr>
          <w:rFonts w:cs="Arial"/>
          <w:b/>
          <w:bCs/>
          <w:szCs w:val="20"/>
        </w:rPr>
        <w:t>Table S1.</w:t>
      </w:r>
      <w:r w:rsidRPr="0088173D">
        <w:rPr>
          <w:rFonts w:cs="Arial"/>
          <w:szCs w:val="20"/>
        </w:rPr>
        <w:t xml:space="preserve"> Distribution of viable, apoptotic, and necrotic cell populations determined by Annexin V/PI flow cytometry after 24 h treatment with PNEE</w:t>
      </w:r>
    </w:p>
    <w:tbl>
      <w:tblPr>
        <w:tblStyle w:val="TableGrid"/>
        <w:tblW w:w="9202" w:type="dxa"/>
        <w:tblLook w:val="04A0" w:firstRow="1" w:lastRow="0" w:firstColumn="1" w:lastColumn="0" w:noHBand="0" w:noVBand="1"/>
      </w:tblPr>
      <w:tblGrid>
        <w:gridCol w:w="989"/>
        <w:gridCol w:w="1183"/>
        <w:gridCol w:w="1792"/>
        <w:gridCol w:w="1797"/>
        <w:gridCol w:w="1844"/>
        <w:gridCol w:w="1597"/>
      </w:tblGrid>
      <w:tr w:rsidR="00604231" w:rsidRPr="00553809" w14:paraId="11AA74B9" w14:textId="77777777" w:rsidTr="00A52D0C">
        <w:tc>
          <w:tcPr>
            <w:tcW w:w="989" w:type="dxa"/>
            <w:hideMark/>
          </w:tcPr>
          <w:p w14:paraId="5F6CBA0A" w14:textId="77777777" w:rsidR="00604231" w:rsidRPr="00553809" w:rsidRDefault="00604231" w:rsidP="00A52D0C">
            <w:pPr>
              <w:spacing w:line="360" w:lineRule="auto"/>
              <w:ind w:left="-22"/>
              <w:rPr>
                <w:rFonts w:cs="Arial"/>
                <w:b/>
                <w:bCs/>
                <w:lang w:val="en-ID"/>
              </w:rPr>
            </w:pPr>
            <w:r w:rsidRPr="00553809">
              <w:rPr>
                <w:rFonts w:cs="Arial"/>
                <w:b/>
                <w:bCs/>
                <w:lang w:val="en-ID"/>
              </w:rPr>
              <w:t>Cell line</w:t>
            </w:r>
          </w:p>
        </w:tc>
        <w:tc>
          <w:tcPr>
            <w:tcW w:w="1183" w:type="dxa"/>
            <w:hideMark/>
          </w:tcPr>
          <w:p w14:paraId="6929F9DB" w14:textId="77777777" w:rsidR="00604231" w:rsidRPr="00553809" w:rsidRDefault="00604231" w:rsidP="00A52D0C">
            <w:pPr>
              <w:spacing w:line="360" w:lineRule="auto"/>
              <w:rPr>
                <w:rFonts w:cs="Arial"/>
                <w:b/>
                <w:bCs/>
                <w:lang w:val="en-ID"/>
              </w:rPr>
            </w:pPr>
            <w:r w:rsidRPr="00553809">
              <w:rPr>
                <w:rFonts w:cs="Arial"/>
                <w:b/>
                <w:bCs/>
                <w:lang w:val="en-ID"/>
              </w:rPr>
              <w:t>Treatment</w:t>
            </w:r>
          </w:p>
        </w:tc>
        <w:tc>
          <w:tcPr>
            <w:tcW w:w="1792" w:type="dxa"/>
            <w:hideMark/>
          </w:tcPr>
          <w:p w14:paraId="0A6339CD" w14:textId="77777777" w:rsidR="00604231" w:rsidRDefault="00604231" w:rsidP="00A52D0C">
            <w:pPr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  <w:lang w:val="en-ID"/>
              </w:rPr>
            </w:pPr>
            <w:r w:rsidRPr="00400B84">
              <w:rPr>
                <w:rFonts w:cs="Arial"/>
                <w:b/>
                <w:bCs/>
                <w:sz w:val="18"/>
                <w:szCs w:val="18"/>
                <w:lang w:val="en-ID"/>
              </w:rPr>
              <w:t xml:space="preserve">Viable </w:t>
            </w:r>
          </w:p>
          <w:p w14:paraId="1BAD2EE3" w14:textId="77777777" w:rsidR="00604231" w:rsidRPr="00400B84" w:rsidRDefault="00604231" w:rsidP="00A52D0C">
            <w:pPr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  <w:lang w:val="en-ID"/>
              </w:rPr>
            </w:pPr>
            <w:r w:rsidRPr="00400B84">
              <w:rPr>
                <w:rFonts w:cs="Arial"/>
                <w:b/>
                <w:bCs/>
                <w:sz w:val="18"/>
                <w:szCs w:val="18"/>
                <w:lang w:val="en-ID"/>
              </w:rPr>
              <w:t>(PI</w:t>
            </w:r>
            <w:r w:rsidRPr="00400B84">
              <w:rPr>
                <w:rFonts w:cs="Arial"/>
                <w:b/>
                <w:bCs/>
                <w:sz w:val="18"/>
                <w:szCs w:val="18"/>
                <w:vertAlign w:val="superscript"/>
                <w:lang w:val="en-ID"/>
              </w:rPr>
              <w:t>−</w:t>
            </w:r>
            <w:r w:rsidRPr="00400B84">
              <w:rPr>
                <w:rFonts w:cs="Arial"/>
                <w:b/>
                <w:bCs/>
                <w:sz w:val="18"/>
                <w:szCs w:val="18"/>
                <w:lang w:val="en-ID"/>
              </w:rPr>
              <w:t>/AnV</w:t>
            </w:r>
            <w:r w:rsidRPr="00400B84">
              <w:rPr>
                <w:rFonts w:cs="Arial"/>
                <w:b/>
                <w:bCs/>
                <w:sz w:val="18"/>
                <w:szCs w:val="18"/>
                <w:vertAlign w:val="superscript"/>
                <w:lang w:val="en-ID"/>
              </w:rPr>
              <w:t>−</w:t>
            </w:r>
            <w:r w:rsidRPr="00400B84">
              <w:rPr>
                <w:rFonts w:cs="Arial"/>
                <w:b/>
                <w:bCs/>
                <w:sz w:val="18"/>
                <w:szCs w:val="18"/>
                <w:lang w:val="en-ID"/>
              </w:rPr>
              <w:t>) (%)</w:t>
            </w:r>
          </w:p>
        </w:tc>
        <w:tc>
          <w:tcPr>
            <w:tcW w:w="1797" w:type="dxa"/>
            <w:hideMark/>
          </w:tcPr>
          <w:p w14:paraId="5DEC83E5" w14:textId="77777777" w:rsidR="00604231" w:rsidRPr="00400B84" w:rsidRDefault="00604231" w:rsidP="00A52D0C">
            <w:pPr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  <w:lang w:val="en-ID"/>
              </w:rPr>
            </w:pPr>
            <w:r w:rsidRPr="00400B84">
              <w:rPr>
                <w:rFonts w:cs="Arial"/>
                <w:b/>
                <w:bCs/>
                <w:sz w:val="18"/>
                <w:szCs w:val="18"/>
                <w:lang w:val="en-ID"/>
              </w:rPr>
              <w:t>Early apoptosis (PI</w:t>
            </w:r>
            <w:r w:rsidRPr="00400B84">
              <w:rPr>
                <w:rFonts w:cs="Arial"/>
                <w:b/>
                <w:bCs/>
                <w:sz w:val="18"/>
                <w:szCs w:val="18"/>
                <w:vertAlign w:val="superscript"/>
                <w:lang w:val="en-ID"/>
              </w:rPr>
              <w:t>−</w:t>
            </w:r>
            <w:r w:rsidRPr="00400B84">
              <w:rPr>
                <w:rFonts w:cs="Arial"/>
                <w:b/>
                <w:bCs/>
                <w:sz w:val="18"/>
                <w:szCs w:val="18"/>
                <w:lang w:val="en-ID"/>
              </w:rPr>
              <w:t>/AnV</w:t>
            </w:r>
            <w:r w:rsidRPr="00400B84">
              <w:rPr>
                <w:rFonts w:cs="Arial"/>
                <w:b/>
                <w:bCs/>
                <w:sz w:val="18"/>
                <w:szCs w:val="18"/>
                <w:vertAlign w:val="superscript"/>
                <w:lang w:val="en-ID"/>
              </w:rPr>
              <w:t>+</w:t>
            </w:r>
            <w:r w:rsidRPr="00400B84">
              <w:rPr>
                <w:rFonts w:cs="Arial"/>
                <w:b/>
                <w:bCs/>
                <w:sz w:val="18"/>
                <w:szCs w:val="18"/>
                <w:lang w:val="en-ID"/>
              </w:rPr>
              <w:t>) (%)</w:t>
            </w:r>
          </w:p>
        </w:tc>
        <w:tc>
          <w:tcPr>
            <w:tcW w:w="0" w:type="auto"/>
            <w:hideMark/>
          </w:tcPr>
          <w:p w14:paraId="558CC254" w14:textId="77777777" w:rsidR="00604231" w:rsidRPr="00400B84" w:rsidRDefault="00604231" w:rsidP="00A52D0C">
            <w:pPr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  <w:lang w:val="en-ID"/>
              </w:rPr>
            </w:pPr>
            <w:r w:rsidRPr="00400B84">
              <w:rPr>
                <w:rFonts w:cs="Arial"/>
                <w:b/>
                <w:bCs/>
                <w:sz w:val="18"/>
                <w:szCs w:val="18"/>
                <w:lang w:val="en-ID"/>
              </w:rPr>
              <w:t>Late apoptosis (PI</w:t>
            </w:r>
            <w:r w:rsidRPr="00400B84">
              <w:rPr>
                <w:rFonts w:cs="Arial"/>
                <w:b/>
                <w:bCs/>
                <w:sz w:val="18"/>
                <w:szCs w:val="18"/>
                <w:vertAlign w:val="superscript"/>
                <w:lang w:val="en-ID"/>
              </w:rPr>
              <w:t>+</w:t>
            </w:r>
            <w:r w:rsidRPr="00400B84">
              <w:rPr>
                <w:rFonts w:cs="Arial"/>
                <w:b/>
                <w:bCs/>
                <w:sz w:val="18"/>
                <w:szCs w:val="18"/>
                <w:lang w:val="en-ID"/>
              </w:rPr>
              <w:t>/AnV</w:t>
            </w:r>
            <w:r w:rsidRPr="00400B84">
              <w:rPr>
                <w:rFonts w:cs="Arial"/>
                <w:b/>
                <w:bCs/>
                <w:sz w:val="18"/>
                <w:szCs w:val="18"/>
                <w:vertAlign w:val="superscript"/>
                <w:lang w:val="en-ID"/>
              </w:rPr>
              <w:t>+</w:t>
            </w:r>
            <w:r w:rsidRPr="00400B84">
              <w:rPr>
                <w:rFonts w:cs="Arial"/>
                <w:b/>
                <w:bCs/>
                <w:sz w:val="18"/>
                <w:szCs w:val="18"/>
                <w:lang w:val="en-ID"/>
              </w:rPr>
              <w:t>) (%)</w:t>
            </w:r>
          </w:p>
        </w:tc>
        <w:tc>
          <w:tcPr>
            <w:tcW w:w="0" w:type="auto"/>
            <w:hideMark/>
          </w:tcPr>
          <w:p w14:paraId="1407FE10" w14:textId="77777777" w:rsidR="00604231" w:rsidRPr="00400B84" w:rsidRDefault="00604231" w:rsidP="00A52D0C">
            <w:pPr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  <w:lang w:val="en-ID"/>
              </w:rPr>
            </w:pPr>
            <w:r w:rsidRPr="00400B84">
              <w:rPr>
                <w:rFonts w:cs="Arial"/>
                <w:b/>
                <w:bCs/>
                <w:sz w:val="18"/>
                <w:szCs w:val="18"/>
                <w:lang w:val="en-ID"/>
              </w:rPr>
              <w:t>Necrosis (PI</w:t>
            </w:r>
            <w:r w:rsidRPr="00400B84">
              <w:rPr>
                <w:rFonts w:cs="Arial"/>
                <w:b/>
                <w:bCs/>
                <w:sz w:val="18"/>
                <w:szCs w:val="18"/>
                <w:vertAlign w:val="superscript"/>
                <w:lang w:val="en-ID"/>
              </w:rPr>
              <w:t>+</w:t>
            </w:r>
            <w:r w:rsidRPr="00400B84">
              <w:rPr>
                <w:rFonts w:cs="Arial"/>
                <w:b/>
                <w:bCs/>
                <w:sz w:val="18"/>
                <w:szCs w:val="18"/>
                <w:lang w:val="en-ID"/>
              </w:rPr>
              <w:t>/AnV</w:t>
            </w:r>
            <w:r w:rsidRPr="00400B84">
              <w:rPr>
                <w:rFonts w:cs="Arial"/>
                <w:b/>
                <w:bCs/>
                <w:sz w:val="18"/>
                <w:szCs w:val="18"/>
                <w:vertAlign w:val="superscript"/>
                <w:lang w:val="en-ID"/>
              </w:rPr>
              <w:t>−</w:t>
            </w:r>
            <w:r w:rsidRPr="00400B84">
              <w:rPr>
                <w:rFonts w:cs="Arial"/>
                <w:b/>
                <w:bCs/>
                <w:sz w:val="18"/>
                <w:szCs w:val="18"/>
                <w:lang w:val="en-ID"/>
              </w:rPr>
              <w:t>) (%)</w:t>
            </w:r>
          </w:p>
        </w:tc>
      </w:tr>
      <w:tr w:rsidR="00604231" w:rsidRPr="00553809" w14:paraId="291E4E3F" w14:textId="77777777" w:rsidTr="00A52D0C">
        <w:tc>
          <w:tcPr>
            <w:tcW w:w="989" w:type="dxa"/>
            <w:vMerge w:val="restart"/>
            <w:vAlign w:val="center"/>
            <w:hideMark/>
          </w:tcPr>
          <w:p w14:paraId="534C8691" w14:textId="77777777" w:rsidR="00604231" w:rsidRPr="00553809" w:rsidRDefault="00604231" w:rsidP="00A52D0C">
            <w:pPr>
              <w:spacing w:line="360" w:lineRule="auto"/>
              <w:ind w:left="-22"/>
              <w:rPr>
                <w:rFonts w:cs="Arial"/>
                <w:lang w:val="en-ID"/>
              </w:rPr>
            </w:pPr>
            <w:r w:rsidRPr="00553809">
              <w:rPr>
                <w:rFonts w:cs="Arial"/>
                <w:lang w:val="en-ID"/>
              </w:rPr>
              <w:t>BT-474</w:t>
            </w:r>
          </w:p>
        </w:tc>
        <w:tc>
          <w:tcPr>
            <w:tcW w:w="1183" w:type="dxa"/>
            <w:hideMark/>
          </w:tcPr>
          <w:p w14:paraId="39D34CB5" w14:textId="77777777" w:rsidR="00604231" w:rsidRPr="00553809" w:rsidRDefault="00604231" w:rsidP="00A52D0C">
            <w:pPr>
              <w:spacing w:line="360" w:lineRule="auto"/>
              <w:rPr>
                <w:rFonts w:cs="Arial"/>
                <w:lang w:val="en-ID"/>
              </w:rPr>
            </w:pPr>
            <w:r w:rsidRPr="00553809">
              <w:rPr>
                <w:rFonts w:cs="Arial"/>
                <w:lang w:val="en-ID"/>
              </w:rPr>
              <w:t>Control</w:t>
            </w:r>
          </w:p>
        </w:tc>
        <w:tc>
          <w:tcPr>
            <w:tcW w:w="1792" w:type="dxa"/>
            <w:hideMark/>
          </w:tcPr>
          <w:p w14:paraId="7A328209" w14:textId="77777777" w:rsidR="00604231" w:rsidRPr="00464B65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 w:rsidRPr="00464B65">
              <w:rPr>
                <w:rFonts w:cs="Arial"/>
                <w:lang w:val="en-ID"/>
              </w:rPr>
              <w:t>91.</w:t>
            </w:r>
            <w:r w:rsidRPr="00400B84">
              <w:rPr>
                <w:rFonts w:cs="Arial"/>
                <w:lang w:val="en-ID"/>
              </w:rPr>
              <w:t>65</w:t>
            </w:r>
            <w:r w:rsidRPr="00464B65">
              <w:rPr>
                <w:rFonts w:cs="Arial"/>
                <w:lang w:val="en-ID"/>
              </w:rPr>
              <w:t xml:space="preserve"> ± </w:t>
            </w:r>
            <w:r w:rsidRPr="00400B84">
              <w:rPr>
                <w:rFonts w:cs="Arial"/>
                <w:lang w:val="en-ID"/>
              </w:rPr>
              <w:t>0</w:t>
            </w:r>
            <w:r w:rsidRPr="00464B65">
              <w:rPr>
                <w:rFonts w:cs="Arial"/>
                <w:lang w:val="en-ID"/>
              </w:rPr>
              <w:t>.</w:t>
            </w:r>
            <w:r w:rsidRPr="00400B84">
              <w:rPr>
                <w:rFonts w:cs="Arial"/>
                <w:lang w:val="en-ID"/>
              </w:rPr>
              <w:t>50</w:t>
            </w:r>
          </w:p>
        </w:tc>
        <w:tc>
          <w:tcPr>
            <w:tcW w:w="1797" w:type="dxa"/>
            <w:hideMark/>
          </w:tcPr>
          <w:p w14:paraId="7EB37BA4" w14:textId="77777777" w:rsidR="00604231" w:rsidRPr="00553809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>
              <w:rPr>
                <w:rFonts w:cs="Arial"/>
                <w:lang w:val="en-ID"/>
              </w:rPr>
              <w:t>3.7</w:t>
            </w:r>
            <w:r w:rsidRPr="00B7273C">
              <w:rPr>
                <w:rFonts w:cs="Arial"/>
                <w:lang w:val="en-ID"/>
              </w:rPr>
              <w:t>8 ± 1</w:t>
            </w:r>
            <w:r>
              <w:rPr>
                <w:rFonts w:cs="Arial"/>
                <w:lang w:val="en-ID"/>
              </w:rPr>
              <w:t xml:space="preserve">.25 </w:t>
            </w:r>
          </w:p>
        </w:tc>
        <w:tc>
          <w:tcPr>
            <w:tcW w:w="0" w:type="auto"/>
            <w:hideMark/>
          </w:tcPr>
          <w:p w14:paraId="469B43D4" w14:textId="77777777" w:rsidR="00604231" w:rsidRPr="00B7273C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 w:rsidRPr="00B7273C">
              <w:rPr>
                <w:rFonts w:cs="Arial"/>
                <w:lang w:val="en-ID"/>
              </w:rPr>
              <w:t xml:space="preserve">3.00 ± </w:t>
            </w:r>
            <w:r w:rsidRPr="00400B84">
              <w:rPr>
                <w:rFonts w:cs="Arial"/>
                <w:lang w:val="en-ID"/>
              </w:rPr>
              <w:t>1</w:t>
            </w:r>
            <w:r w:rsidRPr="00B7273C">
              <w:rPr>
                <w:rFonts w:cs="Arial"/>
                <w:lang w:val="en-ID"/>
              </w:rPr>
              <w:t>.43</w:t>
            </w:r>
          </w:p>
        </w:tc>
        <w:tc>
          <w:tcPr>
            <w:tcW w:w="0" w:type="auto"/>
            <w:hideMark/>
          </w:tcPr>
          <w:p w14:paraId="4D860298" w14:textId="77777777" w:rsidR="00604231" w:rsidRPr="00553809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 w:rsidRPr="00553809">
              <w:rPr>
                <w:rFonts w:cs="Arial"/>
                <w:lang w:val="en-ID"/>
              </w:rPr>
              <w:t>1.</w:t>
            </w:r>
            <w:r>
              <w:rPr>
                <w:rFonts w:cs="Arial"/>
                <w:lang w:val="en-ID"/>
              </w:rPr>
              <w:t>29</w:t>
            </w:r>
            <w:r w:rsidRPr="00553809">
              <w:rPr>
                <w:rFonts w:cs="Arial"/>
                <w:lang w:val="en-ID"/>
              </w:rPr>
              <w:t xml:space="preserve"> ± 0.</w:t>
            </w:r>
            <w:r>
              <w:rPr>
                <w:rFonts w:cs="Arial"/>
                <w:lang w:val="en-ID"/>
              </w:rPr>
              <w:t>1</w:t>
            </w:r>
            <w:r w:rsidRPr="00553809">
              <w:rPr>
                <w:rFonts w:cs="Arial"/>
                <w:lang w:val="en-ID"/>
              </w:rPr>
              <w:t>3</w:t>
            </w:r>
          </w:p>
        </w:tc>
      </w:tr>
      <w:tr w:rsidR="00604231" w:rsidRPr="00553809" w14:paraId="628EC4C9" w14:textId="77777777" w:rsidTr="00A52D0C">
        <w:tc>
          <w:tcPr>
            <w:tcW w:w="989" w:type="dxa"/>
            <w:vMerge/>
            <w:vAlign w:val="center"/>
            <w:hideMark/>
          </w:tcPr>
          <w:p w14:paraId="0AAC963D" w14:textId="77777777" w:rsidR="00604231" w:rsidRPr="00553809" w:rsidRDefault="00604231" w:rsidP="00A52D0C">
            <w:pPr>
              <w:spacing w:line="360" w:lineRule="auto"/>
              <w:ind w:left="-22"/>
              <w:rPr>
                <w:rFonts w:cs="Arial"/>
                <w:lang w:val="en-ID"/>
              </w:rPr>
            </w:pPr>
          </w:p>
        </w:tc>
        <w:tc>
          <w:tcPr>
            <w:tcW w:w="1183" w:type="dxa"/>
            <w:hideMark/>
          </w:tcPr>
          <w:p w14:paraId="1A0C635A" w14:textId="77777777" w:rsidR="00604231" w:rsidRPr="00553809" w:rsidRDefault="00604231" w:rsidP="00A52D0C">
            <w:pPr>
              <w:spacing w:line="360" w:lineRule="auto"/>
              <w:rPr>
                <w:rFonts w:cs="Arial"/>
                <w:lang w:val="en-ID"/>
              </w:rPr>
            </w:pPr>
            <w:r w:rsidRPr="00553809">
              <w:rPr>
                <w:rFonts w:cs="Arial"/>
                <w:lang w:val="en-ID"/>
              </w:rPr>
              <w:t>PNEE</w:t>
            </w:r>
          </w:p>
        </w:tc>
        <w:tc>
          <w:tcPr>
            <w:tcW w:w="1792" w:type="dxa"/>
            <w:hideMark/>
          </w:tcPr>
          <w:p w14:paraId="684C2838" w14:textId="77777777" w:rsidR="00604231" w:rsidRPr="00464B65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 w:rsidRPr="00400B84">
              <w:rPr>
                <w:rFonts w:cs="Arial"/>
                <w:lang w:val="en-ID"/>
              </w:rPr>
              <w:t>28.25</w:t>
            </w:r>
            <w:r w:rsidRPr="00464B65">
              <w:rPr>
                <w:rFonts w:cs="Arial"/>
                <w:lang w:val="en-ID"/>
              </w:rPr>
              <w:t xml:space="preserve"> ± </w:t>
            </w:r>
            <w:r w:rsidRPr="00400B84">
              <w:rPr>
                <w:rFonts w:cs="Arial"/>
                <w:lang w:val="en-ID"/>
              </w:rPr>
              <w:t>1.86*</w:t>
            </w:r>
            <w:r w:rsidRPr="00464B65">
              <w:rPr>
                <w:rFonts w:cs="Arial"/>
                <w:lang w:val="en-ID"/>
              </w:rPr>
              <w:t xml:space="preserve"> </w:t>
            </w:r>
          </w:p>
        </w:tc>
        <w:tc>
          <w:tcPr>
            <w:tcW w:w="1797" w:type="dxa"/>
            <w:hideMark/>
          </w:tcPr>
          <w:p w14:paraId="4CAFD2D8" w14:textId="77777777" w:rsidR="00604231" w:rsidRPr="00553809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 w:rsidRPr="00553809">
              <w:rPr>
                <w:rFonts w:cs="Arial"/>
                <w:lang w:val="en-ID"/>
              </w:rPr>
              <w:t>2.</w:t>
            </w:r>
            <w:r>
              <w:rPr>
                <w:rFonts w:cs="Arial"/>
                <w:lang w:val="en-ID"/>
              </w:rPr>
              <w:t>2</w:t>
            </w:r>
            <w:r w:rsidRPr="00553809">
              <w:rPr>
                <w:rFonts w:cs="Arial"/>
                <w:lang w:val="en-ID"/>
              </w:rPr>
              <w:t>1 ± 0.2</w:t>
            </w:r>
            <w:r>
              <w:rPr>
                <w:rFonts w:cs="Arial"/>
                <w:lang w:val="en-ID"/>
              </w:rPr>
              <w:t>6</w:t>
            </w:r>
          </w:p>
        </w:tc>
        <w:tc>
          <w:tcPr>
            <w:tcW w:w="0" w:type="auto"/>
            <w:hideMark/>
          </w:tcPr>
          <w:p w14:paraId="103894E5" w14:textId="77777777" w:rsidR="00604231" w:rsidRPr="00B7273C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 w:rsidRPr="00400B84">
              <w:rPr>
                <w:rFonts w:cs="Arial"/>
                <w:lang w:val="en-ID"/>
              </w:rPr>
              <w:t>63.77</w:t>
            </w:r>
            <w:r w:rsidRPr="00B7273C">
              <w:rPr>
                <w:rFonts w:cs="Arial"/>
                <w:lang w:val="en-ID"/>
              </w:rPr>
              <w:t xml:space="preserve"> ± </w:t>
            </w:r>
            <w:r w:rsidRPr="00400B84">
              <w:rPr>
                <w:rFonts w:cs="Arial"/>
                <w:lang w:val="en-ID"/>
              </w:rPr>
              <w:t>1.47*</w:t>
            </w:r>
            <w:r w:rsidRPr="00B7273C">
              <w:rPr>
                <w:rFonts w:cs="Arial"/>
                <w:lang w:val="en-ID"/>
              </w:rPr>
              <w:t xml:space="preserve"> </w:t>
            </w:r>
          </w:p>
        </w:tc>
        <w:tc>
          <w:tcPr>
            <w:tcW w:w="0" w:type="auto"/>
            <w:hideMark/>
          </w:tcPr>
          <w:p w14:paraId="65B4C24C" w14:textId="77777777" w:rsidR="00604231" w:rsidRPr="00553809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>
              <w:rPr>
                <w:rFonts w:cs="Arial"/>
                <w:lang w:val="en-ID"/>
              </w:rPr>
              <w:t>5.77</w:t>
            </w:r>
            <w:r w:rsidRPr="00553809">
              <w:rPr>
                <w:rFonts w:cs="Arial"/>
                <w:lang w:val="en-ID"/>
              </w:rPr>
              <w:t xml:space="preserve"> ± </w:t>
            </w:r>
            <w:r>
              <w:rPr>
                <w:rFonts w:cs="Arial"/>
                <w:lang w:val="en-ID"/>
              </w:rPr>
              <w:t>0.88</w:t>
            </w:r>
          </w:p>
        </w:tc>
      </w:tr>
      <w:tr w:rsidR="00604231" w:rsidRPr="00553809" w14:paraId="4FA7F327" w14:textId="77777777" w:rsidTr="00A52D0C">
        <w:tc>
          <w:tcPr>
            <w:tcW w:w="989" w:type="dxa"/>
            <w:vMerge w:val="restart"/>
            <w:vAlign w:val="center"/>
            <w:hideMark/>
          </w:tcPr>
          <w:p w14:paraId="1A20316F" w14:textId="77777777" w:rsidR="00604231" w:rsidRPr="00553809" w:rsidRDefault="00604231" w:rsidP="00A52D0C">
            <w:pPr>
              <w:spacing w:line="360" w:lineRule="auto"/>
              <w:ind w:left="-22"/>
              <w:rPr>
                <w:rFonts w:cs="Arial"/>
                <w:lang w:val="en-ID"/>
              </w:rPr>
            </w:pPr>
            <w:r w:rsidRPr="00553809">
              <w:rPr>
                <w:rFonts w:cs="Arial"/>
                <w:lang w:val="en-ID"/>
              </w:rPr>
              <w:t>MCF-7</w:t>
            </w:r>
          </w:p>
        </w:tc>
        <w:tc>
          <w:tcPr>
            <w:tcW w:w="1183" w:type="dxa"/>
            <w:hideMark/>
          </w:tcPr>
          <w:p w14:paraId="60151DB4" w14:textId="77777777" w:rsidR="00604231" w:rsidRPr="00553809" w:rsidRDefault="00604231" w:rsidP="00A52D0C">
            <w:pPr>
              <w:spacing w:line="360" w:lineRule="auto"/>
              <w:rPr>
                <w:rFonts w:cs="Arial"/>
                <w:lang w:val="en-ID"/>
              </w:rPr>
            </w:pPr>
            <w:r w:rsidRPr="00553809">
              <w:rPr>
                <w:rFonts w:cs="Arial"/>
                <w:lang w:val="en-ID"/>
              </w:rPr>
              <w:t>Control</w:t>
            </w:r>
          </w:p>
        </w:tc>
        <w:tc>
          <w:tcPr>
            <w:tcW w:w="1792" w:type="dxa"/>
            <w:hideMark/>
          </w:tcPr>
          <w:p w14:paraId="25216CF1" w14:textId="77777777" w:rsidR="00604231" w:rsidRPr="00464B65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 w:rsidRPr="00400B84">
              <w:rPr>
                <w:rFonts w:cs="Arial"/>
                <w:lang w:val="en-ID"/>
              </w:rPr>
              <w:t>91.43</w:t>
            </w:r>
            <w:r w:rsidRPr="00464B65">
              <w:rPr>
                <w:rFonts w:cs="Arial"/>
                <w:lang w:val="en-ID"/>
              </w:rPr>
              <w:t xml:space="preserve"> ± </w:t>
            </w:r>
            <w:r w:rsidRPr="00400B84">
              <w:rPr>
                <w:rFonts w:cs="Arial"/>
                <w:lang w:val="en-ID"/>
              </w:rPr>
              <w:t>0.46</w:t>
            </w:r>
          </w:p>
        </w:tc>
        <w:tc>
          <w:tcPr>
            <w:tcW w:w="1797" w:type="dxa"/>
            <w:hideMark/>
          </w:tcPr>
          <w:p w14:paraId="0E5D1845" w14:textId="77777777" w:rsidR="00604231" w:rsidRPr="00553809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>
              <w:rPr>
                <w:rFonts w:cs="Arial"/>
                <w:lang w:val="en-ID"/>
              </w:rPr>
              <w:t>3</w:t>
            </w:r>
            <w:r w:rsidRPr="00553809">
              <w:rPr>
                <w:rFonts w:cs="Arial"/>
                <w:lang w:val="en-ID"/>
              </w:rPr>
              <w:t>.</w:t>
            </w:r>
            <w:r>
              <w:rPr>
                <w:rFonts w:cs="Arial"/>
                <w:lang w:val="en-ID"/>
              </w:rPr>
              <w:t>40</w:t>
            </w:r>
            <w:r w:rsidRPr="00553809">
              <w:rPr>
                <w:rFonts w:cs="Arial"/>
                <w:lang w:val="en-ID"/>
              </w:rPr>
              <w:t xml:space="preserve"> ± 0.</w:t>
            </w:r>
            <w:r>
              <w:rPr>
                <w:rFonts w:cs="Arial"/>
                <w:lang w:val="en-ID"/>
              </w:rPr>
              <w:t>13</w:t>
            </w:r>
          </w:p>
        </w:tc>
        <w:tc>
          <w:tcPr>
            <w:tcW w:w="0" w:type="auto"/>
            <w:hideMark/>
          </w:tcPr>
          <w:p w14:paraId="2478C3D1" w14:textId="77777777" w:rsidR="00604231" w:rsidRPr="00B7273C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>
              <w:rPr>
                <w:rFonts w:cs="Arial"/>
                <w:lang w:val="en-ID"/>
              </w:rPr>
              <w:t>4</w:t>
            </w:r>
            <w:r w:rsidRPr="00B7273C">
              <w:rPr>
                <w:rFonts w:cs="Arial"/>
                <w:lang w:val="en-ID"/>
              </w:rPr>
              <w:t xml:space="preserve">.95 ± </w:t>
            </w:r>
            <w:r>
              <w:rPr>
                <w:rFonts w:cs="Arial"/>
                <w:lang w:val="en-ID"/>
              </w:rPr>
              <w:t>0</w:t>
            </w:r>
            <w:r w:rsidRPr="00B7273C">
              <w:rPr>
                <w:rFonts w:cs="Arial"/>
                <w:lang w:val="en-ID"/>
              </w:rPr>
              <w:t>.</w:t>
            </w:r>
            <w:r>
              <w:rPr>
                <w:rFonts w:cs="Arial"/>
                <w:lang w:val="en-ID"/>
              </w:rPr>
              <w:t>46</w:t>
            </w:r>
          </w:p>
        </w:tc>
        <w:tc>
          <w:tcPr>
            <w:tcW w:w="0" w:type="auto"/>
            <w:hideMark/>
          </w:tcPr>
          <w:p w14:paraId="47FCFDF8" w14:textId="77777777" w:rsidR="00604231" w:rsidRPr="00553809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 w:rsidRPr="00553809">
              <w:rPr>
                <w:rFonts w:cs="Arial"/>
                <w:lang w:val="en-ID"/>
              </w:rPr>
              <w:t>0.23 ± 0.05</w:t>
            </w:r>
          </w:p>
        </w:tc>
      </w:tr>
      <w:tr w:rsidR="00604231" w:rsidRPr="0088173D" w14:paraId="49696EA1" w14:textId="77777777" w:rsidTr="00A52D0C">
        <w:tc>
          <w:tcPr>
            <w:tcW w:w="989" w:type="dxa"/>
            <w:vMerge/>
            <w:hideMark/>
          </w:tcPr>
          <w:p w14:paraId="7927F3C2" w14:textId="77777777" w:rsidR="00604231" w:rsidRPr="00553809" w:rsidRDefault="00604231" w:rsidP="00A52D0C">
            <w:pPr>
              <w:spacing w:line="360" w:lineRule="auto"/>
              <w:rPr>
                <w:rFonts w:cs="Arial"/>
                <w:lang w:val="en-ID"/>
              </w:rPr>
            </w:pPr>
          </w:p>
        </w:tc>
        <w:tc>
          <w:tcPr>
            <w:tcW w:w="1183" w:type="dxa"/>
            <w:hideMark/>
          </w:tcPr>
          <w:p w14:paraId="0CBF5C74" w14:textId="77777777" w:rsidR="00604231" w:rsidRPr="00553809" w:rsidRDefault="00604231" w:rsidP="00A52D0C">
            <w:pPr>
              <w:spacing w:line="360" w:lineRule="auto"/>
              <w:rPr>
                <w:rFonts w:cs="Arial"/>
                <w:lang w:val="en-ID"/>
              </w:rPr>
            </w:pPr>
            <w:r w:rsidRPr="00553809">
              <w:rPr>
                <w:rFonts w:cs="Arial"/>
                <w:lang w:val="en-ID"/>
              </w:rPr>
              <w:t>PNEE</w:t>
            </w:r>
          </w:p>
        </w:tc>
        <w:tc>
          <w:tcPr>
            <w:tcW w:w="1792" w:type="dxa"/>
            <w:hideMark/>
          </w:tcPr>
          <w:p w14:paraId="244A951A" w14:textId="77777777" w:rsidR="00604231" w:rsidRPr="00464B65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 w:rsidRPr="00400B84">
              <w:rPr>
                <w:rFonts w:cs="Arial"/>
                <w:lang w:val="en-ID"/>
              </w:rPr>
              <w:t>24.65</w:t>
            </w:r>
            <w:r w:rsidRPr="00464B65">
              <w:rPr>
                <w:rFonts w:cs="Arial"/>
                <w:lang w:val="en-ID"/>
              </w:rPr>
              <w:t xml:space="preserve"> ± 1.</w:t>
            </w:r>
            <w:r w:rsidRPr="00400B84">
              <w:rPr>
                <w:rFonts w:cs="Arial"/>
                <w:lang w:val="en-ID"/>
              </w:rPr>
              <w:t>75*</w:t>
            </w:r>
          </w:p>
        </w:tc>
        <w:tc>
          <w:tcPr>
            <w:tcW w:w="1797" w:type="dxa"/>
            <w:hideMark/>
          </w:tcPr>
          <w:p w14:paraId="5C46BA72" w14:textId="77777777" w:rsidR="00604231" w:rsidRPr="00553809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>
              <w:rPr>
                <w:rFonts w:cs="Arial"/>
                <w:lang w:val="en-ID"/>
              </w:rPr>
              <w:t>56</w:t>
            </w:r>
            <w:r w:rsidRPr="00553809">
              <w:rPr>
                <w:rFonts w:cs="Arial"/>
                <w:lang w:val="en-ID"/>
              </w:rPr>
              <w:t>.</w:t>
            </w:r>
            <w:r>
              <w:rPr>
                <w:rFonts w:cs="Arial"/>
                <w:lang w:val="en-ID"/>
              </w:rPr>
              <w:t>50</w:t>
            </w:r>
            <w:r w:rsidRPr="00553809">
              <w:rPr>
                <w:rFonts w:cs="Arial"/>
                <w:lang w:val="en-ID"/>
              </w:rPr>
              <w:t xml:space="preserve"> ± </w:t>
            </w:r>
            <w:r>
              <w:rPr>
                <w:rFonts w:cs="Arial"/>
                <w:lang w:val="en-ID"/>
              </w:rPr>
              <w:t>1.10</w:t>
            </w:r>
            <w:r w:rsidRPr="00400B84">
              <w:rPr>
                <w:rFonts w:cs="Arial"/>
                <w:lang w:val="en-ID"/>
              </w:rPr>
              <w:t>*</w:t>
            </w:r>
          </w:p>
        </w:tc>
        <w:tc>
          <w:tcPr>
            <w:tcW w:w="0" w:type="auto"/>
            <w:hideMark/>
          </w:tcPr>
          <w:p w14:paraId="206B8381" w14:textId="77777777" w:rsidR="00604231" w:rsidRPr="00B7273C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 w:rsidRPr="00400B84">
              <w:rPr>
                <w:rFonts w:cs="Arial"/>
                <w:lang w:val="en-ID"/>
              </w:rPr>
              <w:t>18.15</w:t>
            </w:r>
            <w:r w:rsidRPr="00B7273C">
              <w:rPr>
                <w:rFonts w:cs="Arial"/>
                <w:lang w:val="en-ID"/>
              </w:rPr>
              <w:t xml:space="preserve"> ± 0.71</w:t>
            </w:r>
            <w:r w:rsidRPr="00790CB8">
              <w:rPr>
                <w:rFonts w:cs="Arial"/>
                <w:lang w:val="en-ID"/>
              </w:rPr>
              <w:t>*</w:t>
            </w:r>
          </w:p>
        </w:tc>
        <w:tc>
          <w:tcPr>
            <w:tcW w:w="0" w:type="auto"/>
            <w:hideMark/>
          </w:tcPr>
          <w:p w14:paraId="57A0A867" w14:textId="77777777" w:rsidR="00604231" w:rsidRPr="00553809" w:rsidRDefault="00604231" w:rsidP="00A52D0C">
            <w:pPr>
              <w:spacing w:line="360" w:lineRule="auto"/>
              <w:jc w:val="center"/>
              <w:rPr>
                <w:rFonts w:cs="Arial"/>
                <w:lang w:val="en-ID"/>
              </w:rPr>
            </w:pPr>
            <w:r w:rsidRPr="00553809">
              <w:rPr>
                <w:rFonts w:cs="Arial"/>
                <w:lang w:val="en-ID"/>
              </w:rPr>
              <w:t>0.70 ± 0.30</w:t>
            </w:r>
          </w:p>
        </w:tc>
      </w:tr>
    </w:tbl>
    <w:p w14:paraId="6CC5EFF3" w14:textId="77777777" w:rsidR="00604231" w:rsidRDefault="00604231" w:rsidP="00604231">
      <w:pPr>
        <w:spacing w:line="360" w:lineRule="auto"/>
        <w:jc w:val="both"/>
        <w:rPr>
          <w:rFonts w:cs="Arial"/>
          <w:szCs w:val="20"/>
        </w:rPr>
      </w:pPr>
      <w:r w:rsidRPr="0088173D">
        <w:rPr>
          <w:rFonts w:cs="Arial"/>
          <w:szCs w:val="20"/>
        </w:rPr>
        <w:t>Cell populations were classified as viable (PI</w:t>
      </w:r>
      <w:r w:rsidRPr="00400B84">
        <w:rPr>
          <w:rFonts w:cs="Arial"/>
          <w:szCs w:val="20"/>
          <w:vertAlign w:val="superscript"/>
        </w:rPr>
        <w:t>−</w:t>
      </w:r>
      <w:r w:rsidRPr="0088173D">
        <w:rPr>
          <w:rFonts w:cs="Arial"/>
          <w:szCs w:val="20"/>
        </w:rPr>
        <w:t>/AnV</w:t>
      </w:r>
      <w:r w:rsidRPr="00400B84">
        <w:rPr>
          <w:rFonts w:cs="Arial"/>
          <w:szCs w:val="20"/>
          <w:vertAlign w:val="superscript"/>
        </w:rPr>
        <w:t>−</w:t>
      </w:r>
      <w:r w:rsidRPr="0088173D">
        <w:rPr>
          <w:rFonts w:cs="Arial"/>
          <w:szCs w:val="20"/>
        </w:rPr>
        <w:t>), early apoptotic (PI</w:t>
      </w:r>
      <w:r w:rsidRPr="00400B84">
        <w:rPr>
          <w:rFonts w:cs="Arial"/>
          <w:szCs w:val="20"/>
          <w:vertAlign w:val="superscript"/>
        </w:rPr>
        <w:t>−</w:t>
      </w:r>
      <w:r w:rsidRPr="0088173D">
        <w:rPr>
          <w:rFonts w:cs="Arial"/>
          <w:szCs w:val="20"/>
        </w:rPr>
        <w:t>/AnV</w:t>
      </w:r>
      <w:r w:rsidRPr="00400B84">
        <w:rPr>
          <w:rFonts w:cs="Arial"/>
          <w:szCs w:val="20"/>
          <w:vertAlign w:val="superscript"/>
        </w:rPr>
        <w:t>+</w:t>
      </w:r>
      <w:r w:rsidRPr="0088173D">
        <w:rPr>
          <w:rFonts w:cs="Arial"/>
          <w:szCs w:val="20"/>
        </w:rPr>
        <w:t>), late apoptotic (PI+/AnV</w:t>
      </w:r>
      <w:r w:rsidRPr="00400B84">
        <w:rPr>
          <w:rFonts w:cs="Arial"/>
          <w:szCs w:val="20"/>
          <w:vertAlign w:val="superscript"/>
        </w:rPr>
        <w:t>+</w:t>
      </w:r>
      <w:r w:rsidRPr="0088173D">
        <w:rPr>
          <w:rFonts w:cs="Arial"/>
          <w:szCs w:val="20"/>
        </w:rPr>
        <w:t>), and necrotic (PI</w:t>
      </w:r>
      <w:r w:rsidRPr="00400B84">
        <w:rPr>
          <w:rFonts w:cs="Arial"/>
          <w:szCs w:val="20"/>
          <w:vertAlign w:val="superscript"/>
        </w:rPr>
        <w:t>+</w:t>
      </w:r>
      <w:r w:rsidRPr="0088173D">
        <w:rPr>
          <w:rFonts w:cs="Arial"/>
          <w:szCs w:val="20"/>
        </w:rPr>
        <w:t>/AnV</w:t>
      </w:r>
      <w:r w:rsidRPr="00400B84">
        <w:rPr>
          <w:rFonts w:cs="Arial"/>
          <w:szCs w:val="20"/>
          <w:vertAlign w:val="superscript"/>
        </w:rPr>
        <w:t>−</w:t>
      </w:r>
      <w:r w:rsidRPr="0088173D">
        <w:rPr>
          <w:rFonts w:cs="Arial"/>
          <w:szCs w:val="20"/>
        </w:rPr>
        <w:t>) based on Annexin V/PI flow cytometry analysis.</w:t>
      </w:r>
      <w:r>
        <w:rPr>
          <w:rFonts w:cs="Arial"/>
          <w:szCs w:val="20"/>
        </w:rPr>
        <w:t xml:space="preserve"> </w:t>
      </w:r>
      <w:r w:rsidRPr="00106CF5">
        <w:rPr>
          <w:rFonts w:cs="Arial"/>
          <w:szCs w:val="20"/>
        </w:rPr>
        <w:t>Data are presented as mean ± SD from three independent experiments. Statistical significance was determined by unpaired t-test comparing PNEE-treated cells with their respective controls</w:t>
      </w:r>
      <w:r>
        <w:rPr>
          <w:rFonts w:cs="Arial"/>
          <w:szCs w:val="20"/>
        </w:rPr>
        <w:t xml:space="preserve"> </w:t>
      </w:r>
      <w:r w:rsidRPr="00E3383D">
        <w:rPr>
          <w:rFonts w:cs="Arial"/>
          <w:szCs w:val="20"/>
        </w:rPr>
        <w:t>as *p &lt; 0.05 compared to the control.</w:t>
      </w:r>
    </w:p>
    <w:p w14:paraId="009338D7" w14:textId="77777777" w:rsidR="00604231" w:rsidRDefault="00604231" w:rsidP="00604231">
      <w:pPr>
        <w:spacing w:line="360" w:lineRule="auto"/>
        <w:jc w:val="both"/>
        <w:rPr>
          <w:rFonts w:cs="Arial"/>
          <w:szCs w:val="20"/>
        </w:rPr>
      </w:pPr>
    </w:p>
    <w:p w14:paraId="2AF83173" w14:textId="77777777" w:rsidR="00604231" w:rsidRDefault="00604231" w:rsidP="00604231">
      <w:pPr>
        <w:spacing w:line="360" w:lineRule="auto"/>
        <w:jc w:val="both"/>
        <w:rPr>
          <w:rFonts w:cs="Arial"/>
          <w:b/>
          <w:bCs/>
          <w:szCs w:val="20"/>
        </w:rPr>
        <w:sectPr w:rsidR="00604231" w:rsidSect="00604231">
          <w:footerReference w:type="even" r:id="rId6"/>
          <w:footerReference w:type="default" r:id="rId7"/>
          <w:footerReference w:type="first" r:id="rId8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0E8DDC1A" w14:textId="77777777" w:rsidR="00604231" w:rsidRDefault="00604231" w:rsidP="00604231">
      <w:pPr>
        <w:spacing w:line="360" w:lineRule="auto"/>
        <w:jc w:val="both"/>
        <w:rPr>
          <w:rFonts w:cs="Arial"/>
          <w:szCs w:val="20"/>
        </w:rPr>
      </w:pPr>
      <w:r w:rsidRPr="00400B84">
        <w:rPr>
          <w:rFonts w:cs="Arial"/>
          <w:b/>
          <w:bCs/>
          <w:szCs w:val="20"/>
        </w:rPr>
        <w:lastRenderedPageBreak/>
        <w:t>Table S2.</w:t>
      </w:r>
      <w:r w:rsidRPr="009F040B">
        <w:rPr>
          <w:rFonts w:cs="Arial"/>
          <w:szCs w:val="20"/>
        </w:rPr>
        <w:t xml:space="preserve"> Distribution of PI/FSC cell populations following 24 h treatment with PNEE.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1183"/>
        <w:gridCol w:w="1405"/>
        <w:gridCol w:w="1405"/>
      </w:tblGrid>
      <w:tr w:rsidR="00604231" w:rsidRPr="009F040B" w14:paraId="445A6481" w14:textId="77777777" w:rsidTr="00A52D0C">
        <w:tc>
          <w:tcPr>
            <w:tcW w:w="0" w:type="auto"/>
            <w:hideMark/>
          </w:tcPr>
          <w:p w14:paraId="73418FD2" w14:textId="77777777" w:rsidR="00604231" w:rsidRPr="009F040B" w:rsidRDefault="00604231" w:rsidP="00A52D0C">
            <w:pPr>
              <w:spacing w:line="360" w:lineRule="auto"/>
              <w:jc w:val="center"/>
              <w:rPr>
                <w:rFonts w:cs="Arial"/>
                <w:b/>
                <w:bCs/>
                <w:lang w:val="en-ID"/>
              </w:rPr>
            </w:pPr>
            <w:r w:rsidRPr="009F040B">
              <w:rPr>
                <w:rFonts w:cs="Arial"/>
                <w:b/>
                <w:bCs/>
                <w:lang w:val="en-ID"/>
              </w:rPr>
              <w:t>Cell line</w:t>
            </w:r>
          </w:p>
        </w:tc>
        <w:tc>
          <w:tcPr>
            <w:tcW w:w="0" w:type="auto"/>
            <w:hideMark/>
          </w:tcPr>
          <w:p w14:paraId="35376097" w14:textId="77777777" w:rsidR="00604231" w:rsidRPr="009F040B" w:rsidRDefault="00604231" w:rsidP="00A52D0C">
            <w:pPr>
              <w:spacing w:line="360" w:lineRule="auto"/>
              <w:jc w:val="center"/>
              <w:rPr>
                <w:rFonts w:cs="Arial"/>
                <w:b/>
                <w:bCs/>
                <w:lang w:val="en-ID"/>
              </w:rPr>
            </w:pPr>
            <w:r w:rsidRPr="009F040B">
              <w:rPr>
                <w:rFonts w:cs="Arial"/>
                <w:b/>
                <w:bCs/>
                <w:lang w:val="en-ID"/>
              </w:rPr>
              <w:t>Treatment</w:t>
            </w:r>
          </w:p>
        </w:tc>
        <w:tc>
          <w:tcPr>
            <w:tcW w:w="0" w:type="auto"/>
            <w:hideMark/>
          </w:tcPr>
          <w:p w14:paraId="2881554D" w14:textId="77777777" w:rsidR="00604231" w:rsidRPr="009F040B" w:rsidRDefault="00604231" w:rsidP="00A52D0C">
            <w:pPr>
              <w:spacing w:line="360" w:lineRule="auto"/>
              <w:jc w:val="center"/>
              <w:rPr>
                <w:rFonts w:cs="Arial"/>
                <w:b/>
                <w:bCs/>
                <w:lang w:val="en-ID"/>
              </w:rPr>
            </w:pPr>
            <w:r w:rsidRPr="009F040B">
              <w:rPr>
                <w:rFonts w:cs="Arial"/>
                <w:b/>
                <w:bCs/>
                <w:lang w:val="en-ID"/>
              </w:rPr>
              <w:t>PI</w:t>
            </w:r>
            <w:r w:rsidRPr="00400B84">
              <w:rPr>
                <w:rFonts w:cs="Arial"/>
                <w:b/>
                <w:bCs/>
                <w:vertAlign w:val="superscript"/>
                <w:lang w:val="en-ID"/>
              </w:rPr>
              <w:t>+</w:t>
            </w:r>
            <w:r w:rsidRPr="009F040B">
              <w:rPr>
                <w:rFonts w:cs="Arial"/>
                <w:b/>
                <w:bCs/>
                <w:lang w:val="en-ID"/>
              </w:rPr>
              <w:t>/FSC</w:t>
            </w:r>
            <w:r w:rsidRPr="00400B84">
              <w:rPr>
                <w:rFonts w:cs="Arial"/>
                <w:b/>
                <w:bCs/>
                <w:vertAlign w:val="superscript"/>
                <w:lang w:val="en-ID"/>
              </w:rPr>
              <w:t>−</w:t>
            </w:r>
            <w:r w:rsidRPr="009F040B">
              <w:rPr>
                <w:rFonts w:cs="Arial"/>
                <w:b/>
                <w:bCs/>
                <w:lang w:val="en-ID"/>
              </w:rPr>
              <w:t xml:space="preserve"> (%)</w:t>
            </w:r>
          </w:p>
        </w:tc>
        <w:tc>
          <w:tcPr>
            <w:tcW w:w="0" w:type="auto"/>
            <w:hideMark/>
          </w:tcPr>
          <w:p w14:paraId="04B239A7" w14:textId="77777777" w:rsidR="00604231" w:rsidRPr="009F040B" w:rsidRDefault="00604231" w:rsidP="00A52D0C">
            <w:pPr>
              <w:spacing w:line="360" w:lineRule="auto"/>
              <w:jc w:val="center"/>
              <w:rPr>
                <w:rFonts w:cs="Arial"/>
                <w:b/>
                <w:bCs/>
                <w:lang w:val="en-ID"/>
              </w:rPr>
            </w:pPr>
            <w:r w:rsidRPr="009F040B">
              <w:rPr>
                <w:rFonts w:cs="Arial"/>
                <w:b/>
                <w:bCs/>
                <w:lang w:val="en-ID"/>
              </w:rPr>
              <w:t>PI</w:t>
            </w:r>
            <w:r w:rsidRPr="00400B84">
              <w:rPr>
                <w:rFonts w:cs="Arial"/>
                <w:b/>
                <w:bCs/>
                <w:vertAlign w:val="superscript"/>
                <w:lang w:val="en-ID"/>
              </w:rPr>
              <w:t>−</w:t>
            </w:r>
            <w:r w:rsidRPr="009F040B">
              <w:rPr>
                <w:rFonts w:cs="Arial"/>
                <w:b/>
                <w:bCs/>
                <w:lang w:val="en-ID"/>
              </w:rPr>
              <w:t>/FSC</w:t>
            </w:r>
            <w:r w:rsidRPr="00400B84">
              <w:rPr>
                <w:rFonts w:cs="Arial"/>
                <w:b/>
                <w:bCs/>
                <w:vertAlign w:val="superscript"/>
                <w:lang w:val="en-ID"/>
              </w:rPr>
              <w:t>−</w:t>
            </w:r>
            <w:r w:rsidRPr="009F040B">
              <w:rPr>
                <w:rFonts w:cs="Arial"/>
                <w:b/>
                <w:bCs/>
                <w:lang w:val="en-ID"/>
              </w:rPr>
              <w:t xml:space="preserve"> (%)</w:t>
            </w:r>
          </w:p>
        </w:tc>
      </w:tr>
      <w:tr w:rsidR="00604231" w:rsidRPr="009F040B" w14:paraId="5620E98B" w14:textId="77777777" w:rsidTr="00A52D0C">
        <w:tc>
          <w:tcPr>
            <w:tcW w:w="0" w:type="auto"/>
            <w:vMerge w:val="restart"/>
            <w:vAlign w:val="center"/>
            <w:hideMark/>
          </w:tcPr>
          <w:p w14:paraId="5ACE827A" w14:textId="77777777" w:rsidR="00604231" w:rsidRPr="009F040B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  <w:r w:rsidRPr="009F040B">
              <w:rPr>
                <w:rFonts w:cs="Arial"/>
                <w:lang w:val="en-ID"/>
              </w:rPr>
              <w:t>BT-474</w:t>
            </w:r>
          </w:p>
        </w:tc>
        <w:tc>
          <w:tcPr>
            <w:tcW w:w="0" w:type="auto"/>
            <w:hideMark/>
          </w:tcPr>
          <w:p w14:paraId="3F706573" w14:textId="77777777" w:rsidR="00604231" w:rsidRPr="009F040B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  <w:r w:rsidRPr="009F040B">
              <w:rPr>
                <w:rFonts w:cs="Arial"/>
                <w:lang w:val="en-ID"/>
              </w:rPr>
              <w:t>Control</w:t>
            </w:r>
          </w:p>
        </w:tc>
        <w:tc>
          <w:tcPr>
            <w:tcW w:w="0" w:type="auto"/>
            <w:hideMark/>
          </w:tcPr>
          <w:p w14:paraId="55F0D287" w14:textId="77777777" w:rsidR="00604231" w:rsidRPr="009F040B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  <w:r>
              <w:rPr>
                <w:rFonts w:cs="Arial"/>
                <w:lang w:val="en-ID"/>
              </w:rPr>
              <w:t>3.54</w:t>
            </w:r>
            <w:r w:rsidRPr="009F040B">
              <w:rPr>
                <w:rFonts w:cs="Arial"/>
                <w:lang w:val="en-ID"/>
              </w:rPr>
              <w:t xml:space="preserve"> ± </w:t>
            </w:r>
            <w:r>
              <w:rPr>
                <w:rFonts w:cs="Arial"/>
                <w:lang w:val="en-ID"/>
              </w:rPr>
              <w:t>0.34</w:t>
            </w:r>
          </w:p>
        </w:tc>
        <w:tc>
          <w:tcPr>
            <w:tcW w:w="0" w:type="auto"/>
            <w:hideMark/>
          </w:tcPr>
          <w:p w14:paraId="12C97883" w14:textId="77777777" w:rsidR="00604231" w:rsidRPr="009F040B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  <w:r>
              <w:rPr>
                <w:rFonts w:cs="Arial"/>
                <w:lang w:val="en-ID"/>
              </w:rPr>
              <w:t>1.25</w:t>
            </w:r>
            <w:r w:rsidRPr="009F040B">
              <w:rPr>
                <w:rFonts w:cs="Arial"/>
                <w:lang w:val="en-ID"/>
              </w:rPr>
              <w:t xml:space="preserve"> ± </w:t>
            </w:r>
            <w:r>
              <w:rPr>
                <w:rFonts w:cs="Arial"/>
                <w:lang w:val="en-ID"/>
              </w:rPr>
              <w:t>0.10</w:t>
            </w:r>
          </w:p>
        </w:tc>
      </w:tr>
      <w:tr w:rsidR="00604231" w:rsidRPr="009F040B" w14:paraId="6FB7A123" w14:textId="77777777" w:rsidTr="00A52D0C">
        <w:tc>
          <w:tcPr>
            <w:tcW w:w="0" w:type="auto"/>
            <w:vMerge/>
            <w:hideMark/>
          </w:tcPr>
          <w:p w14:paraId="47AC5CED" w14:textId="77777777" w:rsidR="00604231" w:rsidRPr="009F040B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</w:p>
        </w:tc>
        <w:tc>
          <w:tcPr>
            <w:tcW w:w="0" w:type="auto"/>
            <w:hideMark/>
          </w:tcPr>
          <w:p w14:paraId="3A75CB5C" w14:textId="77777777" w:rsidR="00604231" w:rsidRPr="009F040B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  <w:r w:rsidRPr="009F040B">
              <w:rPr>
                <w:rFonts w:cs="Arial"/>
                <w:lang w:val="en-ID"/>
              </w:rPr>
              <w:t>PNEE</w:t>
            </w:r>
          </w:p>
        </w:tc>
        <w:tc>
          <w:tcPr>
            <w:tcW w:w="0" w:type="auto"/>
            <w:hideMark/>
          </w:tcPr>
          <w:p w14:paraId="54076B67" w14:textId="77777777" w:rsidR="00604231" w:rsidRPr="00031718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  <w:r w:rsidRPr="00400B84">
              <w:rPr>
                <w:rFonts w:cs="Arial"/>
                <w:lang w:val="en-ID"/>
              </w:rPr>
              <w:t>25.90 ± 0.08</w:t>
            </w:r>
            <w:r w:rsidRPr="00031718">
              <w:rPr>
                <w:rFonts w:cs="Arial"/>
                <w:lang w:val="en-ID"/>
              </w:rPr>
              <w:t>*</w:t>
            </w:r>
          </w:p>
        </w:tc>
        <w:tc>
          <w:tcPr>
            <w:tcW w:w="0" w:type="auto"/>
            <w:hideMark/>
          </w:tcPr>
          <w:p w14:paraId="3BB0263C" w14:textId="77777777" w:rsidR="00604231" w:rsidRPr="00031718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  <w:r w:rsidRPr="00400B84">
              <w:rPr>
                <w:rFonts w:cs="Arial"/>
                <w:lang w:val="en-ID"/>
              </w:rPr>
              <w:t>3.35 ± 0.71</w:t>
            </w:r>
          </w:p>
        </w:tc>
      </w:tr>
      <w:tr w:rsidR="00604231" w:rsidRPr="009F040B" w14:paraId="1CB55CD2" w14:textId="77777777" w:rsidTr="00A52D0C">
        <w:tc>
          <w:tcPr>
            <w:tcW w:w="0" w:type="auto"/>
            <w:vMerge w:val="restart"/>
            <w:vAlign w:val="center"/>
            <w:hideMark/>
          </w:tcPr>
          <w:p w14:paraId="72ADB7A5" w14:textId="77777777" w:rsidR="00604231" w:rsidRPr="009F040B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  <w:r w:rsidRPr="009F040B">
              <w:rPr>
                <w:rFonts w:cs="Arial"/>
                <w:lang w:val="en-ID"/>
              </w:rPr>
              <w:t>MCF-7</w:t>
            </w:r>
          </w:p>
        </w:tc>
        <w:tc>
          <w:tcPr>
            <w:tcW w:w="0" w:type="auto"/>
            <w:hideMark/>
          </w:tcPr>
          <w:p w14:paraId="0D6B1F91" w14:textId="77777777" w:rsidR="00604231" w:rsidRPr="009F040B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  <w:r w:rsidRPr="009F040B">
              <w:rPr>
                <w:rFonts w:cs="Arial"/>
                <w:lang w:val="en-ID"/>
              </w:rPr>
              <w:t>Control</w:t>
            </w:r>
          </w:p>
        </w:tc>
        <w:tc>
          <w:tcPr>
            <w:tcW w:w="0" w:type="auto"/>
            <w:hideMark/>
          </w:tcPr>
          <w:p w14:paraId="61A6C36F" w14:textId="77777777" w:rsidR="00604231" w:rsidRPr="00031718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  <w:r w:rsidRPr="00031718">
              <w:rPr>
                <w:rFonts w:cs="Arial"/>
                <w:lang w:val="en-ID"/>
              </w:rPr>
              <w:t>2.90 ± 0.22</w:t>
            </w:r>
          </w:p>
        </w:tc>
        <w:tc>
          <w:tcPr>
            <w:tcW w:w="0" w:type="auto"/>
            <w:hideMark/>
          </w:tcPr>
          <w:p w14:paraId="55A45749" w14:textId="77777777" w:rsidR="00604231" w:rsidRPr="00031718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  <w:r w:rsidRPr="00031718">
              <w:rPr>
                <w:rFonts w:cs="Arial"/>
                <w:lang w:val="en-ID"/>
              </w:rPr>
              <w:t>3.75 ± 0.48</w:t>
            </w:r>
          </w:p>
        </w:tc>
      </w:tr>
      <w:tr w:rsidR="00604231" w:rsidRPr="009F040B" w14:paraId="18FEF9E3" w14:textId="77777777" w:rsidTr="00A52D0C">
        <w:tc>
          <w:tcPr>
            <w:tcW w:w="0" w:type="auto"/>
            <w:vMerge/>
            <w:hideMark/>
          </w:tcPr>
          <w:p w14:paraId="74B69AD5" w14:textId="77777777" w:rsidR="00604231" w:rsidRPr="009F040B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</w:p>
        </w:tc>
        <w:tc>
          <w:tcPr>
            <w:tcW w:w="0" w:type="auto"/>
            <w:hideMark/>
          </w:tcPr>
          <w:p w14:paraId="1C5EE693" w14:textId="77777777" w:rsidR="00604231" w:rsidRPr="009F040B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  <w:r w:rsidRPr="009F040B">
              <w:rPr>
                <w:rFonts w:cs="Arial"/>
                <w:lang w:val="en-ID"/>
              </w:rPr>
              <w:t>PNEE</w:t>
            </w:r>
          </w:p>
        </w:tc>
        <w:tc>
          <w:tcPr>
            <w:tcW w:w="0" w:type="auto"/>
            <w:hideMark/>
          </w:tcPr>
          <w:p w14:paraId="7FC05F5A" w14:textId="77777777" w:rsidR="00604231" w:rsidRPr="00031718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  <w:r w:rsidRPr="00400B84">
              <w:rPr>
                <w:rFonts w:cs="Arial"/>
                <w:lang w:val="en-ID"/>
              </w:rPr>
              <w:t>7.07 ± 0.46</w:t>
            </w:r>
            <w:r w:rsidRPr="00031718">
              <w:rPr>
                <w:rFonts w:cs="Arial"/>
                <w:lang w:val="en-ID"/>
              </w:rPr>
              <w:t>*</w:t>
            </w:r>
          </w:p>
        </w:tc>
        <w:tc>
          <w:tcPr>
            <w:tcW w:w="0" w:type="auto"/>
            <w:hideMark/>
          </w:tcPr>
          <w:p w14:paraId="12170A9E" w14:textId="77777777" w:rsidR="00604231" w:rsidRPr="00031718" w:rsidRDefault="00604231" w:rsidP="00A52D0C">
            <w:pPr>
              <w:spacing w:line="360" w:lineRule="auto"/>
              <w:jc w:val="both"/>
              <w:rPr>
                <w:rFonts w:cs="Arial"/>
                <w:lang w:val="en-ID"/>
              </w:rPr>
            </w:pPr>
            <w:r w:rsidRPr="00400B84">
              <w:rPr>
                <w:rFonts w:cs="Arial"/>
                <w:lang w:val="en-ID"/>
              </w:rPr>
              <w:t>19.37 ± 0.90</w:t>
            </w:r>
            <w:r w:rsidRPr="00031718">
              <w:rPr>
                <w:rFonts w:cs="Arial"/>
                <w:lang w:val="en-ID"/>
              </w:rPr>
              <w:t>*</w:t>
            </w:r>
          </w:p>
        </w:tc>
      </w:tr>
    </w:tbl>
    <w:p w14:paraId="08C52C92" w14:textId="705E9BB1" w:rsidR="00604231" w:rsidRPr="00400B84" w:rsidRDefault="00604231" w:rsidP="00604231">
      <w:pPr>
        <w:spacing w:line="360" w:lineRule="auto"/>
        <w:jc w:val="both"/>
        <w:rPr>
          <w:rFonts w:cs="Arial"/>
          <w:b/>
          <w:bCs/>
          <w:szCs w:val="20"/>
        </w:rPr>
      </w:pPr>
      <w:r w:rsidRPr="009F040B">
        <w:rPr>
          <w:rFonts w:cs="Arial"/>
          <w:szCs w:val="20"/>
        </w:rPr>
        <w:t>Cell populations were classified according to plasma membrane permeability (PI) and relative cell size (FSC). PI</w:t>
      </w:r>
      <w:r w:rsidRPr="00400B84">
        <w:rPr>
          <w:rFonts w:cs="Arial"/>
          <w:szCs w:val="20"/>
          <w:vertAlign w:val="superscript"/>
        </w:rPr>
        <w:t>+</w:t>
      </w:r>
      <w:r w:rsidRPr="009F040B">
        <w:rPr>
          <w:rFonts w:cs="Arial"/>
          <w:szCs w:val="20"/>
        </w:rPr>
        <w:t>/FSC</w:t>
      </w:r>
      <w:r w:rsidRPr="00400B84">
        <w:rPr>
          <w:rFonts w:cs="Arial"/>
          <w:szCs w:val="20"/>
          <w:vertAlign w:val="superscript"/>
        </w:rPr>
        <w:t>−</w:t>
      </w:r>
      <w:r w:rsidRPr="009F040B">
        <w:rPr>
          <w:rFonts w:cs="Arial"/>
          <w:szCs w:val="20"/>
        </w:rPr>
        <w:t xml:space="preserve"> cells represent membrane-compromised cells with reduced forward scatter, whereas PI</w:t>
      </w:r>
      <w:r w:rsidRPr="00400B84">
        <w:rPr>
          <w:rFonts w:cs="Arial"/>
          <w:szCs w:val="20"/>
          <w:vertAlign w:val="superscript"/>
        </w:rPr>
        <w:t>−</w:t>
      </w:r>
      <w:r w:rsidRPr="009F040B">
        <w:rPr>
          <w:rFonts w:cs="Arial"/>
          <w:szCs w:val="20"/>
        </w:rPr>
        <w:t>/FSC</w:t>
      </w:r>
      <w:r w:rsidRPr="00400B84">
        <w:rPr>
          <w:rFonts w:cs="Arial"/>
          <w:szCs w:val="20"/>
          <w:vertAlign w:val="superscript"/>
        </w:rPr>
        <w:t>−</w:t>
      </w:r>
      <w:r w:rsidRPr="009F040B">
        <w:rPr>
          <w:rFonts w:cs="Arial"/>
          <w:szCs w:val="20"/>
        </w:rPr>
        <w:t xml:space="preserve"> cells represent shrunken cells without detectable membrane permeabilization. Data are presented as mean ± SD from three independent experiments. </w:t>
      </w:r>
      <w:r w:rsidRPr="00106CF5">
        <w:rPr>
          <w:rFonts w:cs="Arial"/>
          <w:szCs w:val="20"/>
        </w:rPr>
        <w:t>Statistical significance was determined by unpaired t-test comparing PNEE-treated cells with their respective controls</w:t>
      </w:r>
      <w:r>
        <w:rPr>
          <w:rFonts w:cs="Arial"/>
          <w:szCs w:val="20"/>
        </w:rPr>
        <w:t xml:space="preserve"> </w:t>
      </w:r>
      <w:r w:rsidRPr="00E3383D">
        <w:rPr>
          <w:rFonts w:cs="Arial"/>
          <w:szCs w:val="20"/>
        </w:rPr>
        <w:t>as *p &lt; 0.05 compared to the control.</w:t>
      </w:r>
    </w:p>
    <w:sectPr w:rsidR="00604231" w:rsidRPr="00400B84" w:rsidSect="00AC0E8A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7E98" w14:textId="77777777" w:rsidR="00C63E70" w:rsidRDefault="00C63E70" w:rsidP="00DD7617">
      <w:pPr>
        <w:spacing w:line="240" w:lineRule="auto"/>
      </w:pPr>
      <w:r>
        <w:separator/>
      </w:r>
    </w:p>
  </w:endnote>
  <w:endnote w:type="continuationSeparator" w:id="0">
    <w:p w14:paraId="06772615" w14:textId="77777777" w:rsidR="00C63E70" w:rsidRDefault="00C63E70" w:rsidP="00DD7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08E6" w14:textId="7B523612" w:rsidR="00DD7617" w:rsidRDefault="00DD761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F15D66" wp14:editId="5C22CB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0167526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C13A0" w14:textId="6349C095" w:rsidR="00DD7617" w:rsidRPr="00DD7617" w:rsidRDefault="00DD7617" w:rsidP="00DD761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D76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15D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DBC13A0" w14:textId="6349C095" w:rsidR="00DD7617" w:rsidRPr="00DD7617" w:rsidRDefault="00DD7617" w:rsidP="00DD761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D76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80E7" w14:textId="37652E31" w:rsidR="00DD7617" w:rsidRDefault="00DD761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A9CE50" wp14:editId="537A560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21182367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0FD59" w14:textId="5C63ECBD" w:rsidR="00DD7617" w:rsidRPr="00DD7617" w:rsidRDefault="00DD7617" w:rsidP="00DD761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D76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9CE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2E0FD59" w14:textId="5C63ECBD" w:rsidR="00DD7617" w:rsidRPr="00DD7617" w:rsidRDefault="00DD7617" w:rsidP="00DD761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D76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ADE8" w14:textId="03CFB000" w:rsidR="00DD7617" w:rsidRDefault="00DD761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9FB289" wp14:editId="032A61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35216034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BB5E4" w14:textId="4EFDB435" w:rsidR="00DD7617" w:rsidRPr="00DD7617" w:rsidRDefault="00DD7617" w:rsidP="00DD761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D76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FB2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27BB5E4" w14:textId="4EFDB435" w:rsidR="00DD7617" w:rsidRPr="00DD7617" w:rsidRDefault="00DD7617" w:rsidP="00DD761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D76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2F51" w14:textId="77777777" w:rsidR="00C63E70" w:rsidRDefault="00C63E70" w:rsidP="00DD7617">
      <w:pPr>
        <w:spacing w:line="240" w:lineRule="auto"/>
      </w:pPr>
      <w:r>
        <w:separator/>
      </w:r>
    </w:p>
  </w:footnote>
  <w:footnote w:type="continuationSeparator" w:id="0">
    <w:p w14:paraId="7B41181F" w14:textId="77777777" w:rsidR="00C63E70" w:rsidRDefault="00C63E70" w:rsidP="00DD76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31"/>
    <w:rsid w:val="004612E9"/>
    <w:rsid w:val="00604231"/>
    <w:rsid w:val="00623EFC"/>
    <w:rsid w:val="0075192F"/>
    <w:rsid w:val="0092473E"/>
    <w:rsid w:val="00AC0E8A"/>
    <w:rsid w:val="00C63E70"/>
    <w:rsid w:val="00DD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3E72"/>
  <w15:chartTrackingRefBased/>
  <w15:docId w15:val="{E606D3F2-5A3D-4807-8B0A-6BA712CD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231"/>
    <w:pPr>
      <w:spacing w:after="0" w:line="48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2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2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2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2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2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2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2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2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2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4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2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4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2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4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2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4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23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semiHidden/>
    <w:rsid w:val="006042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0423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4231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rsid w:val="00604231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04231"/>
  </w:style>
  <w:style w:type="paragraph" w:styleId="Footer">
    <w:name w:val="footer"/>
    <w:basedOn w:val="Normal"/>
    <w:link w:val="FooterChar"/>
    <w:uiPriority w:val="99"/>
    <w:unhideWhenUsed/>
    <w:rsid w:val="00DD761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617"/>
    <w:rPr>
      <w:rFonts w:ascii="Arial" w:eastAsia="Times New Roman" w:hAnsi="Arial" w:cs="Times New Roman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hesti lina wiraswati</dc:creator>
  <cp:keywords/>
  <dc:description/>
  <cp:lastModifiedBy>Bartle, Claudia</cp:lastModifiedBy>
  <cp:revision>3</cp:revision>
  <dcterms:created xsi:type="dcterms:W3CDTF">2026-07-02T00:34:00Z</dcterms:created>
  <dcterms:modified xsi:type="dcterms:W3CDTF">2026-07-02T19:11:00Z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14fd8a56,60f7100,ca02c37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2026-07-02T19:11:39Z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2b094f00-164c-452e-8e71-ee26ae5e56a8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