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0B92" w14:textId="77777777" w:rsidR="00D839F7" w:rsidRPr="003C2B7C" w:rsidRDefault="00D839F7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C2B7C">
        <w:rPr>
          <w:rFonts w:asciiTheme="majorBidi" w:hAnsiTheme="majorBidi" w:cstheme="majorBidi"/>
          <w:b/>
          <w:bCs/>
          <w:sz w:val="24"/>
          <w:szCs w:val="24"/>
          <w:lang w:val="en-US"/>
        </w:rPr>
        <w:t>List of Supplementary Tables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326"/>
        <w:gridCol w:w="8024"/>
      </w:tblGrid>
      <w:tr w:rsidR="006816B7" w:rsidRPr="00D51053" w14:paraId="2176D415" w14:textId="77777777" w:rsidTr="006E6DC3">
        <w:tc>
          <w:tcPr>
            <w:tcW w:w="709" w:type="pct"/>
            <w:vAlign w:val="center"/>
          </w:tcPr>
          <w:p w14:paraId="75ADAA3A" w14:textId="1AF86450" w:rsidR="006816B7" w:rsidRPr="00D51053" w:rsidRDefault="006816B7" w:rsidP="009B5AA1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Table</w:t>
            </w:r>
          </w:p>
        </w:tc>
        <w:tc>
          <w:tcPr>
            <w:tcW w:w="4291" w:type="pct"/>
            <w:vAlign w:val="center"/>
          </w:tcPr>
          <w:p w14:paraId="226870E1" w14:textId="462D1AB8" w:rsidR="006816B7" w:rsidRPr="00D51053" w:rsidRDefault="006816B7" w:rsidP="009B5AA1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Title</w:t>
            </w:r>
          </w:p>
        </w:tc>
      </w:tr>
      <w:tr w:rsidR="006816B7" w:rsidRPr="00D51053" w14:paraId="292DD3B5" w14:textId="77777777" w:rsidTr="006E6DC3">
        <w:tc>
          <w:tcPr>
            <w:tcW w:w="709" w:type="pct"/>
            <w:vAlign w:val="center"/>
          </w:tcPr>
          <w:p w14:paraId="78218E95" w14:textId="5E1F9727" w:rsidR="006816B7" w:rsidRPr="00D51053" w:rsidRDefault="006816B7" w:rsidP="009B5AA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Table S1</w:t>
            </w:r>
          </w:p>
        </w:tc>
        <w:tc>
          <w:tcPr>
            <w:tcW w:w="4291" w:type="pct"/>
            <w:vAlign w:val="center"/>
          </w:tcPr>
          <w:p w14:paraId="3A67DD12" w14:textId="062D978C" w:rsidR="006816B7" w:rsidRPr="00D51053" w:rsidRDefault="00BB3B5A" w:rsidP="00BB3B5A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B3B5A">
              <w:rPr>
                <w:rFonts w:asciiTheme="majorBidi" w:hAnsiTheme="majorBidi" w:cstheme="majorBidi"/>
                <w:sz w:val="24"/>
                <w:szCs w:val="24"/>
              </w:rPr>
              <w:t>Complete institutional distribution of participants in the final analytic sampl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</w:tr>
      <w:tr w:rsidR="006816B7" w:rsidRPr="00D51053" w14:paraId="56F42C66" w14:textId="77777777" w:rsidTr="006E6DC3">
        <w:tc>
          <w:tcPr>
            <w:tcW w:w="709" w:type="pct"/>
            <w:vAlign w:val="center"/>
          </w:tcPr>
          <w:p w14:paraId="45D4BD67" w14:textId="70581B25" w:rsidR="006816B7" w:rsidRPr="00D51053" w:rsidRDefault="006816B7" w:rsidP="009B5AA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Table S2</w:t>
            </w:r>
          </w:p>
        </w:tc>
        <w:tc>
          <w:tcPr>
            <w:tcW w:w="4291" w:type="pct"/>
            <w:vAlign w:val="center"/>
          </w:tcPr>
          <w:p w14:paraId="0D72F3D5" w14:textId="7F164F53" w:rsidR="006816B7" w:rsidRPr="00D51053" w:rsidRDefault="006816B7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Chi-square analysis of format preference by age group</w:t>
            </w:r>
          </w:p>
        </w:tc>
      </w:tr>
      <w:tr w:rsidR="006816B7" w:rsidRPr="00D51053" w14:paraId="74FE6BDD" w14:textId="77777777" w:rsidTr="006E6DC3">
        <w:tc>
          <w:tcPr>
            <w:tcW w:w="709" w:type="pct"/>
            <w:vAlign w:val="center"/>
          </w:tcPr>
          <w:p w14:paraId="049413BB" w14:textId="5F7CE19D" w:rsidR="006816B7" w:rsidRPr="00D51053" w:rsidRDefault="006816B7" w:rsidP="009B5AA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Table S3</w:t>
            </w:r>
          </w:p>
        </w:tc>
        <w:tc>
          <w:tcPr>
            <w:tcW w:w="4291" w:type="pct"/>
            <w:vAlign w:val="center"/>
          </w:tcPr>
          <w:p w14:paraId="3FC5A4D5" w14:textId="0C3782FD" w:rsidR="006816B7" w:rsidRPr="00D51053" w:rsidRDefault="006816B7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Chi-square analysis of format preference by </w:t>
            </w:r>
            <w:r w:rsidR="00B919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sex</w:t>
            </w:r>
          </w:p>
        </w:tc>
      </w:tr>
      <w:tr w:rsidR="006816B7" w:rsidRPr="00D51053" w14:paraId="190E682C" w14:textId="77777777" w:rsidTr="006E6DC3">
        <w:tc>
          <w:tcPr>
            <w:tcW w:w="709" w:type="pct"/>
            <w:vAlign w:val="center"/>
          </w:tcPr>
          <w:p w14:paraId="68380BE6" w14:textId="58BF17A8" w:rsidR="006816B7" w:rsidRPr="00D51053" w:rsidRDefault="006816B7" w:rsidP="009B5AA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Table S4</w:t>
            </w:r>
          </w:p>
        </w:tc>
        <w:tc>
          <w:tcPr>
            <w:tcW w:w="4291" w:type="pct"/>
            <w:vAlign w:val="center"/>
          </w:tcPr>
          <w:p w14:paraId="492D62E7" w14:textId="0422630A" w:rsidR="006816B7" w:rsidRPr="00D51053" w:rsidRDefault="00805242" w:rsidP="00805242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05242">
              <w:rPr>
                <w:rFonts w:asciiTheme="majorBidi" w:hAnsiTheme="majorBidi" w:cstheme="majorBidi"/>
                <w:sz w:val="24"/>
                <w:szCs w:val="24"/>
              </w:rPr>
              <w:t>Welch ANOVA and Games-Howell post-hoc analysis of print-format preference score by study year</w:t>
            </w:r>
          </w:p>
        </w:tc>
      </w:tr>
      <w:tr w:rsidR="006816B7" w:rsidRPr="00D51053" w14:paraId="58F9D650" w14:textId="77777777" w:rsidTr="006E6DC3">
        <w:tc>
          <w:tcPr>
            <w:tcW w:w="709" w:type="pct"/>
            <w:vAlign w:val="center"/>
          </w:tcPr>
          <w:p w14:paraId="5F1E4402" w14:textId="039F9FEC" w:rsidR="006816B7" w:rsidRPr="00D51053" w:rsidRDefault="006816B7" w:rsidP="009B5AA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Table S5</w:t>
            </w:r>
          </w:p>
        </w:tc>
        <w:tc>
          <w:tcPr>
            <w:tcW w:w="4291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05242" w:rsidRPr="00805242" w14:paraId="6DE652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49DE6A" w14:textId="77777777" w:rsidR="00805242" w:rsidRPr="00805242" w:rsidRDefault="00805242" w:rsidP="00805242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7EDBDCF" w14:textId="77C0BDBE" w:rsidR="00805242" w:rsidRPr="00805242" w:rsidRDefault="00805242" w:rsidP="00805242">
            <w:pPr>
              <w:spacing w:line="480" w:lineRule="auto"/>
              <w:rPr>
                <w:rFonts w:asciiTheme="majorBidi" w:hAnsiTheme="majorBidi" w:cstheme="majorBidi"/>
                <w:vanish/>
                <w:sz w:val="24"/>
                <w:szCs w:val="24"/>
                <w:lang w:val="en-US"/>
              </w:rPr>
            </w:pPr>
            <w:r w:rsidRPr="00805242">
              <w:rPr>
                <w:rFonts w:asciiTheme="majorBidi" w:hAnsiTheme="majorBidi" w:cstheme="majorBidi"/>
                <w:sz w:val="24"/>
                <w:szCs w:val="24"/>
              </w:rPr>
              <w:t>Welch ANOVA and Games-Howell post-hoc analysis of print-format preference score by medical specialty</w:t>
            </w:r>
          </w:p>
          <w:p w14:paraId="2723D76C" w14:textId="682D84BB" w:rsidR="006816B7" w:rsidRPr="00D51053" w:rsidRDefault="006816B7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3DD17E00" w14:textId="73E138D1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  <w:rtl/>
          <w:lang w:val="en-US"/>
        </w:rPr>
      </w:pPr>
    </w:p>
    <w:p w14:paraId="11689F9C" w14:textId="77777777" w:rsidR="00374A13" w:rsidRPr="00D51053" w:rsidRDefault="00374A1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51053">
        <w:rPr>
          <w:rFonts w:asciiTheme="majorBidi" w:hAnsiTheme="majorBidi" w:cstheme="majorBidi"/>
          <w:b/>
          <w:bCs/>
          <w:sz w:val="24"/>
          <w:szCs w:val="24"/>
          <w:lang w:val="en-US"/>
        </w:rPr>
        <w:br w:type="page"/>
      </w:r>
    </w:p>
    <w:p w14:paraId="4CA440DA" w14:textId="77777777" w:rsidR="00A33B91" w:rsidRPr="00A33B91" w:rsidRDefault="00A33B91" w:rsidP="00A33B91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33B91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Table S1. Complete institutional distribution of participants in the final analytic sample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504"/>
        <w:gridCol w:w="1608"/>
        <w:gridCol w:w="1238"/>
      </w:tblGrid>
      <w:tr w:rsidR="00C521EA" w:rsidRPr="00D51053" w14:paraId="11852703" w14:textId="77777777" w:rsidTr="00C521EA">
        <w:tc>
          <w:tcPr>
            <w:tcW w:w="3478" w:type="pct"/>
            <w:vAlign w:val="center"/>
          </w:tcPr>
          <w:p w14:paraId="6BD5FE2A" w14:textId="25242D96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University / institution</w:t>
            </w:r>
          </w:p>
        </w:tc>
        <w:tc>
          <w:tcPr>
            <w:tcW w:w="860" w:type="pct"/>
            <w:vAlign w:val="center"/>
          </w:tcPr>
          <w:p w14:paraId="0B8493B6" w14:textId="77F58A90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662" w:type="pct"/>
            <w:vAlign w:val="center"/>
          </w:tcPr>
          <w:p w14:paraId="782369BB" w14:textId="21D1A38F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Percent</w:t>
            </w:r>
          </w:p>
        </w:tc>
      </w:tr>
      <w:tr w:rsidR="00C521EA" w:rsidRPr="00D51053" w14:paraId="67B1C6CC" w14:textId="77777777" w:rsidTr="00C521EA">
        <w:tc>
          <w:tcPr>
            <w:tcW w:w="3478" w:type="pct"/>
            <w:vAlign w:val="center"/>
          </w:tcPr>
          <w:p w14:paraId="43E6E4EA" w14:textId="2A2464AA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Public universities</w:t>
            </w:r>
          </w:p>
        </w:tc>
        <w:tc>
          <w:tcPr>
            <w:tcW w:w="860" w:type="pct"/>
            <w:vAlign w:val="center"/>
          </w:tcPr>
          <w:p w14:paraId="0BE8B64F" w14:textId="51369E74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1905</w:t>
            </w:r>
          </w:p>
        </w:tc>
        <w:tc>
          <w:tcPr>
            <w:tcW w:w="662" w:type="pct"/>
            <w:vAlign w:val="center"/>
          </w:tcPr>
          <w:p w14:paraId="79A6AB3E" w14:textId="3769BA08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86.55</w:t>
            </w:r>
          </w:p>
        </w:tc>
      </w:tr>
      <w:tr w:rsidR="00C521EA" w:rsidRPr="00D51053" w14:paraId="39F9A95B" w14:textId="77777777" w:rsidTr="00C521EA">
        <w:tc>
          <w:tcPr>
            <w:tcW w:w="3478" w:type="pct"/>
            <w:vAlign w:val="center"/>
          </w:tcPr>
          <w:p w14:paraId="357BF720" w14:textId="39E2C7F9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Idlib University</w:t>
            </w:r>
          </w:p>
        </w:tc>
        <w:tc>
          <w:tcPr>
            <w:tcW w:w="860" w:type="pct"/>
            <w:vAlign w:val="center"/>
          </w:tcPr>
          <w:p w14:paraId="6FC45BD1" w14:textId="4C1E72F9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41</w:t>
            </w:r>
          </w:p>
        </w:tc>
        <w:tc>
          <w:tcPr>
            <w:tcW w:w="662" w:type="pct"/>
            <w:vAlign w:val="center"/>
          </w:tcPr>
          <w:p w14:paraId="5B034EEB" w14:textId="472D9A4A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1.86</w:t>
            </w:r>
          </w:p>
        </w:tc>
      </w:tr>
      <w:tr w:rsidR="00C521EA" w:rsidRPr="00D51053" w14:paraId="2D3FCE1E" w14:textId="77777777" w:rsidTr="00C521EA">
        <w:tc>
          <w:tcPr>
            <w:tcW w:w="3478" w:type="pct"/>
            <w:vAlign w:val="center"/>
          </w:tcPr>
          <w:p w14:paraId="7312F7E0" w14:textId="03D31172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Latakia University</w:t>
            </w:r>
          </w:p>
        </w:tc>
        <w:tc>
          <w:tcPr>
            <w:tcW w:w="860" w:type="pct"/>
            <w:vAlign w:val="center"/>
          </w:tcPr>
          <w:p w14:paraId="39BC502D" w14:textId="5350ECE6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156</w:t>
            </w:r>
          </w:p>
        </w:tc>
        <w:tc>
          <w:tcPr>
            <w:tcW w:w="662" w:type="pct"/>
            <w:vAlign w:val="center"/>
          </w:tcPr>
          <w:p w14:paraId="085C954F" w14:textId="629D0D04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7.09</w:t>
            </w:r>
          </w:p>
        </w:tc>
      </w:tr>
      <w:tr w:rsidR="00C521EA" w:rsidRPr="00D51053" w14:paraId="7D90B87B" w14:textId="77777777" w:rsidTr="00C521EA">
        <w:tc>
          <w:tcPr>
            <w:tcW w:w="3478" w:type="pct"/>
            <w:vAlign w:val="center"/>
          </w:tcPr>
          <w:p w14:paraId="543E38FA" w14:textId="34025520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Aleppo University</w:t>
            </w:r>
          </w:p>
        </w:tc>
        <w:tc>
          <w:tcPr>
            <w:tcW w:w="860" w:type="pct"/>
            <w:vAlign w:val="center"/>
          </w:tcPr>
          <w:p w14:paraId="721CA655" w14:textId="58886BA3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423</w:t>
            </w:r>
          </w:p>
        </w:tc>
        <w:tc>
          <w:tcPr>
            <w:tcW w:w="662" w:type="pct"/>
            <w:vAlign w:val="center"/>
          </w:tcPr>
          <w:p w14:paraId="50261113" w14:textId="04964334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19.22</w:t>
            </w:r>
          </w:p>
        </w:tc>
      </w:tr>
      <w:tr w:rsidR="00C521EA" w:rsidRPr="00D51053" w14:paraId="5D6B3EA6" w14:textId="77777777" w:rsidTr="00C521EA">
        <w:tc>
          <w:tcPr>
            <w:tcW w:w="3478" w:type="pct"/>
            <w:vAlign w:val="center"/>
          </w:tcPr>
          <w:p w14:paraId="4F372292" w14:textId="764F4755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Hama University</w:t>
            </w:r>
          </w:p>
        </w:tc>
        <w:tc>
          <w:tcPr>
            <w:tcW w:w="860" w:type="pct"/>
            <w:vAlign w:val="center"/>
          </w:tcPr>
          <w:p w14:paraId="11361BC6" w14:textId="5A7090B2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196</w:t>
            </w:r>
          </w:p>
        </w:tc>
        <w:tc>
          <w:tcPr>
            <w:tcW w:w="662" w:type="pct"/>
            <w:vAlign w:val="center"/>
          </w:tcPr>
          <w:p w14:paraId="63D44183" w14:textId="2B6BF094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8.91</w:t>
            </w:r>
          </w:p>
        </w:tc>
      </w:tr>
      <w:tr w:rsidR="00C521EA" w:rsidRPr="00D51053" w14:paraId="6C19E563" w14:textId="77777777" w:rsidTr="00C521EA">
        <w:tc>
          <w:tcPr>
            <w:tcW w:w="3478" w:type="pct"/>
            <w:vAlign w:val="center"/>
          </w:tcPr>
          <w:p w14:paraId="396950E0" w14:textId="3881F33D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Homs University</w:t>
            </w:r>
          </w:p>
        </w:tc>
        <w:tc>
          <w:tcPr>
            <w:tcW w:w="860" w:type="pct"/>
            <w:vAlign w:val="center"/>
          </w:tcPr>
          <w:p w14:paraId="185078E5" w14:textId="6C5D30C4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504</w:t>
            </w:r>
          </w:p>
        </w:tc>
        <w:tc>
          <w:tcPr>
            <w:tcW w:w="662" w:type="pct"/>
            <w:vAlign w:val="center"/>
          </w:tcPr>
          <w:p w14:paraId="623AA2A9" w14:textId="4E24C597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22.90</w:t>
            </w:r>
          </w:p>
        </w:tc>
      </w:tr>
      <w:tr w:rsidR="00C521EA" w:rsidRPr="00D51053" w14:paraId="6D65387C" w14:textId="77777777" w:rsidTr="00C521EA">
        <w:tc>
          <w:tcPr>
            <w:tcW w:w="3478" w:type="pct"/>
            <w:vAlign w:val="center"/>
          </w:tcPr>
          <w:p w14:paraId="6EA8EF52" w14:textId="5F34E29C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Damascus University</w:t>
            </w:r>
          </w:p>
        </w:tc>
        <w:tc>
          <w:tcPr>
            <w:tcW w:w="860" w:type="pct"/>
            <w:vAlign w:val="center"/>
          </w:tcPr>
          <w:p w14:paraId="61F21592" w14:textId="0AE6545D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428</w:t>
            </w:r>
          </w:p>
        </w:tc>
        <w:tc>
          <w:tcPr>
            <w:tcW w:w="662" w:type="pct"/>
            <w:vAlign w:val="center"/>
          </w:tcPr>
          <w:p w14:paraId="1F327AC0" w14:textId="413F3785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19.45</w:t>
            </w:r>
          </w:p>
        </w:tc>
      </w:tr>
      <w:tr w:rsidR="00C521EA" w:rsidRPr="00D51053" w14:paraId="7BB87B6C" w14:textId="77777777" w:rsidTr="00C521EA">
        <w:tc>
          <w:tcPr>
            <w:tcW w:w="3478" w:type="pct"/>
            <w:vAlign w:val="center"/>
          </w:tcPr>
          <w:p w14:paraId="36E138BB" w14:textId="6F63DA8A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Tartous University</w:t>
            </w:r>
          </w:p>
        </w:tc>
        <w:tc>
          <w:tcPr>
            <w:tcW w:w="860" w:type="pct"/>
            <w:vAlign w:val="center"/>
          </w:tcPr>
          <w:p w14:paraId="794A2F4D" w14:textId="64C3C728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157</w:t>
            </w:r>
          </w:p>
        </w:tc>
        <w:tc>
          <w:tcPr>
            <w:tcW w:w="662" w:type="pct"/>
            <w:vAlign w:val="center"/>
          </w:tcPr>
          <w:p w14:paraId="2E05A737" w14:textId="45BC4071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7.13</w:t>
            </w:r>
          </w:p>
        </w:tc>
      </w:tr>
      <w:tr w:rsidR="00C521EA" w:rsidRPr="00D51053" w14:paraId="6ABC3448" w14:textId="77777777" w:rsidTr="00C521EA">
        <w:tc>
          <w:tcPr>
            <w:tcW w:w="3478" w:type="pct"/>
            <w:vAlign w:val="center"/>
          </w:tcPr>
          <w:p w14:paraId="7B11DFA6" w14:textId="512E9A47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Private universities</w:t>
            </w:r>
          </w:p>
        </w:tc>
        <w:tc>
          <w:tcPr>
            <w:tcW w:w="860" w:type="pct"/>
            <w:vAlign w:val="center"/>
          </w:tcPr>
          <w:p w14:paraId="77BDE873" w14:textId="03E173C2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296</w:t>
            </w:r>
          </w:p>
        </w:tc>
        <w:tc>
          <w:tcPr>
            <w:tcW w:w="662" w:type="pct"/>
            <w:vAlign w:val="center"/>
          </w:tcPr>
          <w:p w14:paraId="4B8B7B70" w14:textId="7B228468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13.45</w:t>
            </w:r>
          </w:p>
        </w:tc>
      </w:tr>
      <w:tr w:rsidR="00C521EA" w:rsidRPr="00D51053" w14:paraId="6E5DB9C6" w14:textId="77777777" w:rsidTr="00C521EA">
        <w:tc>
          <w:tcPr>
            <w:tcW w:w="3478" w:type="pct"/>
            <w:vAlign w:val="center"/>
          </w:tcPr>
          <w:p w14:paraId="2E704174" w14:textId="1CACC124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International University for Science and Renaissance</w:t>
            </w:r>
          </w:p>
        </w:tc>
        <w:tc>
          <w:tcPr>
            <w:tcW w:w="860" w:type="pct"/>
            <w:vAlign w:val="center"/>
          </w:tcPr>
          <w:p w14:paraId="238BCAAC" w14:textId="2A7A49C9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662" w:type="pct"/>
            <w:vAlign w:val="center"/>
          </w:tcPr>
          <w:p w14:paraId="44EADF8F" w14:textId="306D7757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0.23</w:t>
            </w:r>
          </w:p>
        </w:tc>
      </w:tr>
      <w:tr w:rsidR="00C521EA" w:rsidRPr="00D51053" w14:paraId="2EA0AEF4" w14:textId="77777777" w:rsidTr="00C521EA">
        <w:tc>
          <w:tcPr>
            <w:tcW w:w="3478" w:type="pct"/>
            <w:vAlign w:val="center"/>
          </w:tcPr>
          <w:p w14:paraId="447E0078" w14:textId="656498AF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Syrian Private University</w:t>
            </w:r>
          </w:p>
        </w:tc>
        <w:tc>
          <w:tcPr>
            <w:tcW w:w="860" w:type="pct"/>
            <w:vAlign w:val="center"/>
          </w:tcPr>
          <w:p w14:paraId="30E4CF97" w14:textId="5F426DCE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662" w:type="pct"/>
            <w:vAlign w:val="center"/>
          </w:tcPr>
          <w:p w14:paraId="54FC9F15" w14:textId="127B57D2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0.32</w:t>
            </w:r>
          </w:p>
        </w:tc>
      </w:tr>
      <w:tr w:rsidR="00C521EA" w:rsidRPr="00D51053" w14:paraId="326A6D23" w14:textId="77777777" w:rsidTr="00C521EA">
        <w:tc>
          <w:tcPr>
            <w:tcW w:w="3478" w:type="pct"/>
            <w:vAlign w:val="center"/>
          </w:tcPr>
          <w:p w14:paraId="2AD90C7F" w14:textId="37E99B4D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Sham Private University</w:t>
            </w:r>
          </w:p>
        </w:tc>
        <w:tc>
          <w:tcPr>
            <w:tcW w:w="860" w:type="pct"/>
            <w:vAlign w:val="center"/>
          </w:tcPr>
          <w:p w14:paraId="63C11ECE" w14:textId="17F7ACAC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</w:t>
            </w:r>
          </w:p>
        </w:tc>
        <w:tc>
          <w:tcPr>
            <w:tcW w:w="662" w:type="pct"/>
            <w:vAlign w:val="center"/>
          </w:tcPr>
          <w:p w14:paraId="02C7A74C" w14:textId="13A7F1D8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0.91</w:t>
            </w:r>
          </w:p>
        </w:tc>
      </w:tr>
      <w:tr w:rsidR="00C521EA" w:rsidRPr="00D51053" w14:paraId="7994434B" w14:textId="77777777" w:rsidTr="00C521EA">
        <w:tc>
          <w:tcPr>
            <w:tcW w:w="3478" w:type="pct"/>
            <w:vAlign w:val="center"/>
          </w:tcPr>
          <w:p w14:paraId="7DB6F1E4" w14:textId="47E699B1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Arab Private University</w:t>
            </w:r>
          </w:p>
        </w:tc>
        <w:tc>
          <w:tcPr>
            <w:tcW w:w="860" w:type="pct"/>
            <w:vAlign w:val="center"/>
          </w:tcPr>
          <w:p w14:paraId="6E6AA4C5" w14:textId="74A30878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662" w:type="pct"/>
            <w:vAlign w:val="center"/>
          </w:tcPr>
          <w:p w14:paraId="0C401DF8" w14:textId="2D88D663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0.18</w:t>
            </w:r>
          </w:p>
        </w:tc>
      </w:tr>
      <w:tr w:rsidR="00C521EA" w:rsidRPr="00D51053" w14:paraId="6BDA797A" w14:textId="77777777" w:rsidTr="00C521EA">
        <w:tc>
          <w:tcPr>
            <w:tcW w:w="3478" w:type="pct"/>
            <w:vAlign w:val="center"/>
          </w:tcPr>
          <w:p w14:paraId="6A179443" w14:textId="37731B48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Qalamun</w:t>
            </w:r>
            <w:proofErr w:type="spellEnd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Private University</w:t>
            </w:r>
          </w:p>
        </w:tc>
        <w:tc>
          <w:tcPr>
            <w:tcW w:w="860" w:type="pct"/>
            <w:vAlign w:val="center"/>
          </w:tcPr>
          <w:p w14:paraId="259FB5D1" w14:textId="55EA6A9A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56</w:t>
            </w:r>
          </w:p>
        </w:tc>
        <w:tc>
          <w:tcPr>
            <w:tcW w:w="662" w:type="pct"/>
            <w:vAlign w:val="center"/>
          </w:tcPr>
          <w:p w14:paraId="7B0EE6D8" w14:textId="1D0880CC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2.54</w:t>
            </w:r>
          </w:p>
        </w:tc>
      </w:tr>
      <w:tr w:rsidR="00C521EA" w:rsidRPr="00D51053" w14:paraId="5DECAC03" w14:textId="77777777" w:rsidTr="00C521EA">
        <w:tc>
          <w:tcPr>
            <w:tcW w:w="3478" w:type="pct"/>
            <w:vAlign w:val="center"/>
          </w:tcPr>
          <w:p w14:paraId="269141CC" w14:textId="5B8FDEBB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</w:t>
            </w:r>
            <w:proofErr w:type="spellStart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Manara</w:t>
            </w:r>
            <w:proofErr w:type="spellEnd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860" w:type="pct"/>
            <w:vAlign w:val="center"/>
          </w:tcPr>
          <w:p w14:paraId="2D95EFB3" w14:textId="39609E80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662" w:type="pct"/>
            <w:vAlign w:val="center"/>
          </w:tcPr>
          <w:p w14:paraId="6C196F88" w14:textId="4AAD63EC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0.32</w:t>
            </w:r>
          </w:p>
        </w:tc>
      </w:tr>
      <w:tr w:rsidR="00C521EA" w:rsidRPr="00D51053" w14:paraId="7C473E8D" w14:textId="77777777" w:rsidTr="00C521EA">
        <w:tc>
          <w:tcPr>
            <w:tcW w:w="3478" w:type="pct"/>
            <w:vAlign w:val="center"/>
          </w:tcPr>
          <w:p w14:paraId="001B7F57" w14:textId="54379298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Al-Wadi Private University</w:t>
            </w:r>
          </w:p>
        </w:tc>
        <w:tc>
          <w:tcPr>
            <w:tcW w:w="860" w:type="pct"/>
            <w:vAlign w:val="center"/>
          </w:tcPr>
          <w:p w14:paraId="39F0C9AE" w14:textId="72FFB64B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</w:t>
            </w:r>
          </w:p>
        </w:tc>
        <w:tc>
          <w:tcPr>
            <w:tcW w:w="662" w:type="pct"/>
            <w:vAlign w:val="center"/>
          </w:tcPr>
          <w:p w14:paraId="6575DDF8" w14:textId="57015CB9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1.45</w:t>
            </w:r>
          </w:p>
        </w:tc>
      </w:tr>
      <w:tr w:rsidR="00C521EA" w:rsidRPr="00D51053" w14:paraId="41441AD1" w14:textId="77777777" w:rsidTr="00C521EA">
        <w:tc>
          <w:tcPr>
            <w:tcW w:w="3478" w:type="pct"/>
            <w:vAlign w:val="center"/>
          </w:tcPr>
          <w:p w14:paraId="12BD63C1" w14:textId="6CC59F43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National Private University</w:t>
            </w:r>
          </w:p>
        </w:tc>
        <w:tc>
          <w:tcPr>
            <w:tcW w:w="860" w:type="pct"/>
            <w:vAlign w:val="center"/>
          </w:tcPr>
          <w:p w14:paraId="06A892FF" w14:textId="747BB749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53</w:t>
            </w:r>
          </w:p>
        </w:tc>
        <w:tc>
          <w:tcPr>
            <w:tcW w:w="662" w:type="pct"/>
            <w:vAlign w:val="center"/>
          </w:tcPr>
          <w:p w14:paraId="0C1BF6BD" w14:textId="493365BA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2.41</w:t>
            </w:r>
          </w:p>
        </w:tc>
      </w:tr>
      <w:tr w:rsidR="00C521EA" w:rsidRPr="00D51053" w14:paraId="511C998E" w14:textId="77777777" w:rsidTr="00C521EA">
        <w:tc>
          <w:tcPr>
            <w:tcW w:w="3478" w:type="pct"/>
            <w:vAlign w:val="center"/>
          </w:tcPr>
          <w:p w14:paraId="7C7C7A20" w14:textId="513BB11B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Yarmouk Private University</w:t>
            </w:r>
          </w:p>
        </w:tc>
        <w:tc>
          <w:tcPr>
            <w:tcW w:w="860" w:type="pct"/>
            <w:vAlign w:val="center"/>
          </w:tcPr>
          <w:p w14:paraId="4E6613DC" w14:textId="7A062E73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662" w:type="pct"/>
            <w:vAlign w:val="center"/>
          </w:tcPr>
          <w:p w14:paraId="3D14D10A" w14:textId="5A30E338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0.18</w:t>
            </w:r>
          </w:p>
        </w:tc>
      </w:tr>
      <w:tr w:rsidR="00C521EA" w:rsidRPr="00D51053" w14:paraId="254FF62D" w14:textId="77777777" w:rsidTr="00C521EA">
        <w:tc>
          <w:tcPr>
            <w:tcW w:w="3478" w:type="pct"/>
            <w:vAlign w:val="center"/>
          </w:tcPr>
          <w:p w14:paraId="588A808B" w14:textId="07A3E688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Al-Andalus Private University</w:t>
            </w:r>
          </w:p>
        </w:tc>
        <w:tc>
          <w:tcPr>
            <w:tcW w:w="860" w:type="pct"/>
            <w:vAlign w:val="center"/>
          </w:tcPr>
          <w:p w14:paraId="54724124" w14:textId="35CF9C24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662" w:type="pct"/>
            <w:vAlign w:val="center"/>
          </w:tcPr>
          <w:p w14:paraId="3E39EA74" w14:textId="78A5D569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0.23</w:t>
            </w:r>
          </w:p>
        </w:tc>
      </w:tr>
      <w:tr w:rsidR="00C521EA" w:rsidRPr="00D51053" w14:paraId="4D9C01E7" w14:textId="77777777" w:rsidTr="00C521EA">
        <w:tc>
          <w:tcPr>
            <w:tcW w:w="3478" w:type="pct"/>
            <w:vAlign w:val="center"/>
          </w:tcPr>
          <w:p w14:paraId="16DC529F" w14:textId="7501D341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Al-Hawash University</w:t>
            </w:r>
          </w:p>
        </w:tc>
        <w:tc>
          <w:tcPr>
            <w:tcW w:w="860" w:type="pct"/>
            <w:vAlign w:val="center"/>
          </w:tcPr>
          <w:p w14:paraId="1D5A543D" w14:textId="62126ABC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</w:t>
            </w:r>
          </w:p>
        </w:tc>
        <w:tc>
          <w:tcPr>
            <w:tcW w:w="662" w:type="pct"/>
            <w:vAlign w:val="center"/>
          </w:tcPr>
          <w:p w14:paraId="2D5E5DA9" w14:textId="77958D87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0.91</w:t>
            </w:r>
          </w:p>
        </w:tc>
      </w:tr>
      <w:tr w:rsidR="00C521EA" w:rsidRPr="00D51053" w14:paraId="04196E47" w14:textId="77777777" w:rsidTr="00C521EA">
        <w:tc>
          <w:tcPr>
            <w:tcW w:w="3478" w:type="pct"/>
            <w:vAlign w:val="center"/>
          </w:tcPr>
          <w:p w14:paraId="30EA2314" w14:textId="5EA85C7A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Qasioun</w:t>
            </w:r>
            <w:proofErr w:type="spellEnd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Private University</w:t>
            </w:r>
          </w:p>
        </w:tc>
        <w:tc>
          <w:tcPr>
            <w:tcW w:w="860" w:type="pct"/>
            <w:vAlign w:val="center"/>
          </w:tcPr>
          <w:p w14:paraId="21507D87" w14:textId="7BF0A77B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  <w:tc>
          <w:tcPr>
            <w:tcW w:w="662" w:type="pct"/>
            <w:vAlign w:val="center"/>
          </w:tcPr>
          <w:p w14:paraId="27EC648F" w14:textId="5A5620DA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0.55</w:t>
            </w:r>
          </w:p>
        </w:tc>
      </w:tr>
      <w:tr w:rsidR="00C521EA" w:rsidRPr="00D51053" w14:paraId="02621432" w14:textId="77777777" w:rsidTr="00C521EA">
        <w:tc>
          <w:tcPr>
            <w:tcW w:w="3478" w:type="pct"/>
            <w:vAlign w:val="center"/>
          </w:tcPr>
          <w:p w14:paraId="4284EE75" w14:textId="07AD83BB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Cordoba University</w:t>
            </w:r>
          </w:p>
        </w:tc>
        <w:tc>
          <w:tcPr>
            <w:tcW w:w="860" w:type="pct"/>
            <w:vAlign w:val="center"/>
          </w:tcPr>
          <w:p w14:paraId="00BCCDC8" w14:textId="26A34DF1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71</w:t>
            </w:r>
          </w:p>
        </w:tc>
        <w:tc>
          <w:tcPr>
            <w:tcW w:w="662" w:type="pct"/>
            <w:vAlign w:val="center"/>
          </w:tcPr>
          <w:p w14:paraId="662F2BE0" w14:textId="61F1D913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3.23</w:t>
            </w:r>
          </w:p>
        </w:tc>
      </w:tr>
      <w:tr w:rsidR="00C521EA" w:rsidRPr="00D51053" w14:paraId="46043677" w14:textId="77777777" w:rsidTr="00C521EA">
        <w:tc>
          <w:tcPr>
            <w:tcW w:w="3478" w:type="pct"/>
            <w:vAlign w:val="center"/>
          </w:tcPr>
          <w:p w14:paraId="00BED424" w14:textId="2AAA58C3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60" w:type="pct"/>
            <w:vAlign w:val="center"/>
          </w:tcPr>
          <w:p w14:paraId="33DD16A3" w14:textId="641BE909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2201</w:t>
            </w:r>
          </w:p>
        </w:tc>
        <w:tc>
          <w:tcPr>
            <w:tcW w:w="662" w:type="pct"/>
            <w:vAlign w:val="center"/>
          </w:tcPr>
          <w:p w14:paraId="43BA2F7A" w14:textId="1DC7E0F4" w:rsidR="00C521EA" w:rsidRPr="00D51053" w:rsidRDefault="00C521EA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100.0</w:t>
            </w:r>
          </w:p>
        </w:tc>
      </w:tr>
    </w:tbl>
    <w:p w14:paraId="40A627F7" w14:textId="0CA10876" w:rsidR="00622FB6" w:rsidRPr="00D51053" w:rsidRDefault="00D172BD" w:rsidP="00D172B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172BD">
        <w:rPr>
          <w:rFonts w:asciiTheme="majorBidi" w:hAnsiTheme="majorBidi" w:cstheme="majorBidi"/>
          <w:i/>
          <w:sz w:val="20"/>
          <w:szCs w:val="20"/>
        </w:rPr>
        <w:t>Bold text indicates grouped university-type headings and the total row</w:t>
      </w:r>
      <w:r w:rsidR="00696E8B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5823B68" w14:textId="77777777" w:rsidR="008D0ECB" w:rsidRPr="00D51053" w:rsidRDefault="008D0ECB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A7F3AB6" w14:textId="77777777" w:rsidR="00EF717E" w:rsidRPr="00D51053" w:rsidRDefault="00EF717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51053">
        <w:rPr>
          <w:rFonts w:asciiTheme="majorBidi" w:hAnsiTheme="majorBidi" w:cstheme="majorBidi"/>
          <w:b/>
          <w:bCs/>
          <w:sz w:val="24"/>
          <w:szCs w:val="24"/>
          <w:lang w:val="en-US"/>
        </w:rPr>
        <w:br w:type="page"/>
      </w:r>
    </w:p>
    <w:p w14:paraId="6A753531" w14:textId="4FDB48A8" w:rsidR="00D839F7" w:rsidRPr="00D51053" w:rsidRDefault="00D839F7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5105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Table S2. Chi-square analysis of format preference by age group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4"/>
        <w:gridCol w:w="723"/>
        <w:gridCol w:w="1190"/>
        <w:gridCol w:w="1378"/>
        <w:gridCol w:w="1156"/>
        <w:gridCol w:w="876"/>
        <w:gridCol w:w="925"/>
        <w:gridCol w:w="1328"/>
      </w:tblGrid>
      <w:tr w:rsidR="00853A56" w:rsidRPr="00D51053" w14:paraId="3F206C5E" w14:textId="77777777" w:rsidTr="00853A56">
        <w:tc>
          <w:tcPr>
            <w:tcW w:w="0" w:type="auto"/>
            <w:vAlign w:val="center"/>
          </w:tcPr>
          <w:p w14:paraId="1BB759BB" w14:textId="15A4C4AF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Preference</w:t>
            </w:r>
          </w:p>
        </w:tc>
        <w:tc>
          <w:tcPr>
            <w:tcW w:w="0" w:type="auto"/>
            <w:vAlign w:val="center"/>
          </w:tcPr>
          <w:p w14:paraId="63FA178C" w14:textId="6D1A2FF5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vAlign w:val="center"/>
          </w:tcPr>
          <w:p w14:paraId="0C66540B" w14:textId="20AEC7A9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&lt;21 n (%)</w:t>
            </w:r>
          </w:p>
        </w:tc>
        <w:tc>
          <w:tcPr>
            <w:tcW w:w="0" w:type="auto"/>
            <w:vAlign w:val="center"/>
          </w:tcPr>
          <w:p w14:paraId="4CB2D8FA" w14:textId="6C2E6965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21–24 n (%)</w:t>
            </w:r>
          </w:p>
        </w:tc>
        <w:tc>
          <w:tcPr>
            <w:tcW w:w="0" w:type="auto"/>
            <w:vAlign w:val="center"/>
          </w:tcPr>
          <w:p w14:paraId="043AC464" w14:textId="4B8E4113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≥25 n (%)</w:t>
            </w:r>
          </w:p>
        </w:tc>
        <w:tc>
          <w:tcPr>
            <w:tcW w:w="0" w:type="auto"/>
            <w:vAlign w:val="center"/>
          </w:tcPr>
          <w:p w14:paraId="5D8CF470" w14:textId="2B6359A2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χ²</w:t>
            </w:r>
          </w:p>
        </w:tc>
        <w:tc>
          <w:tcPr>
            <w:tcW w:w="0" w:type="auto"/>
            <w:vAlign w:val="center"/>
          </w:tcPr>
          <w:p w14:paraId="038A4ACD" w14:textId="1D726CA0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0" w:type="auto"/>
            <w:vAlign w:val="center"/>
          </w:tcPr>
          <w:p w14:paraId="6B645357" w14:textId="49BE089F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Cramér’s</w:t>
            </w:r>
            <w:proofErr w:type="spellEnd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V</w:t>
            </w:r>
          </w:p>
        </w:tc>
      </w:tr>
      <w:tr w:rsidR="00853A56" w:rsidRPr="00D51053" w14:paraId="4FCB6E6F" w14:textId="77777777" w:rsidTr="00853A56">
        <w:tc>
          <w:tcPr>
            <w:tcW w:w="0" w:type="auto"/>
            <w:vAlign w:val="center"/>
          </w:tcPr>
          <w:p w14:paraId="0EBF398C" w14:textId="4A587E2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Neutral</w:t>
            </w:r>
          </w:p>
        </w:tc>
        <w:tc>
          <w:tcPr>
            <w:tcW w:w="0" w:type="auto"/>
            <w:vAlign w:val="center"/>
          </w:tcPr>
          <w:p w14:paraId="590F6608" w14:textId="3FEC723D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37</w:t>
            </w:r>
          </w:p>
        </w:tc>
        <w:tc>
          <w:tcPr>
            <w:tcW w:w="0" w:type="auto"/>
            <w:vAlign w:val="center"/>
          </w:tcPr>
          <w:p w14:paraId="3ECA2742" w14:textId="6CE7605B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27 (73.0)</w:t>
            </w:r>
          </w:p>
        </w:tc>
        <w:tc>
          <w:tcPr>
            <w:tcW w:w="0" w:type="auto"/>
            <w:vAlign w:val="center"/>
          </w:tcPr>
          <w:p w14:paraId="6C50ED75" w14:textId="036866DE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 (21.6)</w:t>
            </w:r>
          </w:p>
        </w:tc>
        <w:tc>
          <w:tcPr>
            <w:tcW w:w="0" w:type="auto"/>
            <w:vAlign w:val="center"/>
          </w:tcPr>
          <w:p w14:paraId="77B2A394" w14:textId="573F0406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 (5.4)</w:t>
            </w:r>
          </w:p>
        </w:tc>
        <w:tc>
          <w:tcPr>
            <w:tcW w:w="0" w:type="auto"/>
            <w:vAlign w:val="center"/>
          </w:tcPr>
          <w:p w14:paraId="1B3A4B32" w14:textId="278A4EEB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17.484</w:t>
            </w:r>
          </w:p>
        </w:tc>
        <w:tc>
          <w:tcPr>
            <w:tcW w:w="0" w:type="auto"/>
            <w:vAlign w:val="center"/>
          </w:tcPr>
          <w:p w14:paraId="26637C55" w14:textId="00026711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0" w:type="auto"/>
            <w:vAlign w:val="center"/>
          </w:tcPr>
          <w:p w14:paraId="51A58113" w14:textId="7738948B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0.063</w:t>
            </w:r>
          </w:p>
        </w:tc>
      </w:tr>
      <w:tr w:rsidR="00853A56" w:rsidRPr="00D51053" w14:paraId="3D196DD7" w14:textId="77777777" w:rsidTr="00853A56">
        <w:tc>
          <w:tcPr>
            <w:tcW w:w="0" w:type="auto"/>
            <w:vAlign w:val="center"/>
          </w:tcPr>
          <w:p w14:paraId="2FFC4E1F" w14:textId="1397B284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Prefer print</w:t>
            </w:r>
          </w:p>
        </w:tc>
        <w:tc>
          <w:tcPr>
            <w:tcW w:w="0" w:type="auto"/>
            <w:vAlign w:val="center"/>
          </w:tcPr>
          <w:p w14:paraId="7D4DC1EA" w14:textId="3DA82A86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1784</w:t>
            </w:r>
          </w:p>
        </w:tc>
        <w:tc>
          <w:tcPr>
            <w:tcW w:w="0" w:type="auto"/>
            <w:vAlign w:val="center"/>
          </w:tcPr>
          <w:p w14:paraId="2B15393A" w14:textId="777435D6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786 (44.1)</w:t>
            </w:r>
          </w:p>
        </w:tc>
        <w:tc>
          <w:tcPr>
            <w:tcW w:w="0" w:type="auto"/>
            <w:vAlign w:val="center"/>
          </w:tcPr>
          <w:p w14:paraId="68412C6D" w14:textId="404246CE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928 (52.0)</w:t>
            </w:r>
          </w:p>
        </w:tc>
        <w:tc>
          <w:tcPr>
            <w:tcW w:w="0" w:type="auto"/>
            <w:vAlign w:val="center"/>
          </w:tcPr>
          <w:p w14:paraId="275240F1" w14:textId="49A3349D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 (3.9)</w:t>
            </w:r>
          </w:p>
        </w:tc>
        <w:tc>
          <w:tcPr>
            <w:tcW w:w="0" w:type="auto"/>
            <w:vAlign w:val="center"/>
          </w:tcPr>
          <w:p w14:paraId="1992343F" w14:textId="7777777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8EB0E6F" w14:textId="7777777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C957EFC" w14:textId="7777777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853A56" w:rsidRPr="00D51053" w14:paraId="3D94851B" w14:textId="77777777" w:rsidTr="00853A56">
        <w:tc>
          <w:tcPr>
            <w:tcW w:w="0" w:type="auto"/>
            <w:vAlign w:val="center"/>
          </w:tcPr>
          <w:p w14:paraId="01748A40" w14:textId="05C32B30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Prefer electronic</w:t>
            </w:r>
          </w:p>
        </w:tc>
        <w:tc>
          <w:tcPr>
            <w:tcW w:w="0" w:type="auto"/>
            <w:vAlign w:val="center"/>
          </w:tcPr>
          <w:p w14:paraId="6EE86036" w14:textId="2B5C83C4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380</w:t>
            </w:r>
          </w:p>
        </w:tc>
        <w:tc>
          <w:tcPr>
            <w:tcW w:w="0" w:type="auto"/>
            <w:vAlign w:val="center"/>
          </w:tcPr>
          <w:p w14:paraId="63BFE2D7" w14:textId="1737B9F1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158 (41.6)</w:t>
            </w:r>
          </w:p>
        </w:tc>
        <w:tc>
          <w:tcPr>
            <w:tcW w:w="0" w:type="auto"/>
            <w:vAlign w:val="center"/>
          </w:tcPr>
          <w:p w14:paraId="536E34C9" w14:textId="4FE50DD2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199 (52.4)</w:t>
            </w:r>
          </w:p>
        </w:tc>
        <w:tc>
          <w:tcPr>
            <w:tcW w:w="0" w:type="auto"/>
            <w:vAlign w:val="center"/>
          </w:tcPr>
          <w:p w14:paraId="45EBE553" w14:textId="214FFEC4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 (6.1)</w:t>
            </w:r>
          </w:p>
        </w:tc>
        <w:tc>
          <w:tcPr>
            <w:tcW w:w="0" w:type="auto"/>
            <w:vAlign w:val="center"/>
          </w:tcPr>
          <w:p w14:paraId="05C986FC" w14:textId="7777777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F4C1F41" w14:textId="7777777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657D2CF" w14:textId="7777777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853A56" w:rsidRPr="00D51053" w14:paraId="6871A67A" w14:textId="77777777" w:rsidTr="00853A56">
        <w:tc>
          <w:tcPr>
            <w:tcW w:w="0" w:type="auto"/>
            <w:vAlign w:val="center"/>
          </w:tcPr>
          <w:p w14:paraId="6A9C9083" w14:textId="6B0C80CB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vAlign w:val="center"/>
          </w:tcPr>
          <w:p w14:paraId="1360D5B2" w14:textId="59B5C9DB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2201</w:t>
            </w:r>
          </w:p>
        </w:tc>
        <w:tc>
          <w:tcPr>
            <w:tcW w:w="0" w:type="auto"/>
            <w:vAlign w:val="center"/>
          </w:tcPr>
          <w:p w14:paraId="04F2DAEB" w14:textId="2E0DB5CB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971 (44.1)</w:t>
            </w:r>
          </w:p>
        </w:tc>
        <w:tc>
          <w:tcPr>
            <w:tcW w:w="0" w:type="auto"/>
            <w:vAlign w:val="center"/>
          </w:tcPr>
          <w:p w14:paraId="73C52742" w14:textId="5F04016A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1135 (51.6)</w:t>
            </w:r>
          </w:p>
        </w:tc>
        <w:tc>
          <w:tcPr>
            <w:tcW w:w="0" w:type="auto"/>
            <w:vAlign w:val="center"/>
          </w:tcPr>
          <w:p w14:paraId="6D801086" w14:textId="37B7231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95 (4.3)</w:t>
            </w:r>
          </w:p>
        </w:tc>
        <w:tc>
          <w:tcPr>
            <w:tcW w:w="0" w:type="auto"/>
            <w:vAlign w:val="center"/>
          </w:tcPr>
          <w:p w14:paraId="6506E721" w14:textId="7777777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4DDBFF8" w14:textId="7777777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1A64E9" w14:textId="77777777" w:rsidR="00853A56" w:rsidRPr="00D51053" w:rsidRDefault="00853A56" w:rsidP="00FE23C7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76387EE3" w14:textId="1FB1A642" w:rsidR="00D839F7" w:rsidRPr="00D51053" w:rsidRDefault="00872382" w:rsidP="00AE5515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51053">
        <w:rPr>
          <w:rFonts w:asciiTheme="majorBidi" w:hAnsiTheme="majorBidi" w:cstheme="majorBidi"/>
          <w:i/>
          <w:iCs/>
          <w:sz w:val="20"/>
          <w:szCs w:val="20"/>
          <w:lang w:val="en-US"/>
        </w:rPr>
        <w:t>Percentages are calculated within each format-preference category. A statistically significant but very small association was observed between age group and overall format preference</w:t>
      </w:r>
      <w:r w:rsidRPr="00D5105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9888D5A" w14:textId="77777777" w:rsidR="00EF1C77" w:rsidRPr="00D51053" w:rsidRDefault="00EF1C7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51053">
        <w:rPr>
          <w:rFonts w:asciiTheme="majorBidi" w:hAnsiTheme="majorBidi" w:cstheme="majorBidi"/>
          <w:b/>
          <w:bCs/>
          <w:sz w:val="24"/>
          <w:szCs w:val="24"/>
          <w:lang w:val="en-US"/>
        </w:rPr>
        <w:br w:type="page"/>
      </w:r>
    </w:p>
    <w:p w14:paraId="7068C9C4" w14:textId="10788159" w:rsidR="00D839F7" w:rsidRPr="00D51053" w:rsidRDefault="00D839F7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5105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Table S3. Chi-square analysis of format preference by </w:t>
      </w:r>
      <w:r w:rsidR="00B9195F">
        <w:rPr>
          <w:rFonts w:asciiTheme="majorBidi" w:hAnsiTheme="majorBidi" w:cstheme="majorBidi"/>
          <w:b/>
          <w:bCs/>
          <w:sz w:val="24"/>
          <w:szCs w:val="24"/>
          <w:lang w:val="en-US"/>
        </w:rPr>
        <w:t>sex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56"/>
        <w:gridCol w:w="798"/>
        <w:gridCol w:w="1403"/>
        <w:gridCol w:w="1692"/>
        <w:gridCol w:w="956"/>
        <w:gridCol w:w="1062"/>
        <w:gridCol w:w="1483"/>
      </w:tblGrid>
      <w:tr w:rsidR="00B2766A" w:rsidRPr="00D51053" w14:paraId="27351308" w14:textId="77777777" w:rsidTr="00B2766A">
        <w:tc>
          <w:tcPr>
            <w:tcW w:w="1046" w:type="pct"/>
            <w:vAlign w:val="center"/>
          </w:tcPr>
          <w:p w14:paraId="46D6E0F2" w14:textId="4FD4DFBF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Preference</w:t>
            </w:r>
          </w:p>
        </w:tc>
        <w:tc>
          <w:tcPr>
            <w:tcW w:w="427" w:type="pct"/>
            <w:vAlign w:val="center"/>
          </w:tcPr>
          <w:p w14:paraId="3C806C72" w14:textId="34987901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50" w:type="pct"/>
            <w:vAlign w:val="center"/>
          </w:tcPr>
          <w:p w14:paraId="25CD24A9" w14:textId="5866F44D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Male n (%)</w:t>
            </w:r>
          </w:p>
        </w:tc>
        <w:tc>
          <w:tcPr>
            <w:tcW w:w="905" w:type="pct"/>
            <w:vAlign w:val="center"/>
          </w:tcPr>
          <w:p w14:paraId="4A0439AA" w14:textId="00B71F1E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Female n (%)</w:t>
            </w:r>
          </w:p>
        </w:tc>
        <w:tc>
          <w:tcPr>
            <w:tcW w:w="511" w:type="pct"/>
            <w:vAlign w:val="center"/>
          </w:tcPr>
          <w:p w14:paraId="1F251988" w14:textId="0C318004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χ²</w:t>
            </w:r>
          </w:p>
        </w:tc>
        <w:tc>
          <w:tcPr>
            <w:tcW w:w="568" w:type="pct"/>
            <w:vAlign w:val="center"/>
          </w:tcPr>
          <w:p w14:paraId="6D514A06" w14:textId="6208E32F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793" w:type="pct"/>
            <w:vAlign w:val="center"/>
          </w:tcPr>
          <w:p w14:paraId="6291BD4A" w14:textId="0A005D3A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Cramér’s</w:t>
            </w:r>
            <w:proofErr w:type="spellEnd"/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V</w:t>
            </w:r>
          </w:p>
        </w:tc>
      </w:tr>
      <w:tr w:rsidR="00B2766A" w:rsidRPr="00D51053" w14:paraId="30C46C3C" w14:textId="77777777" w:rsidTr="00B2766A">
        <w:tc>
          <w:tcPr>
            <w:tcW w:w="1046" w:type="pct"/>
            <w:vAlign w:val="center"/>
          </w:tcPr>
          <w:p w14:paraId="03211328" w14:textId="7A78F5BC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Neutral</w:t>
            </w:r>
          </w:p>
        </w:tc>
        <w:tc>
          <w:tcPr>
            <w:tcW w:w="427" w:type="pct"/>
            <w:vAlign w:val="center"/>
          </w:tcPr>
          <w:p w14:paraId="26E897A9" w14:textId="0D78397E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37</w:t>
            </w:r>
          </w:p>
        </w:tc>
        <w:tc>
          <w:tcPr>
            <w:tcW w:w="750" w:type="pct"/>
            <w:vAlign w:val="center"/>
          </w:tcPr>
          <w:p w14:paraId="440EF5BB" w14:textId="5842448E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 (40.5)</w:t>
            </w:r>
          </w:p>
        </w:tc>
        <w:tc>
          <w:tcPr>
            <w:tcW w:w="905" w:type="pct"/>
            <w:vAlign w:val="center"/>
          </w:tcPr>
          <w:p w14:paraId="0CF5CE6B" w14:textId="014CD4C1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 (59.5)</w:t>
            </w:r>
          </w:p>
        </w:tc>
        <w:tc>
          <w:tcPr>
            <w:tcW w:w="511" w:type="pct"/>
            <w:vAlign w:val="center"/>
          </w:tcPr>
          <w:p w14:paraId="4CFC9D49" w14:textId="7B8AA96E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48.838</w:t>
            </w:r>
          </w:p>
        </w:tc>
        <w:tc>
          <w:tcPr>
            <w:tcW w:w="568" w:type="pct"/>
            <w:vAlign w:val="center"/>
          </w:tcPr>
          <w:p w14:paraId="122ADF20" w14:textId="1192DF72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793" w:type="pct"/>
            <w:vAlign w:val="center"/>
          </w:tcPr>
          <w:p w14:paraId="11BE8DCB" w14:textId="4A92C871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0.149</w:t>
            </w:r>
          </w:p>
        </w:tc>
      </w:tr>
      <w:tr w:rsidR="00B2766A" w:rsidRPr="00D51053" w14:paraId="3F3A3967" w14:textId="77777777" w:rsidTr="00B2766A">
        <w:tc>
          <w:tcPr>
            <w:tcW w:w="1046" w:type="pct"/>
            <w:vAlign w:val="center"/>
          </w:tcPr>
          <w:p w14:paraId="3C3D454A" w14:textId="37B8F3C5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Prefer print</w:t>
            </w:r>
          </w:p>
        </w:tc>
        <w:tc>
          <w:tcPr>
            <w:tcW w:w="427" w:type="pct"/>
            <w:vAlign w:val="center"/>
          </w:tcPr>
          <w:p w14:paraId="159805FF" w14:textId="4D6C8DC1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1784</w:t>
            </w:r>
          </w:p>
        </w:tc>
        <w:tc>
          <w:tcPr>
            <w:tcW w:w="750" w:type="pct"/>
            <w:vAlign w:val="center"/>
          </w:tcPr>
          <w:p w14:paraId="042AC083" w14:textId="58870000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523 (29.3)</w:t>
            </w:r>
          </w:p>
        </w:tc>
        <w:tc>
          <w:tcPr>
            <w:tcW w:w="905" w:type="pct"/>
            <w:vAlign w:val="center"/>
          </w:tcPr>
          <w:p w14:paraId="77280FE4" w14:textId="4E17E680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1261 (70.7)</w:t>
            </w:r>
          </w:p>
        </w:tc>
        <w:tc>
          <w:tcPr>
            <w:tcW w:w="511" w:type="pct"/>
            <w:vAlign w:val="center"/>
          </w:tcPr>
          <w:p w14:paraId="56F6A7C5" w14:textId="77777777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68" w:type="pct"/>
            <w:vAlign w:val="center"/>
          </w:tcPr>
          <w:p w14:paraId="4F8F19D7" w14:textId="77777777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93" w:type="pct"/>
            <w:vAlign w:val="center"/>
          </w:tcPr>
          <w:p w14:paraId="3FDF2ED0" w14:textId="77777777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2766A" w:rsidRPr="00D51053" w14:paraId="6738F922" w14:textId="77777777" w:rsidTr="00B2766A">
        <w:tc>
          <w:tcPr>
            <w:tcW w:w="1046" w:type="pct"/>
            <w:vAlign w:val="center"/>
          </w:tcPr>
          <w:p w14:paraId="41B536DF" w14:textId="0FBA81DE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Prefer electronic</w:t>
            </w:r>
          </w:p>
        </w:tc>
        <w:tc>
          <w:tcPr>
            <w:tcW w:w="427" w:type="pct"/>
            <w:vAlign w:val="center"/>
          </w:tcPr>
          <w:p w14:paraId="6006E4F2" w14:textId="0114E670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380</w:t>
            </w:r>
          </w:p>
        </w:tc>
        <w:tc>
          <w:tcPr>
            <w:tcW w:w="750" w:type="pct"/>
            <w:vAlign w:val="center"/>
          </w:tcPr>
          <w:p w14:paraId="038A1340" w14:textId="19D9006D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181 (47.6)</w:t>
            </w:r>
          </w:p>
        </w:tc>
        <w:tc>
          <w:tcPr>
            <w:tcW w:w="905" w:type="pct"/>
            <w:vAlign w:val="center"/>
          </w:tcPr>
          <w:p w14:paraId="631130FA" w14:textId="34F20FBF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199 (52.4)</w:t>
            </w:r>
          </w:p>
        </w:tc>
        <w:tc>
          <w:tcPr>
            <w:tcW w:w="511" w:type="pct"/>
            <w:vAlign w:val="center"/>
          </w:tcPr>
          <w:p w14:paraId="2590BF8A" w14:textId="77777777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68" w:type="pct"/>
            <w:vAlign w:val="center"/>
          </w:tcPr>
          <w:p w14:paraId="3D10C702" w14:textId="77777777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93" w:type="pct"/>
            <w:vAlign w:val="center"/>
          </w:tcPr>
          <w:p w14:paraId="47AF6235" w14:textId="77777777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B2766A" w:rsidRPr="00D51053" w14:paraId="7546D259" w14:textId="77777777" w:rsidTr="00B2766A">
        <w:tc>
          <w:tcPr>
            <w:tcW w:w="1046" w:type="pct"/>
            <w:vAlign w:val="center"/>
          </w:tcPr>
          <w:p w14:paraId="00548B29" w14:textId="39008CD4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427" w:type="pct"/>
            <w:vAlign w:val="center"/>
          </w:tcPr>
          <w:p w14:paraId="466B42B1" w14:textId="65277B74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2201</w:t>
            </w:r>
          </w:p>
        </w:tc>
        <w:tc>
          <w:tcPr>
            <w:tcW w:w="750" w:type="pct"/>
            <w:vAlign w:val="center"/>
          </w:tcPr>
          <w:p w14:paraId="1BEA4CE2" w14:textId="36B7F432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719 (32.7)</w:t>
            </w:r>
          </w:p>
        </w:tc>
        <w:tc>
          <w:tcPr>
            <w:tcW w:w="905" w:type="pct"/>
            <w:vAlign w:val="center"/>
          </w:tcPr>
          <w:p w14:paraId="06942E08" w14:textId="4A2000F3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1482 (67.3)</w:t>
            </w:r>
          </w:p>
        </w:tc>
        <w:tc>
          <w:tcPr>
            <w:tcW w:w="511" w:type="pct"/>
            <w:vAlign w:val="center"/>
          </w:tcPr>
          <w:p w14:paraId="7DB697A8" w14:textId="77777777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68" w:type="pct"/>
            <w:vAlign w:val="center"/>
          </w:tcPr>
          <w:p w14:paraId="60E5156B" w14:textId="77777777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93" w:type="pct"/>
            <w:vAlign w:val="center"/>
          </w:tcPr>
          <w:p w14:paraId="4F73A0C8" w14:textId="77777777" w:rsidR="00B2766A" w:rsidRPr="00D51053" w:rsidRDefault="00B2766A" w:rsidP="000D2FFB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40A2ED6C" w14:textId="457B2119" w:rsidR="00420AC6" w:rsidRPr="00D51053" w:rsidRDefault="005345E7" w:rsidP="001E68DB">
      <w:pPr>
        <w:spacing w:line="240" w:lineRule="auto"/>
        <w:rPr>
          <w:rFonts w:asciiTheme="majorBidi" w:hAnsiTheme="majorBidi" w:cstheme="majorBidi"/>
          <w:i/>
          <w:iCs/>
          <w:noProof/>
          <w:sz w:val="20"/>
          <w:szCs w:val="20"/>
          <w:lang w:val="en-US"/>
        </w:rPr>
      </w:pPr>
      <w:r w:rsidRPr="00D51053">
        <w:rPr>
          <w:rFonts w:asciiTheme="majorBidi" w:hAnsiTheme="majorBidi" w:cstheme="majorBidi"/>
          <w:i/>
          <w:iCs/>
          <w:sz w:val="20"/>
          <w:szCs w:val="20"/>
        </w:rPr>
        <w:t>Percentages are calculated within each format-preference category. Sex showed a small but statistically significant association with overall format preference</w:t>
      </w:r>
    </w:p>
    <w:p w14:paraId="32FCAB56" w14:textId="77777777" w:rsidR="00420AC6" w:rsidRPr="00D51053" w:rsidRDefault="00420AC6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51053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71D3D98A" w14:textId="7D43F436" w:rsidR="00D839F7" w:rsidRDefault="005345E7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51053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S4. Welch ANOVA and Games-Howell post-hoc analysis of print-format preference score by study year</w:t>
      </w:r>
    </w:p>
    <w:p w14:paraId="08523CD1" w14:textId="772D1AC3" w:rsidR="00413231" w:rsidRPr="00D51053" w:rsidRDefault="00413231" w:rsidP="00413231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13231">
        <w:rPr>
          <w:rFonts w:asciiTheme="majorBidi" w:hAnsiTheme="majorBidi" w:cstheme="majorBidi"/>
          <w:b/>
          <w:bCs/>
          <w:sz w:val="24"/>
          <w:szCs w:val="24"/>
        </w:rPr>
        <w:t>A. Descriptive statistics by study yea</w:t>
      </w:r>
      <w:r w:rsidR="00B31CA7">
        <w:rPr>
          <w:rFonts w:asciiTheme="majorBidi" w:hAnsiTheme="majorBidi" w:cstheme="majorBidi"/>
          <w:b/>
          <w:bCs/>
          <w:sz w:val="24"/>
          <w:szCs w:val="24"/>
        </w:rPr>
        <w:t>r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79"/>
        <w:gridCol w:w="1403"/>
        <w:gridCol w:w="1618"/>
        <w:gridCol w:w="1281"/>
        <w:gridCol w:w="2369"/>
      </w:tblGrid>
      <w:tr w:rsidR="00F348E1" w:rsidRPr="00D51053" w14:paraId="608FB185" w14:textId="77777777" w:rsidTr="002079D2">
        <w:tc>
          <w:tcPr>
            <w:tcW w:w="1433" w:type="pct"/>
            <w:vAlign w:val="center"/>
          </w:tcPr>
          <w:p w14:paraId="0EF157D4" w14:textId="69C03C09" w:rsidR="00F348E1" w:rsidRPr="00D51053" w:rsidRDefault="00F348E1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Study year</w:t>
            </w:r>
          </w:p>
        </w:tc>
        <w:tc>
          <w:tcPr>
            <w:tcW w:w="750" w:type="pct"/>
            <w:vAlign w:val="center"/>
          </w:tcPr>
          <w:p w14:paraId="5BC30E8C" w14:textId="0ECC20C1" w:rsidR="00F348E1" w:rsidRPr="00D51053" w:rsidRDefault="00F348E1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865" w:type="pct"/>
            <w:vAlign w:val="center"/>
          </w:tcPr>
          <w:p w14:paraId="6511EE7B" w14:textId="48114CC7" w:rsidR="00F348E1" w:rsidRPr="00D51053" w:rsidRDefault="00F348E1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Mean</w:t>
            </w:r>
          </w:p>
        </w:tc>
        <w:tc>
          <w:tcPr>
            <w:tcW w:w="685" w:type="pct"/>
            <w:vAlign w:val="center"/>
          </w:tcPr>
          <w:p w14:paraId="7BF6D021" w14:textId="5ABB3EC4" w:rsidR="00F348E1" w:rsidRPr="00D51053" w:rsidRDefault="00F348E1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SD</w:t>
            </w:r>
          </w:p>
        </w:tc>
        <w:tc>
          <w:tcPr>
            <w:tcW w:w="1267" w:type="pct"/>
            <w:vAlign w:val="center"/>
          </w:tcPr>
          <w:p w14:paraId="469B6DF6" w14:textId="5C63C230" w:rsidR="00F348E1" w:rsidRPr="00D51053" w:rsidRDefault="00F348E1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95% CI</w:t>
            </w:r>
          </w:p>
        </w:tc>
      </w:tr>
      <w:tr w:rsidR="00F348E1" w:rsidRPr="00D51053" w14:paraId="68A0C93C" w14:textId="77777777" w:rsidTr="002079D2">
        <w:tc>
          <w:tcPr>
            <w:tcW w:w="1433" w:type="pct"/>
            <w:vAlign w:val="center"/>
          </w:tcPr>
          <w:p w14:paraId="55C67472" w14:textId="7B54E613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1st year</w:t>
            </w:r>
          </w:p>
        </w:tc>
        <w:tc>
          <w:tcPr>
            <w:tcW w:w="750" w:type="pct"/>
            <w:vAlign w:val="center"/>
          </w:tcPr>
          <w:p w14:paraId="396E28D5" w14:textId="030B5A98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387</w:t>
            </w:r>
          </w:p>
        </w:tc>
        <w:tc>
          <w:tcPr>
            <w:tcW w:w="865" w:type="pct"/>
            <w:vAlign w:val="center"/>
          </w:tcPr>
          <w:p w14:paraId="5221510A" w14:textId="659F3E13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3.69</w:t>
            </w:r>
          </w:p>
        </w:tc>
        <w:tc>
          <w:tcPr>
            <w:tcW w:w="685" w:type="pct"/>
            <w:vAlign w:val="center"/>
          </w:tcPr>
          <w:p w14:paraId="632EC86B" w14:textId="291D5C56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0.58</w:t>
            </w:r>
          </w:p>
        </w:tc>
        <w:tc>
          <w:tcPr>
            <w:tcW w:w="1267" w:type="pct"/>
            <w:vAlign w:val="center"/>
          </w:tcPr>
          <w:p w14:paraId="14CB9E45" w14:textId="666C1C44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3.64–3.75</w:t>
            </w:r>
          </w:p>
        </w:tc>
      </w:tr>
      <w:tr w:rsidR="00F348E1" w:rsidRPr="00D51053" w14:paraId="5DB5D01C" w14:textId="77777777" w:rsidTr="002079D2">
        <w:tc>
          <w:tcPr>
            <w:tcW w:w="1433" w:type="pct"/>
            <w:vAlign w:val="center"/>
          </w:tcPr>
          <w:p w14:paraId="123ECB7A" w14:textId="22FDB749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2nd year</w:t>
            </w:r>
          </w:p>
        </w:tc>
        <w:tc>
          <w:tcPr>
            <w:tcW w:w="750" w:type="pct"/>
            <w:vAlign w:val="center"/>
          </w:tcPr>
          <w:p w14:paraId="0E10D2A0" w14:textId="7A6D41AF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485</w:t>
            </w:r>
          </w:p>
        </w:tc>
        <w:tc>
          <w:tcPr>
            <w:tcW w:w="865" w:type="pct"/>
            <w:vAlign w:val="center"/>
          </w:tcPr>
          <w:p w14:paraId="366D0CA8" w14:textId="4C7DD26E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3.66</w:t>
            </w:r>
          </w:p>
        </w:tc>
        <w:tc>
          <w:tcPr>
            <w:tcW w:w="685" w:type="pct"/>
            <w:vAlign w:val="center"/>
          </w:tcPr>
          <w:p w14:paraId="108B5C48" w14:textId="11FEA98B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0.63</w:t>
            </w:r>
          </w:p>
        </w:tc>
        <w:tc>
          <w:tcPr>
            <w:tcW w:w="1267" w:type="pct"/>
            <w:vAlign w:val="center"/>
          </w:tcPr>
          <w:p w14:paraId="4D5FE210" w14:textId="71BAFC54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3.61–3.72</w:t>
            </w:r>
          </w:p>
        </w:tc>
      </w:tr>
      <w:tr w:rsidR="00F348E1" w:rsidRPr="00D51053" w14:paraId="6A1D7417" w14:textId="77777777" w:rsidTr="002079D2">
        <w:tc>
          <w:tcPr>
            <w:tcW w:w="1433" w:type="pct"/>
            <w:vAlign w:val="center"/>
          </w:tcPr>
          <w:p w14:paraId="1EDA30FA" w14:textId="06FB797D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3rd year</w:t>
            </w:r>
          </w:p>
        </w:tc>
        <w:tc>
          <w:tcPr>
            <w:tcW w:w="750" w:type="pct"/>
            <w:vAlign w:val="center"/>
          </w:tcPr>
          <w:p w14:paraId="3395A9BB" w14:textId="78706FCC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398</w:t>
            </w:r>
          </w:p>
        </w:tc>
        <w:tc>
          <w:tcPr>
            <w:tcW w:w="865" w:type="pct"/>
            <w:vAlign w:val="center"/>
          </w:tcPr>
          <w:p w14:paraId="0F9D4CA5" w14:textId="0C7DD894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3.67</w:t>
            </w:r>
          </w:p>
        </w:tc>
        <w:tc>
          <w:tcPr>
            <w:tcW w:w="685" w:type="pct"/>
            <w:vAlign w:val="center"/>
          </w:tcPr>
          <w:p w14:paraId="20920406" w14:textId="52EA55CB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0.74</w:t>
            </w:r>
          </w:p>
        </w:tc>
        <w:tc>
          <w:tcPr>
            <w:tcW w:w="1267" w:type="pct"/>
            <w:vAlign w:val="center"/>
          </w:tcPr>
          <w:p w14:paraId="1CB128DB" w14:textId="02EA3726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3.60–3.75</w:t>
            </w:r>
          </w:p>
        </w:tc>
      </w:tr>
      <w:tr w:rsidR="00F348E1" w:rsidRPr="00D51053" w14:paraId="480850D2" w14:textId="77777777" w:rsidTr="002079D2">
        <w:tc>
          <w:tcPr>
            <w:tcW w:w="1433" w:type="pct"/>
            <w:vAlign w:val="center"/>
          </w:tcPr>
          <w:p w14:paraId="71D24384" w14:textId="0211626F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4th year</w:t>
            </w:r>
          </w:p>
        </w:tc>
        <w:tc>
          <w:tcPr>
            <w:tcW w:w="750" w:type="pct"/>
            <w:vAlign w:val="center"/>
          </w:tcPr>
          <w:p w14:paraId="2A7502FB" w14:textId="6FF9DD24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397</w:t>
            </w:r>
          </w:p>
        </w:tc>
        <w:tc>
          <w:tcPr>
            <w:tcW w:w="865" w:type="pct"/>
            <w:vAlign w:val="center"/>
          </w:tcPr>
          <w:p w14:paraId="66002CF9" w14:textId="5FA59D59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3.69</w:t>
            </w:r>
          </w:p>
        </w:tc>
        <w:tc>
          <w:tcPr>
            <w:tcW w:w="685" w:type="pct"/>
            <w:vAlign w:val="center"/>
          </w:tcPr>
          <w:p w14:paraId="2FCA4BD6" w14:textId="6F92460E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0.72</w:t>
            </w:r>
          </w:p>
        </w:tc>
        <w:tc>
          <w:tcPr>
            <w:tcW w:w="1267" w:type="pct"/>
            <w:vAlign w:val="center"/>
          </w:tcPr>
          <w:p w14:paraId="7ECC227C" w14:textId="59968869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3.62–3.76</w:t>
            </w:r>
          </w:p>
        </w:tc>
      </w:tr>
      <w:tr w:rsidR="00F348E1" w:rsidRPr="00D51053" w14:paraId="5835E6C1" w14:textId="77777777" w:rsidTr="002079D2">
        <w:tc>
          <w:tcPr>
            <w:tcW w:w="1433" w:type="pct"/>
            <w:vAlign w:val="center"/>
          </w:tcPr>
          <w:p w14:paraId="0F5F6D5F" w14:textId="26E2699C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5th year</w:t>
            </w:r>
          </w:p>
        </w:tc>
        <w:tc>
          <w:tcPr>
            <w:tcW w:w="750" w:type="pct"/>
            <w:vAlign w:val="center"/>
          </w:tcPr>
          <w:p w14:paraId="5AF3A097" w14:textId="56FA43F0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390</w:t>
            </w:r>
          </w:p>
        </w:tc>
        <w:tc>
          <w:tcPr>
            <w:tcW w:w="865" w:type="pct"/>
            <w:vAlign w:val="center"/>
          </w:tcPr>
          <w:p w14:paraId="4F649AD8" w14:textId="5A0D25DA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3.66</w:t>
            </w:r>
          </w:p>
        </w:tc>
        <w:tc>
          <w:tcPr>
            <w:tcW w:w="685" w:type="pct"/>
            <w:vAlign w:val="center"/>
          </w:tcPr>
          <w:p w14:paraId="61953013" w14:textId="457209F7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0.65</w:t>
            </w:r>
          </w:p>
        </w:tc>
        <w:tc>
          <w:tcPr>
            <w:tcW w:w="1267" w:type="pct"/>
            <w:vAlign w:val="center"/>
          </w:tcPr>
          <w:p w14:paraId="3362406A" w14:textId="42F5268A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3.59–3.72</w:t>
            </w:r>
          </w:p>
        </w:tc>
      </w:tr>
      <w:tr w:rsidR="00F348E1" w:rsidRPr="00D51053" w14:paraId="7487974E" w14:textId="77777777" w:rsidTr="002079D2">
        <w:tc>
          <w:tcPr>
            <w:tcW w:w="1433" w:type="pct"/>
            <w:vAlign w:val="center"/>
          </w:tcPr>
          <w:p w14:paraId="32F5DE75" w14:textId="10C49283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6th year</w:t>
            </w:r>
          </w:p>
        </w:tc>
        <w:tc>
          <w:tcPr>
            <w:tcW w:w="750" w:type="pct"/>
            <w:vAlign w:val="center"/>
          </w:tcPr>
          <w:p w14:paraId="1D640546" w14:textId="603552C7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144</w:t>
            </w:r>
          </w:p>
        </w:tc>
        <w:tc>
          <w:tcPr>
            <w:tcW w:w="865" w:type="pct"/>
            <w:vAlign w:val="center"/>
          </w:tcPr>
          <w:p w14:paraId="212B0EF2" w14:textId="78B5760E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3.71</w:t>
            </w:r>
          </w:p>
        </w:tc>
        <w:tc>
          <w:tcPr>
            <w:tcW w:w="685" w:type="pct"/>
            <w:vAlign w:val="center"/>
          </w:tcPr>
          <w:p w14:paraId="0BE91C74" w14:textId="647EE827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0.80</w:t>
            </w:r>
          </w:p>
        </w:tc>
        <w:tc>
          <w:tcPr>
            <w:tcW w:w="1267" w:type="pct"/>
            <w:vAlign w:val="center"/>
          </w:tcPr>
          <w:p w14:paraId="08F54D02" w14:textId="739CFDC0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3.58–3.84</w:t>
            </w:r>
          </w:p>
        </w:tc>
      </w:tr>
      <w:tr w:rsidR="00F348E1" w:rsidRPr="00D51053" w14:paraId="62D6E104" w14:textId="77777777" w:rsidTr="002079D2">
        <w:tc>
          <w:tcPr>
            <w:tcW w:w="1433" w:type="pct"/>
            <w:vAlign w:val="center"/>
          </w:tcPr>
          <w:p w14:paraId="430713BA" w14:textId="6883462B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50" w:type="pct"/>
            <w:vAlign w:val="center"/>
          </w:tcPr>
          <w:p w14:paraId="018C9194" w14:textId="0F27D928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2201</w:t>
            </w:r>
          </w:p>
        </w:tc>
        <w:tc>
          <w:tcPr>
            <w:tcW w:w="865" w:type="pct"/>
            <w:vAlign w:val="center"/>
          </w:tcPr>
          <w:p w14:paraId="08B9876D" w14:textId="06C29ED7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3.68</w:t>
            </w:r>
          </w:p>
        </w:tc>
        <w:tc>
          <w:tcPr>
            <w:tcW w:w="685" w:type="pct"/>
            <w:vAlign w:val="center"/>
          </w:tcPr>
          <w:p w14:paraId="508D1DF7" w14:textId="73544045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0.68</w:t>
            </w:r>
          </w:p>
        </w:tc>
        <w:tc>
          <w:tcPr>
            <w:tcW w:w="1267" w:type="pct"/>
            <w:vAlign w:val="center"/>
          </w:tcPr>
          <w:p w14:paraId="50C36901" w14:textId="023290AE" w:rsidR="00F348E1" w:rsidRPr="00D51053" w:rsidRDefault="00F348E1" w:rsidP="00413231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3.65–3.71</w:t>
            </w:r>
          </w:p>
        </w:tc>
      </w:tr>
    </w:tbl>
    <w:p w14:paraId="3FE5356B" w14:textId="77777777" w:rsidR="00413231" w:rsidRDefault="00413231" w:rsidP="0041323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036F8CD" w14:textId="221CA4A6" w:rsidR="005345E7" w:rsidRPr="00D51053" w:rsidRDefault="00413231" w:rsidP="00413231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13231">
        <w:rPr>
          <w:rFonts w:asciiTheme="majorBidi" w:hAnsiTheme="majorBidi" w:cstheme="majorBidi"/>
          <w:sz w:val="24"/>
          <w:szCs w:val="24"/>
        </w:rPr>
        <w:t>B. Homogeneity of variance and Welch ANOVA results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941"/>
        <w:gridCol w:w="1901"/>
        <w:gridCol w:w="967"/>
        <w:gridCol w:w="1793"/>
        <w:gridCol w:w="1748"/>
      </w:tblGrid>
      <w:tr w:rsidR="00D55F03" w:rsidRPr="00D51053" w14:paraId="2924C7D3" w14:textId="77777777" w:rsidTr="00D55F03">
        <w:tc>
          <w:tcPr>
            <w:tcW w:w="1572" w:type="pct"/>
            <w:vAlign w:val="center"/>
          </w:tcPr>
          <w:p w14:paraId="775398D4" w14:textId="4D0EA6CE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Test</w:t>
            </w:r>
          </w:p>
        </w:tc>
        <w:tc>
          <w:tcPr>
            <w:tcW w:w="1016" w:type="pct"/>
            <w:vAlign w:val="center"/>
          </w:tcPr>
          <w:p w14:paraId="5D1B0755" w14:textId="46220A92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517" w:type="pct"/>
            <w:vAlign w:val="center"/>
          </w:tcPr>
          <w:p w14:paraId="70F52DB4" w14:textId="22FC65CC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df1</w:t>
            </w:r>
          </w:p>
        </w:tc>
        <w:tc>
          <w:tcPr>
            <w:tcW w:w="959" w:type="pct"/>
            <w:vAlign w:val="center"/>
          </w:tcPr>
          <w:p w14:paraId="08E74CD4" w14:textId="47DA0605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df2</w:t>
            </w:r>
          </w:p>
        </w:tc>
        <w:tc>
          <w:tcPr>
            <w:tcW w:w="935" w:type="pct"/>
            <w:vAlign w:val="center"/>
          </w:tcPr>
          <w:p w14:paraId="2C7B0D00" w14:textId="1225CF87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p-value</w:t>
            </w:r>
          </w:p>
        </w:tc>
      </w:tr>
      <w:tr w:rsidR="00D55F03" w:rsidRPr="00D51053" w14:paraId="091747BA" w14:textId="77777777" w:rsidTr="00D55F03">
        <w:tc>
          <w:tcPr>
            <w:tcW w:w="1572" w:type="pct"/>
            <w:vAlign w:val="center"/>
          </w:tcPr>
          <w:p w14:paraId="76A70D34" w14:textId="5D2754E7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Levene’s test</w:t>
            </w:r>
          </w:p>
        </w:tc>
        <w:tc>
          <w:tcPr>
            <w:tcW w:w="1016" w:type="pct"/>
            <w:vAlign w:val="center"/>
          </w:tcPr>
          <w:p w14:paraId="01B27D6E" w14:textId="48F113CF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8.288</w:t>
            </w:r>
          </w:p>
        </w:tc>
        <w:tc>
          <w:tcPr>
            <w:tcW w:w="517" w:type="pct"/>
            <w:vAlign w:val="center"/>
          </w:tcPr>
          <w:p w14:paraId="37828A0D" w14:textId="6391C9A2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959" w:type="pct"/>
            <w:vAlign w:val="center"/>
          </w:tcPr>
          <w:p w14:paraId="25F6EB32" w14:textId="6AF13918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2195</w:t>
            </w:r>
          </w:p>
        </w:tc>
        <w:tc>
          <w:tcPr>
            <w:tcW w:w="935" w:type="pct"/>
            <w:vAlign w:val="center"/>
          </w:tcPr>
          <w:p w14:paraId="0CA998CF" w14:textId="4328477A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&lt;0.001</w:t>
            </w:r>
          </w:p>
        </w:tc>
      </w:tr>
      <w:tr w:rsidR="00D55F03" w:rsidRPr="00D51053" w14:paraId="02F55607" w14:textId="77777777" w:rsidTr="00D55F03">
        <w:tc>
          <w:tcPr>
            <w:tcW w:w="1572" w:type="pct"/>
            <w:vAlign w:val="center"/>
          </w:tcPr>
          <w:p w14:paraId="521B0E88" w14:textId="18F1F508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Welch ANOVA</w:t>
            </w:r>
          </w:p>
        </w:tc>
        <w:tc>
          <w:tcPr>
            <w:tcW w:w="1016" w:type="pct"/>
            <w:vAlign w:val="center"/>
          </w:tcPr>
          <w:p w14:paraId="7309603A" w14:textId="1551E703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0.247</w:t>
            </w:r>
          </w:p>
        </w:tc>
        <w:tc>
          <w:tcPr>
            <w:tcW w:w="517" w:type="pct"/>
            <w:vAlign w:val="center"/>
          </w:tcPr>
          <w:p w14:paraId="49BD95B1" w14:textId="021823ED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959" w:type="pct"/>
            <w:vAlign w:val="center"/>
          </w:tcPr>
          <w:p w14:paraId="092494A0" w14:textId="7326F9A9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806.612</w:t>
            </w:r>
          </w:p>
        </w:tc>
        <w:tc>
          <w:tcPr>
            <w:tcW w:w="935" w:type="pct"/>
            <w:vAlign w:val="center"/>
          </w:tcPr>
          <w:p w14:paraId="5B667220" w14:textId="3944BBF0" w:rsidR="00D55F03" w:rsidRPr="00D51053" w:rsidRDefault="00D55F03" w:rsidP="00413231">
            <w:pPr>
              <w:spacing w:line="48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noProof/>
                <w:sz w:val="24"/>
                <w:szCs w:val="24"/>
                <w:lang w:val="en-US"/>
              </w:rPr>
              <w:t>0.942</w:t>
            </w:r>
          </w:p>
        </w:tc>
      </w:tr>
    </w:tbl>
    <w:p w14:paraId="469E854C" w14:textId="3E15C12E" w:rsidR="00D839F7" w:rsidRPr="00D51053" w:rsidRDefault="00D839F7" w:rsidP="00E21D9B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8E29B85" w14:textId="77777777" w:rsidR="00895955" w:rsidRPr="00D51053" w:rsidRDefault="00895955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16A6FA9" w14:textId="77777777" w:rsidR="00895955" w:rsidRPr="00D51053" w:rsidRDefault="00895955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F04AA92" w14:textId="77777777" w:rsidR="00895955" w:rsidRPr="00D51053" w:rsidRDefault="00895955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109701B" w14:textId="77777777" w:rsidR="00895955" w:rsidRPr="00D51053" w:rsidRDefault="00895955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919862B" w14:textId="77777777" w:rsidR="00270F89" w:rsidRPr="00D51053" w:rsidRDefault="00270F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1053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4A6C8083" w14:textId="3CAECDCA" w:rsidR="00D839F7" w:rsidRDefault="00A67830" w:rsidP="00E21D9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51053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S5. Welch ANOVA and Games-Howell post-hoc analysis of print-format preference score by medical specialty</w:t>
      </w:r>
    </w:p>
    <w:p w14:paraId="2B66B902" w14:textId="360015E4" w:rsidR="00413231" w:rsidRPr="00D51053" w:rsidRDefault="00413231" w:rsidP="00413231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13231">
        <w:rPr>
          <w:rFonts w:asciiTheme="majorBidi" w:hAnsiTheme="majorBidi" w:cstheme="majorBidi"/>
          <w:b/>
          <w:bCs/>
          <w:sz w:val="24"/>
          <w:szCs w:val="24"/>
        </w:rPr>
        <w:t>A. Descriptive statistics by medical specialty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540"/>
        <w:gridCol w:w="1234"/>
        <w:gridCol w:w="1361"/>
        <w:gridCol w:w="1128"/>
        <w:gridCol w:w="2087"/>
      </w:tblGrid>
      <w:tr w:rsidR="00D30CFA" w:rsidRPr="00D51053" w14:paraId="76163392" w14:textId="77777777" w:rsidTr="007E0452">
        <w:tc>
          <w:tcPr>
            <w:tcW w:w="1893" w:type="pct"/>
            <w:vAlign w:val="center"/>
          </w:tcPr>
          <w:p w14:paraId="39BA9ED0" w14:textId="7FA994C7" w:rsidR="00D30CFA" w:rsidRPr="00D51053" w:rsidRDefault="00D30CFA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Medical specialty</w:t>
            </w:r>
          </w:p>
        </w:tc>
        <w:tc>
          <w:tcPr>
            <w:tcW w:w="660" w:type="pct"/>
            <w:vAlign w:val="center"/>
          </w:tcPr>
          <w:p w14:paraId="476B7657" w14:textId="27BD94EC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728" w:type="pct"/>
            <w:vAlign w:val="center"/>
          </w:tcPr>
          <w:p w14:paraId="00A7CD36" w14:textId="2F06FAAD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Mean</w:t>
            </w:r>
          </w:p>
        </w:tc>
        <w:tc>
          <w:tcPr>
            <w:tcW w:w="603" w:type="pct"/>
            <w:vAlign w:val="center"/>
          </w:tcPr>
          <w:p w14:paraId="40784FC8" w14:textId="39CB89A0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SD</w:t>
            </w:r>
          </w:p>
        </w:tc>
        <w:tc>
          <w:tcPr>
            <w:tcW w:w="1116" w:type="pct"/>
            <w:vAlign w:val="center"/>
          </w:tcPr>
          <w:p w14:paraId="62998A37" w14:textId="506BA39A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95% CI</w:t>
            </w:r>
          </w:p>
        </w:tc>
      </w:tr>
      <w:tr w:rsidR="00D30CFA" w:rsidRPr="00D51053" w14:paraId="752659E7" w14:textId="77777777" w:rsidTr="007E0452">
        <w:tc>
          <w:tcPr>
            <w:tcW w:w="1893" w:type="pct"/>
            <w:vAlign w:val="center"/>
          </w:tcPr>
          <w:p w14:paraId="42705EA4" w14:textId="5B53F6B7" w:rsidR="00D30CFA" w:rsidRPr="00D51053" w:rsidRDefault="00D30CFA" w:rsidP="00D20777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Preparatory year</w:t>
            </w:r>
          </w:p>
        </w:tc>
        <w:tc>
          <w:tcPr>
            <w:tcW w:w="660" w:type="pct"/>
            <w:vAlign w:val="center"/>
          </w:tcPr>
          <w:p w14:paraId="6BEB9F8E" w14:textId="3F2CB7CD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250</w:t>
            </w:r>
          </w:p>
        </w:tc>
        <w:tc>
          <w:tcPr>
            <w:tcW w:w="728" w:type="pct"/>
            <w:vAlign w:val="center"/>
          </w:tcPr>
          <w:p w14:paraId="4954EC98" w14:textId="31940DD6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3.79</w:t>
            </w:r>
          </w:p>
        </w:tc>
        <w:tc>
          <w:tcPr>
            <w:tcW w:w="603" w:type="pct"/>
            <w:vAlign w:val="center"/>
          </w:tcPr>
          <w:p w14:paraId="5A054D2C" w14:textId="17E3A6D5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0.49</w:t>
            </w:r>
          </w:p>
        </w:tc>
        <w:tc>
          <w:tcPr>
            <w:tcW w:w="1116" w:type="pct"/>
            <w:vAlign w:val="center"/>
          </w:tcPr>
          <w:p w14:paraId="186E758A" w14:textId="1383F5ED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3.73–3.85</w:t>
            </w:r>
          </w:p>
        </w:tc>
      </w:tr>
      <w:tr w:rsidR="00D30CFA" w:rsidRPr="00D51053" w14:paraId="55898EF7" w14:textId="77777777" w:rsidTr="007E0452">
        <w:tc>
          <w:tcPr>
            <w:tcW w:w="1893" w:type="pct"/>
            <w:vAlign w:val="center"/>
          </w:tcPr>
          <w:p w14:paraId="24C2EC11" w14:textId="193E7200" w:rsidR="00D30CFA" w:rsidRPr="00D51053" w:rsidRDefault="00D30CFA" w:rsidP="00D20777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Pharmacy</w:t>
            </w:r>
          </w:p>
        </w:tc>
        <w:tc>
          <w:tcPr>
            <w:tcW w:w="660" w:type="pct"/>
            <w:vAlign w:val="center"/>
          </w:tcPr>
          <w:p w14:paraId="64E71FB1" w14:textId="0BA81C6E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429</w:t>
            </w:r>
          </w:p>
        </w:tc>
        <w:tc>
          <w:tcPr>
            <w:tcW w:w="728" w:type="pct"/>
            <w:vAlign w:val="center"/>
          </w:tcPr>
          <w:p w14:paraId="11B7C024" w14:textId="4B5764CD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3.81</w:t>
            </w:r>
          </w:p>
        </w:tc>
        <w:tc>
          <w:tcPr>
            <w:tcW w:w="603" w:type="pct"/>
            <w:vAlign w:val="center"/>
          </w:tcPr>
          <w:p w14:paraId="5152DBB3" w14:textId="72C2F931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0.61</w:t>
            </w:r>
          </w:p>
        </w:tc>
        <w:tc>
          <w:tcPr>
            <w:tcW w:w="1116" w:type="pct"/>
            <w:vAlign w:val="center"/>
          </w:tcPr>
          <w:p w14:paraId="72C34BD3" w14:textId="3CDEBC25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3.76–3.87</w:t>
            </w:r>
          </w:p>
        </w:tc>
      </w:tr>
      <w:tr w:rsidR="00D30CFA" w:rsidRPr="00D51053" w14:paraId="3B42E1EB" w14:textId="77777777" w:rsidTr="007E0452">
        <w:tc>
          <w:tcPr>
            <w:tcW w:w="1893" w:type="pct"/>
            <w:vAlign w:val="center"/>
          </w:tcPr>
          <w:p w14:paraId="405CD219" w14:textId="0FE1C2C0" w:rsidR="00D30CFA" w:rsidRPr="00D51053" w:rsidRDefault="00D30CFA" w:rsidP="00D20777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Dentistry</w:t>
            </w:r>
          </w:p>
        </w:tc>
        <w:tc>
          <w:tcPr>
            <w:tcW w:w="660" w:type="pct"/>
            <w:vAlign w:val="center"/>
          </w:tcPr>
          <w:p w14:paraId="43F4EB63" w14:textId="62F90A14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421</w:t>
            </w:r>
          </w:p>
        </w:tc>
        <w:tc>
          <w:tcPr>
            <w:tcW w:w="728" w:type="pct"/>
            <w:vAlign w:val="center"/>
          </w:tcPr>
          <w:p w14:paraId="25F71ACB" w14:textId="0704824D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3.61</w:t>
            </w:r>
          </w:p>
        </w:tc>
        <w:tc>
          <w:tcPr>
            <w:tcW w:w="603" w:type="pct"/>
            <w:vAlign w:val="center"/>
          </w:tcPr>
          <w:p w14:paraId="13CBB1D2" w14:textId="53078010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0.66</w:t>
            </w:r>
          </w:p>
        </w:tc>
        <w:tc>
          <w:tcPr>
            <w:tcW w:w="1116" w:type="pct"/>
            <w:vAlign w:val="center"/>
          </w:tcPr>
          <w:p w14:paraId="08717120" w14:textId="61C8D993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3.54–3.67</w:t>
            </w:r>
          </w:p>
        </w:tc>
      </w:tr>
      <w:tr w:rsidR="00D30CFA" w:rsidRPr="00D51053" w14:paraId="751E3534" w14:textId="77777777" w:rsidTr="007E0452">
        <w:tc>
          <w:tcPr>
            <w:tcW w:w="1893" w:type="pct"/>
            <w:vAlign w:val="center"/>
          </w:tcPr>
          <w:p w14:paraId="5EDCFDDE" w14:textId="22EC098C" w:rsidR="00D30CFA" w:rsidRPr="00D51053" w:rsidRDefault="00D30CFA" w:rsidP="00D20777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Medicine</w:t>
            </w:r>
          </w:p>
        </w:tc>
        <w:tc>
          <w:tcPr>
            <w:tcW w:w="660" w:type="pct"/>
            <w:vAlign w:val="center"/>
          </w:tcPr>
          <w:p w14:paraId="5F040D68" w14:textId="54370ADD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786</w:t>
            </w:r>
          </w:p>
        </w:tc>
        <w:tc>
          <w:tcPr>
            <w:tcW w:w="728" w:type="pct"/>
            <w:vAlign w:val="center"/>
          </w:tcPr>
          <w:p w14:paraId="39832DDE" w14:textId="5EA8934E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3.61</w:t>
            </w:r>
          </w:p>
        </w:tc>
        <w:tc>
          <w:tcPr>
            <w:tcW w:w="603" w:type="pct"/>
            <w:vAlign w:val="center"/>
          </w:tcPr>
          <w:p w14:paraId="78836461" w14:textId="0427FB12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0.74</w:t>
            </w:r>
          </w:p>
        </w:tc>
        <w:tc>
          <w:tcPr>
            <w:tcW w:w="1116" w:type="pct"/>
            <w:vAlign w:val="center"/>
          </w:tcPr>
          <w:p w14:paraId="63AEC90F" w14:textId="0CD78BF4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3.55–3.66</w:t>
            </w:r>
          </w:p>
        </w:tc>
      </w:tr>
      <w:tr w:rsidR="00D30CFA" w:rsidRPr="00D51053" w14:paraId="329ED533" w14:textId="77777777" w:rsidTr="007E0452">
        <w:tc>
          <w:tcPr>
            <w:tcW w:w="1893" w:type="pct"/>
            <w:vAlign w:val="center"/>
          </w:tcPr>
          <w:p w14:paraId="76BFBAD1" w14:textId="1265D481" w:rsidR="00D30CFA" w:rsidRPr="00D51053" w:rsidRDefault="00D30CFA" w:rsidP="00D20777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Health sciences</w:t>
            </w:r>
          </w:p>
        </w:tc>
        <w:tc>
          <w:tcPr>
            <w:tcW w:w="660" w:type="pct"/>
            <w:vAlign w:val="center"/>
          </w:tcPr>
          <w:p w14:paraId="346EDECF" w14:textId="67961D92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315</w:t>
            </w:r>
          </w:p>
        </w:tc>
        <w:tc>
          <w:tcPr>
            <w:tcW w:w="728" w:type="pct"/>
            <w:vAlign w:val="center"/>
          </w:tcPr>
          <w:p w14:paraId="1C6680D8" w14:textId="04F95989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3.68</w:t>
            </w:r>
          </w:p>
        </w:tc>
        <w:tc>
          <w:tcPr>
            <w:tcW w:w="603" w:type="pct"/>
            <w:vAlign w:val="center"/>
          </w:tcPr>
          <w:p w14:paraId="2369A98D" w14:textId="6CEC9B08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0.70</w:t>
            </w:r>
          </w:p>
        </w:tc>
        <w:tc>
          <w:tcPr>
            <w:tcW w:w="1116" w:type="pct"/>
            <w:vAlign w:val="center"/>
          </w:tcPr>
          <w:p w14:paraId="279A39DA" w14:textId="4C047FEF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3.60–3.76</w:t>
            </w:r>
          </w:p>
        </w:tc>
      </w:tr>
      <w:tr w:rsidR="00D30CFA" w:rsidRPr="00D51053" w14:paraId="3AD77B5C" w14:textId="77777777" w:rsidTr="007E0452">
        <w:tc>
          <w:tcPr>
            <w:tcW w:w="1893" w:type="pct"/>
            <w:vAlign w:val="center"/>
          </w:tcPr>
          <w:p w14:paraId="7D24B784" w14:textId="77A4425F" w:rsidR="00D30CFA" w:rsidRPr="00D51053" w:rsidRDefault="00D30CFA" w:rsidP="00D20777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60" w:type="pct"/>
            <w:vAlign w:val="center"/>
          </w:tcPr>
          <w:p w14:paraId="04A140FD" w14:textId="7393416D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2201</w:t>
            </w:r>
          </w:p>
        </w:tc>
        <w:tc>
          <w:tcPr>
            <w:tcW w:w="728" w:type="pct"/>
            <w:vAlign w:val="center"/>
          </w:tcPr>
          <w:p w14:paraId="3946CB1B" w14:textId="7341E9CE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3.68</w:t>
            </w:r>
          </w:p>
        </w:tc>
        <w:tc>
          <w:tcPr>
            <w:tcW w:w="603" w:type="pct"/>
            <w:vAlign w:val="center"/>
          </w:tcPr>
          <w:p w14:paraId="6BEA9031" w14:textId="42B383BD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0.68</w:t>
            </w:r>
          </w:p>
        </w:tc>
        <w:tc>
          <w:tcPr>
            <w:tcW w:w="1116" w:type="pct"/>
            <w:vAlign w:val="center"/>
          </w:tcPr>
          <w:p w14:paraId="20AA8949" w14:textId="7BD1C5E5" w:rsidR="00D30CFA" w:rsidRPr="00D51053" w:rsidRDefault="00D30CFA" w:rsidP="00B67A01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3.65–3.71</w:t>
            </w:r>
          </w:p>
        </w:tc>
      </w:tr>
    </w:tbl>
    <w:p w14:paraId="1DFE6E84" w14:textId="77777777" w:rsidR="00413231" w:rsidRDefault="00413231" w:rsidP="00413231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2C0E59C" w14:textId="08FD2179" w:rsidR="00413231" w:rsidRDefault="00413231" w:rsidP="0041323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13231">
        <w:rPr>
          <w:rFonts w:asciiTheme="majorBidi" w:hAnsiTheme="majorBidi" w:cstheme="majorBidi"/>
          <w:sz w:val="24"/>
          <w:szCs w:val="24"/>
        </w:rPr>
        <w:t>B. Homogeneity of variance and Welch ANOVA results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0"/>
        <w:gridCol w:w="1829"/>
        <w:gridCol w:w="963"/>
        <w:gridCol w:w="1745"/>
        <w:gridCol w:w="1713"/>
      </w:tblGrid>
      <w:tr w:rsidR="00FF0BCC" w:rsidRPr="00FF0BCC" w14:paraId="1A3C59DB" w14:textId="77777777" w:rsidTr="00FF0BCC">
        <w:tc>
          <w:tcPr>
            <w:tcW w:w="1658" w:type="pct"/>
            <w:vAlign w:val="center"/>
          </w:tcPr>
          <w:p w14:paraId="3D3A156C" w14:textId="63A6FAC4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Test</w:t>
            </w:r>
          </w:p>
        </w:tc>
        <w:tc>
          <w:tcPr>
            <w:tcW w:w="978" w:type="pct"/>
            <w:vAlign w:val="center"/>
          </w:tcPr>
          <w:p w14:paraId="7854B635" w14:textId="17EF10BD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Statistic</w:t>
            </w:r>
          </w:p>
        </w:tc>
        <w:tc>
          <w:tcPr>
            <w:tcW w:w="515" w:type="pct"/>
            <w:vAlign w:val="center"/>
          </w:tcPr>
          <w:p w14:paraId="64DF179F" w14:textId="4961ECD7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df1</w:t>
            </w:r>
          </w:p>
        </w:tc>
        <w:tc>
          <w:tcPr>
            <w:tcW w:w="933" w:type="pct"/>
            <w:vAlign w:val="center"/>
          </w:tcPr>
          <w:p w14:paraId="5D9A1F14" w14:textId="4CC7C733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df2</w:t>
            </w:r>
          </w:p>
        </w:tc>
        <w:tc>
          <w:tcPr>
            <w:tcW w:w="916" w:type="pct"/>
            <w:vAlign w:val="center"/>
          </w:tcPr>
          <w:p w14:paraId="7CA726D1" w14:textId="2731DA3A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p-value</w:t>
            </w:r>
          </w:p>
        </w:tc>
      </w:tr>
      <w:tr w:rsidR="00FF0BCC" w:rsidRPr="00FF0BCC" w14:paraId="34EB78CB" w14:textId="77777777" w:rsidTr="00FF0BCC">
        <w:tc>
          <w:tcPr>
            <w:tcW w:w="1658" w:type="pct"/>
            <w:vAlign w:val="center"/>
          </w:tcPr>
          <w:p w14:paraId="23F0AFD1" w14:textId="4885D664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Levene’s</w:t>
            </w:r>
            <w:proofErr w:type="spellEnd"/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test</w:t>
            </w:r>
          </w:p>
        </w:tc>
        <w:tc>
          <w:tcPr>
            <w:tcW w:w="978" w:type="pct"/>
            <w:vAlign w:val="center"/>
          </w:tcPr>
          <w:p w14:paraId="6395B10D" w14:textId="517EA194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14.653</w:t>
            </w:r>
          </w:p>
        </w:tc>
        <w:tc>
          <w:tcPr>
            <w:tcW w:w="515" w:type="pct"/>
            <w:vAlign w:val="center"/>
          </w:tcPr>
          <w:p w14:paraId="00B62E8C" w14:textId="02099026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933" w:type="pct"/>
            <w:vAlign w:val="center"/>
          </w:tcPr>
          <w:p w14:paraId="682456C5" w14:textId="43EBAC10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2196</w:t>
            </w:r>
          </w:p>
        </w:tc>
        <w:tc>
          <w:tcPr>
            <w:tcW w:w="916" w:type="pct"/>
            <w:vAlign w:val="center"/>
          </w:tcPr>
          <w:p w14:paraId="5521C052" w14:textId="4334CCBD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&lt;0.001</w:t>
            </w:r>
          </w:p>
        </w:tc>
      </w:tr>
      <w:tr w:rsidR="00FF0BCC" w:rsidRPr="00FF0BCC" w14:paraId="57CCF9B6" w14:textId="77777777" w:rsidTr="00FF0BCC">
        <w:tc>
          <w:tcPr>
            <w:tcW w:w="1658" w:type="pct"/>
            <w:vAlign w:val="center"/>
          </w:tcPr>
          <w:p w14:paraId="2984A3FF" w14:textId="6D948DFC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Welch ANOVA</w:t>
            </w:r>
          </w:p>
        </w:tc>
        <w:tc>
          <w:tcPr>
            <w:tcW w:w="978" w:type="pct"/>
            <w:vAlign w:val="center"/>
          </w:tcPr>
          <w:p w14:paraId="6094320B" w14:textId="7717F8B3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11.152</w:t>
            </w:r>
          </w:p>
        </w:tc>
        <w:tc>
          <w:tcPr>
            <w:tcW w:w="515" w:type="pct"/>
            <w:vAlign w:val="center"/>
          </w:tcPr>
          <w:p w14:paraId="3050C9FB" w14:textId="6DACEA7A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933" w:type="pct"/>
            <w:vAlign w:val="center"/>
          </w:tcPr>
          <w:p w14:paraId="266170EF" w14:textId="1DAC497A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918.658</w:t>
            </w:r>
          </w:p>
        </w:tc>
        <w:tc>
          <w:tcPr>
            <w:tcW w:w="916" w:type="pct"/>
            <w:vAlign w:val="center"/>
          </w:tcPr>
          <w:p w14:paraId="033656FF" w14:textId="758B8A3C" w:rsidR="00FF0BCC" w:rsidRPr="00FF0BCC" w:rsidRDefault="00FF0BCC" w:rsidP="00FF0B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F0BC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&lt;0.001</w:t>
            </w:r>
          </w:p>
        </w:tc>
      </w:tr>
    </w:tbl>
    <w:p w14:paraId="78EE02C3" w14:textId="77777777" w:rsidR="00954B2C" w:rsidRDefault="00954B2C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B832914" w14:textId="46160FF1" w:rsidR="00141596" w:rsidRPr="00D51053" w:rsidRDefault="00413231" w:rsidP="0041323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13231">
        <w:rPr>
          <w:rFonts w:asciiTheme="majorBidi" w:hAnsiTheme="majorBidi" w:cstheme="majorBidi"/>
          <w:sz w:val="24"/>
          <w:szCs w:val="24"/>
        </w:rPr>
        <w:t>C. Significant Games-Howell pairwise comparisons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892"/>
        <w:gridCol w:w="2391"/>
        <w:gridCol w:w="1820"/>
        <w:gridCol w:w="1247"/>
      </w:tblGrid>
      <w:tr w:rsidR="0095457F" w:rsidRPr="00D51053" w14:paraId="24A0E687" w14:textId="77777777" w:rsidTr="0095457F">
        <w:tc>
          <w:tcPr>
            <w:tcW w:w="2081" w:type="pct"/>
            <w:vAlign w:val="center"/>
          </w:tcPr>
          <w:p w14:paraId="3CF22C87" w14:textId="390DA02F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Comparison</w:t>
            </w:r>
          </w:p>
        </w:tc>
        <w:tc>
          <w:tcPr>
            <w:tcW w:w="1278" w:type="pct"/>
            <w:vAlign w:val="center"/>
          </w:tcPr>
          <w:p w14:paraId="31A3196D" w14:textId="5AC7025D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Mean difference</w:t>
            </w:r>
          </w:p>
        </w:tc>
        <w:tc>
          <w:tcPr>
            <w:tcW w:w="973" w:type="pct"/>
            <w:vAlign w:val="center"/>
          </w:tcPr>
          <w:p w14:paraId="59133107" w14:textId="1FB29B14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95% CI</w:t>
            </w:r>
          </w:p>
        </w:tc>
        <w:tc>
          <w:tcPr>
            <w:tcW w:w="667" w:type="pct"/>
            <w:vAlign w:val="center"/>
          </w:tcPr>
          <w:p w14:paraId="504CCFDB" w14:textId="21F41A52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p-value</w:t>
            </w:r>
          </w:p>
        </w:tc>
      </w:tr>
      <w:tr w:rsidR="0095457F" w:rsidRPr="00D51053" w14:paraId="29C83D9E" w14:textId="77777777" w:rsidTr="0095457F">
        <w:tc>
          <w:tcPr>
            <w:tcW w:w="2081" w:type="pct"/>
            <w:vAlign w:val="center"/>
          </w:tcPr>
          <w:p w14:paraId="405DC676" w14:textId="01F0AE71" w:rsidR="0095457F" w:rsidRPr="00D51053" w:rsidRDefault="0095457F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Preparatory year vs Dentistry</w:t>
            </w:r>
          </w:p>
        </w:tc>
        <w:tc>
          <w:tcPr>
            <w:tcW w:w="1278" w:type="pct"/>
            <w:vAlign w:val="center"/>
          </w:tcPr>
          <w:p w14:paraId="689382C4" w14:textId="0960E8F1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0.181</w:t>
            </w:r>
          </w:p>
        </w:tc>
        <w:tc>
          <w:tcPr>
            <w:tcW w:w="973" w:type="pct"/>
            <w:vAlign w:val="center"/>
          </w:tcPr>
          <w:p w14:paraId="7E0C9A9A" w14:textId="65D50865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0.058–0.303</w:t>
            </w:r>
          </w:p>
        </w:tc>
        <w:tc>
          <w:tcPr>
            <w:tcW w:w="667" w:type="pct"/>
            <w:vAlign w:val="center"/>
          </w:tcPr>
          <w:p w14:paraId="4493FA62" w14:textId="38AFE6EB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&lt;0.001</w:t>
            </w:r>
          </w:p>
        </w:tc>
      </w:tr>
      <w:tr w:rsidR="0095457F" w:rsidRPr="00D51053" w14:paraId="6887A99E" w14:textId="77777777" w:rsidTr="0095457F">
        <w:tc>
          <w:tcPr>
            <w:tcW w:w="2081" w:type="pct"/>
            <w:vAlign w:val="center"/>
          </w:tcPr>
          <w:p w14:paraId="5165ED5C" w14:textId="3782EFD6" w:rsidR="0095457F" w:rsidRPr="00D51053" w:rsidRDefault="0095457F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Preparatory year vs Medicine</w:t>
            </w:r>
          </w:p>
        </w:tc>
        <w:tc>
          <w:tcPr>
            <w:tcW w:w="1278" w:type="pct"/>
            <w:vAlign w:val="center"/>
          </w:tcPr>
          <w:p w14:paraId="4E4FC46D" w14:textId="3537ABA0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0.182</w:t>
            </w:r>
          </w:p>
        </w:tc>
        <w:tc>
          <w:tcPr>
            <w:tcW w:w="973" w:type="pct"/>
            <w:vAlign w:val="center"/>
          </w:tcPr>
          <w:p w14:paraId="652F79EA" w14:textId="33BFEC85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0.071–0.294</w:t>
            </w:r>
          </w:p>
        </w:tc>
        <w:tc>
          <w:tcPr>
            <w:tcW w:w="667" w:type="pct"/>
            <w:vAlign w:val="center"/>
          </w:tcPr>
          <w:p w14:paraId="6964EA8F" w14:textId="64E18A86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&lt;0.001</w:t>
            </w:r>
          </w:p>
        </w:tc>
      </w:tr>
      <w:tr w:rsidR="0095457F" w:rsidRPr="00D51053" w14:paraId="6200A53F" w14:textId="77777777" w:rsidTr="0095457F">
        <w:tc>
          <w:tcPr>
            <w:tcW w:w="2081" w:type="pct"/>
            <w:vAlign w:val="center"/>
          </w:tcPr>
          <w:p w14:paraId="27E53D48" w14:textId="4DD05E1E" w:rsidR="0095457F" w:rsidRPr="00D51053" w:rsidRDefault="0095457F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Pharmacy vs Dentistry</w:t>
            </w:r>
          </w:p>
        </w:tc>
        <w:tc>
          <w:tcPr>
            <w:tcW w:w="1278" w:type="pct"/>
            <w:vAlign w:val="center"/>
          </w:tcPr>
          <w:p w14:paraId="206CC727" w14:textId="4DB784E2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0.208</w:t>
            </w:r>
          </w:p>
        </w:tc>
        <w:tc>
          <w:tcPr>
            <w:tcW w:w="973" w:type="pct"/>
            <w:vAlign w:val="center"/>
          </w:tcPr>
          <w:p w14:paraId="0820EE66" w14:textId="14719FBB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0.089–0.327</w:t>
            </w:r>
          </w:p>
        </w:tc>
        <w:tc>
          <w:tcPr>
            <w:tcW w:w="667" w:type="pct"/>
            <w:vAlign w:val="center"/>
          </w:tcPr>
          <w:p w14:paraId="7266809D" w14:textId="6609834D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&lt;0.001</w:t>
            </w:r>
          </w:p>
        </w:tc>
      </w:tr>
      <w:tr w:rsidR="0095457F" w:rsidRPr="00D51053" w14:paraId="11F142B8" w14:textId="77777777" w:rsidTr="0095457F">
        <w:tc>
          <w:tcPr>
            <w:tcW w:w="2081" w:type="pct"/>
            <w:vAlign w:val="center"/>
          </w:tcPr>
          <w:p w14:paraId="61D78CB5" w14:textId="6F994350" w:rsidR="0095457F" w:rsidRPr="00D51053" w:rsidRDefault="0095457F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Pharmacy vs Medicine</w:t>
            </w:r>
          </w:p>
        </w:tc>
        <w:tc>
          <w:tcPr>
            <w:tcW w:w="1278" w:type="pct"/>
            <w:vAlign w:val="center"/>
          </w:tcPr>
          <w:p w14:paraId="253DEDF2" w14:textId="65B85649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0.210</w:t>
            </w:r>
          </w:p>
        </w:tc>
        <w:tc>
          <w:tcPr>
            <w:tcW w:w="973" w:type="pct"/>
            <w:vAlign w:val="center"/>
          </w:tcPr>
          <w:p w14:paraId="53DE2FDC" w14:textId="6BD32308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0.102–0.318</w:t>
            </w:r>
          </w:p>
        </w:tc>
        <w:tc>
          <w:tcPr>
            <w:tcW w:w="667" w:type="pct"/>
            <w:vAlign w:val="center"/>
          </w:tcPr>
          <w:p w14:paraId="0DDEE7B0" w14:textId="1DF3D50E" w:rsidR="0095457F" w:rsidRPr="00D51053" w:rsidRDefault="0095457F" w:rsidP="008216C5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&lt;0.001</w:t>
            </w:r>
          </w:p>
        </w:tc>
      </w:tr>
    </w:tbl>
    <w:p w14:paraId="5543B59A" w14:textId="77777777" w:rsidR="00D51053" w:rsidRDefault="00D51053" w:rsidP="00D51053">
      <w:pPr>
        <w:rPr>
          <w:rStyle w:val="a9"/>
        </w:rPr>
      </w:pPr>
    </w:p>
    <w:p w14:paraId="483B4F27" w14:textId="77777777" w:rsidR="00D51053" w:rsidRDefault="00D51053" w:rsidP="00D51053">
      <w:pPr>
        <w:rPr>
          <w:rStyle w:val="a9"/>
        </w:rPr>
      </w:pPr>
    </w:p>
    <w:p w14:paraId="63F52D1D" w14:textId="219ABC6C" w:rsidR="0083719B" w:rsidRPr="00D64E29" w:rsidRDefault="00D51053" w:rsidP="00D51053">
      <w:pPr>
        <w:rPr>
          <w:rStyle w:val="a9"/>
          <w:rFonts w:asciiTheme="majorBidi" w:hAnsiTheme="majorBidi" w:cstheme="majorBidi"/>
          <w:sz w:val="24"/>
          <w:szCs w:val="24"/>
        </w:rPr>
      </w:pPr>
      <w:r w:rsidRPr="00D64E29">
        <w:rPr>
          <w:rStyle w:val="a9"/>
          <w:rFonts w:asciiTheme="majorBidi" w:hAnsiTheme="majorBidi" w:cstheme="majorBidi"/>
          <w:sz w:val="24"/>
          <w:szCs w:val="24"/>
        </w:rPr>
        <w:lastRenderedPageBreak/>
        <w:t>L</w:t>
      </w:r>
      <w:r w:rsidR="0083719B" w:rsidRPr="00D64E29">
        <w:rPr>
          <w:rStyle w:val="a9"/>
          <w:rFonts w:asciiTheme="majorBidi" w:hAnsiTheme="majorBidi" w:cstheme="majorBidi"/>
          <w:sz w:val="24"/>
          <w:szCs w:val="24"/>
        </w:rPr>
        <w:t>ist of Supplementary Figures</w:t>
      </w:r>
    </w:p>
    <w:p w14:paraId="2AABB26E" w14:textId="77777777" w:rsidR="00D51053" w:rsidRPr="00D51053" w:rsidRDefault="00D51053" w:rsidP="00D51053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3"/>
        <w:gridCol w:w="8307"/>
      </w:tblGrid>
      <w:tr w:rsidR="00B322A3" w:rsidRPr="00D51053" w14:paraId="008398FA" w14:textId="77777777" w:rsidTr="00B322A3">
        <w:tc>
          <w:tcPr>
            <w:tcW w:w="0" w:type="auto"/>
            <w:vAlign w:val="center"/>
          </w:tcPr>
          <w:p w14:paraId="5DFECBB7" w14:textId="5C2222E1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>Figure</w:t>
            </w:r>
          </w:p>
        </w:tc>
        <w:tc>
          <w:tcPr>
            <w:tcW w:w="0" w:type="auto"/>
            <w:vAlign w:val="center"/>
          </w:tcPr>
          <w:p w14:paraId="12DA118A" w14:textId="24A10534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>Title</w:t>
            </w:r>
          </w:p>
        </w:tc>
      </w:tr>
      <w:tr w:rsidR="00B322A3" w:rsidRPr="00D51053" w14:paraId="48C7303F" w14:textId="77777777" w:rsidTr="00B322A3">
        <w:tc>
          <w:tcPr>
            <w:tcW w:w="0" w:type="auto"/>
            <w:vAlign w:val="center"/>
          </w:tcPr>
          <w:p w14:paraId="3DDCE6B9" w14:textId="1C92CB5D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S1</w:t>
            </w:r>
          </w:p>
        </w:tc>
        <w:tc>
          <w:tcPr>
            <w:tcW w:w="0" w:type="auto"/>
            <w:vAlign w:val="center"/>
          </w:tcPr>
          <w:p w14:paraId="5E8C1F05" w14:textId="46906688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>Responses to the statement “I remember information from my course readings best when I read them from printed pages” reported by medical specialty</w:t>
            </w:r>
          </w:p>
        </w:tc>
      </w:tr>
      <w:tr w:rsidR="00B322A3" w:rsidRPr="00D51053" w14:paraId="038F26B3" w14:textId="77777777" w:rsidTr="00B322A3">
        <w:tc>
          <w:tcPr>
            <w:tcW w:w="0" w:type="auto"/>
            <w:vAlign w:val="center"/>
          </w:tcPr>
          <w:p w14:paraId="7F6D706E" w14:textId="6AAA5070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</w:t>
            </w:r>
            <w:r w:rsidR="00B9195F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47F1DB4" w14:textId="2882852E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>Responses to the statement “I prefer to have all my course materials in print format” reported by medical specialty</w:t>
            </w:r>
          </w:p>
        </w:tc>
      </w:tr>
      <w:tr w:rsidR="00B322A3" w:rsidRPr="00D51053" w14:paraId="7FF0D732" w14:textId="77777777" w:rsidTr="00B322A3">
        <w:tc>
          <w:tcPr>
            <w:tcW w:w="0" w:type="auto"/>
            <w:vAlign w:val="center"/>
          </w:tcPr>
          <w:p w14:paraId="57F915B4" w14:textId="557CA5BB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</w:t>
            </w:r>
            <w:r w:rsidRPr="00D5105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9C27907" w14:textId="29EEC77C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>Responses to the statement “If an assigned reading is 7 pages or more, I prefer to read it in print” reported by medical specialty</w:t>
            </w:r>
          </w:p>
        </w:tc>
      </w:tr>
      <w:tr w:rsidR="00B322A3" w:rsidRPr="00D51053" w14:paraId="28A30F13" w14:textId="77777777" w:rsidTr="00B322A3">
        <w:tc>
          <w:tcPr>
            <w:tcW w:w="0" w:type="auto"/>
            <w:vAlign w:val="center"/>
          </w:tcPr>
          <w:p w14:paraId="48241897" w14:textId="1286224C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S4</w:t>
            </w:r>
          </w:p>
        </w:tc>
        <w:tc>
          <w:tcPr>
            <w:tcW w:w="0" w:type="auto"/>
            <w:vAlign w:val="center"/>
          </w:tcPr>
          <w:p w14:paraId="2BD03BFD" w14:textId="3EDE81A5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>Responses to the statement “If an assigned reading is less than 7 pages, I prefer to read it electronically” reported by medical specialty</w:t>
            </w:r>
          </w:p>
        </w:tc>
      </w:tr>
      <w:tr w:rsidR="00B322A3" w:rsidRPr="00D51053" w14:paraId="0371EF0D" w14:textId="77777777" w:rsidTr="00B322A3">
        <w:tc>
          <w:tcPr>
            <w:tcW w:w="0" w:type="auto"/>
            <w:vAlign w:val="center"/>
          </w:tcPr>
          <w:p w14:paraId="6A0E2805" w14:textId="44EC81F7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S5</w:t>
            </w:r>
          </w:p>
        </w:tc>
        <w:tc>
          <w:tcPr>
            <w:tcW w:w="0" w:type="auto"/>
            <w:vAlign w:val="center"/>
          </w:tcPr>
          <w:p w14:paraId="3C22446C" w14:textId="4042BC12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“I prefer electronic textbooks over print </w:t>
            </w:r>
            <w:proofErr w:type="gramStart"/>
            <w:r w:rsidRPr="00D51053">
              <w:rPr>
                <w:rFonts w:asciiTheme="majorBidi" w:hAnsiTheme="majorBidi" w:cstheme="majorBidi"/>
                <w:sz w:val="24"/>
                <w:szCs w:val="24"/>
              </w:rPr>
              <w:t>textbooks.“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3F360BD8" w14:textId="77777777" w:rsidTr="00B322A3">
        <w:tc>
          <w:tcPr>
            <w:tcW w:w="0" w:type="auto"/>
            <w:vAlign w:val="center"/>
          </w:tcPr>
          <w:p w14:paraId="3FB03146" w14:textId="17713E34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S6</w:t>
            </w:r>
          </w:p>
        </w:tc>
        <w:tc>
          <w:tcPr>
            <w:tcW w:w="0" w:type="auto"/>
            <w:vAlign w:val="center"/>
          </w:tcPr>
          <w:p w14:paraId="655F204C" w14:textId="6E6C1778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“I can focus on the material better when I read it in </w:t>
            </w:r>
            <w:proofErr w:type="gramStart"/>
            <w:r w:rsidRPr="00D51053">
              <w:rPr>
                <w:rFonts w:asciiTheme="majorBidi" w:hAnsiTheme="majorBidi" w:cstheme="majorBidi"/>
                <w:sz w:val="24"/>
                <w:szCs w:val="24"/>
              </w:rPr>
              <w:t>print.“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08290D6B" w14:textId="77777777" w:rsidTr="00B322A3">
        <w:tc>
          <w:tcPr>
            <w:tcW w:w="0" w:type="auto"/>
            <w:vAlign w:val="center"/>
          </w:tcPr>
          <w:p w14:paraId="4F82A26D" w14:textId="29F47A25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S7</w:t>
            </w:r>
          </w:p>
        </w:tc>
        <w:tc>
          <w:tcPr>
            <w:tcW w:w="0" w:type="auto"/>
            <w:vAlign w:val="center"/>
          </w:tcPr>
          <w:p w14:paraId="619DFD5F" w14:textId="22FEA0BB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“I prefer to read my course readings </w:t>
            </w:r>
            <w:proofErr w:type="gramStart"/>
            <w:r w:rsidRPr="00D51053">
              <w:rPr>
                <w:rFonts w:asciiTheme="majorBidi" w:hAnsiTheme="majorBidi" w:cstheme="majorBidi"/>
                <w:sz w:val="24"/>
                <w:szCs w:val="24"/>
              </w:rPr>
              <w:t>electronically.“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3DF61C75" w14:textId="77777777" w:rsidTr="00B322A3">
        <w:tc>
          <w:tcPr>
            <w:tcW w:w="0" w:type="auto"/>
            <w:vAlign w:val="center"/>
          </w:tcPr>
          <w:p w14:paraId="2FE8AE6A" w14:textId="25AE97A3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</w:t>
            </w:r>
            <w:r w:rsidRPr="00D51053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C77D7D3" w14:textId="3116E09F" w:rsidR="00B322A3" w:rsidRPr="00D51053" w:rsidRDefault="00B322A3" w:rsidP="00A315B3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</w:t>
            </w:r>
            <w:r w:rsidR="00A315B3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="00A315B3" w:rsidRPr="00A315B3">
              <w:rPr>
                <w:rFonts w:asciiTheme="majorBidi" w:hAnsiTheme="majorBidi" w:cstheme="majorBidi"/>
                <w:sz w:val="24"/>
                <w:szCs w:val="24"/>
              </w:rPr>
              <w:t>I usually highlight and annotate my printed course readings”</w:t>
            </w: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5DD028E6" w14:textId="77777777" w:rsidTr="00B322A3">
        <w:tc>
          <w:tcPr>
            <w:tcW w:w="0" w:type="auto"/>
            <w:vAlign w:val="center"/>
          </w:tcPr>
          <w:p w14:paraId="19D6C4F3" w14:textId="15BDF7F8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</w:t>
            </w:r>
            <w:r w:rsidRPr="00D51053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5F4E61DC" w14:textId="4FDEADB4" w:rsidR="00B322A3" w:rsidRPr="00D51053" w:rsidRDefault="00B322A3" w:rsidP="00A315B3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</w:t>
            </w:r>
            <w:r w:rsidR="00A315B3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="00A315B3" w:rsidRPr="00A315B3">
              <w:rPr>
                <w:rFonts w:asciiTheme="majorBidi" w:hAnsiTheme="majorBidi" w:cstheme="majorBidi"/>
                <w:sz w:val="24"/>
                <w:szCs w:val="24"/>
              </w:rPr>
              <w:t xml:space="preserve">I usually highlight and annotate my electronic </w:t>
            </w:r>
            <w:proofErr w:type="gramStart"/>
            <w:r w:rsidR="00A315B3" w:rsidRPr="00A315B3">
              <w:rPr>
                <w:rFonts w:asciiTheme="majorBidi" w:hAnsiTheme="majorBidi" w:cstheme="majorBidi"/>
                <w:sz w:val="24"/>
                <w:szCs w:val="24"/>
              </w:rPr>
              <w:t>readings</w:t>
            </w:r>
            <w:r w:rsidRPr="00D51053">
              <w:rPr>
                <w:rFonts w:asciiTheme="majorBidi" w:hAnsiTheme="majorBidi" w:cstheme="majorBidi"/>
                <w:sz w:val="24"/>
                <w:szCs w:val="24"/>
              </w:rPr>
              <w:t>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6D08F275" w14:textId="77777777" w:rsidTr="00B322A3">
        <w:tc>
          <w:tcPr>
            <w:tcW w:w="0" w:type="auto"/>
            <w:vAlign w:val="center"/>
          </w:tcPr>
          <w:p w14:paraId="34650556" w14:textId="0B4A54F7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</w:t>
            </w:r>
            <w:r w:rsidRPr="00D51053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228A9221" w14:textId="3DAA2EEB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“I am more likely to review my course readings (after I’ve read them at least once) when they are in </w:t>
            </w:r>
            <w:proofErr w:type="gramStart"/>
            <w:r w:rsidRPr="00D51053">
              <w:rPr>
                <w:rFonts w:asciiTheme="majorBidi" w:hAnsiTheme="majorBidi" w:cstheme="majorBidi"/>
                <w:sz w:val="24"/>
                <w:szCs w:val="24"/>
              </w:rPr>
              <w:t>print.“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72A19C5D" w14:textId="77777777" w:rsidTr="00B322A3">
        <w:tc>
          <w:tcPr>
            <w:tcW w:w="0" w:type="auto"/>
            <w:vAlign w:val="center"/>
          </w:tcPr>
          <w:p w14:paraId="3036FF74" w14:textId="3CF881EA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Figure S11</w:t>
            </w:r>
          </w:p>
        </w:tc>
        <w:tc>
          <w:tcPr>
            <w:tcW w:w="0" w:type="auto"/>
            <w:vAlign w:val="center"/>
          </w:tcPr>
          <w:p w14:paraId="48F2D46A" w14:textId="249CB7AA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“I prefer to print out my course readings rather than read them </w:t>
            </w:r>
            <w:proofErr w:type="gramStart"/>
            <w:r w:rsidRPr="00D51053">
              <w:rPr>
                <w:rFonts w:asciiTheme="majorBidi" w:hAnsiTheme="majorBidi" w:cstheme="majorBidi"/>
                <w:sz w:val="24"/>
                <w:szCs w:val="24"/>
              </w:rPr>
              <w:t>electronically.“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14BEA1D2" w14:textId="77777777" w:rsidTr="00B322A3">
        <w:tc>
          <w:tcPr>
            <w:tcW w:w="0" w:type="auto"/>
            <w:vAlign w:val="center"/>
          </w:tcPr>
          <w:p w14:paraId="40A60E28" w14:textId="7052A790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S12</w:t>
            </w:r>
          </w:p>
        </w:tc>
        <w:tc>
          <w:tcPr>
            <w:tcW w:w="0" w:type="auto"/>
            <w:vAlign w:val="center"/>
          </w:tcPr>
          <w:p w14:paraId="3D79E11C" w14:textId="2DF33AF2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“I like to make digital copies of my printed course </w:t>
            </w:r>
            <w:proofErr w:type="gramStart"/>
            <w:r w:rsidRPr="00D51053">
              <w:rPr>
                <w:rFonts w:asciiTheme="majorBidi" w:hAnsiTheme="majorBidi" w:cstheme="majorBidi"/>
                <w:sz w:val="24"/>
                <w:szCs w:val="24"/>
              </w:rPr>
              <w:t>materials.“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28EB6B3C" w14:textId="77777777" w:rsidTr="00B322A3">
        <w:tc>
          <w:tcPr>
            <w:tcW w:w="0" w:type="auto"/>
            <w:vAlign w:val="center"/>
          </w:tcPr>
          <w:p w14:paraId="073E945D" w14:textId="6A7DAE9E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S13</w:t>
            </w:r>
          </w:p>
        </w:tc>
        <w:tc>
          <w:tcPr>
            <w:tcW w:w="0" w:type="auto"/>
            <w:vAlign w:val="center"/>
          </w:tcPr>
          <w:p w14:paraId="06CE6FA8" w14:textId="72A0CAB9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“I prefer to read course readings which are in my native language electronically rather than </w:t>
            </w:r>
            <w:proofErr w:type="gramStart"/>
            <w:r w:rsidRPr="00D51053">
              <w:rPr>
                <w:rFonts w:asciiTheme="majorBidi" w:hAnsiTheme="majorBidi" w:cstheme="majorBidi"/>
                <w:sz w:val="24"/>
                <w:szCs w:val="24"/>
              </w:rPr>
              <w:t>print.“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1D7042CA" w14:textId="77777777" w:rsidTr="00B322A3">
        <w:tc>
          <w:tcPr>
            <w:tcW w:w="0" w:type="auto"/>
            <w:vAlign w:val="center"/>
          </w:tcPr>
          <w:p w14:paraId="65769AD9" w14:textId="76BF0271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S14</w:t>
            </w:r>
          </w:p>
        </w:tc>
        <w:tc>
          <w:tcPr>
            <w:tcW w:w="0" w:type="auto"/>
            <w:vAlign w:val="center"/>
          </w:tcPr>
          <w:p w14:paraId="121F5DC9" w14:textId="18CD98B2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“I prefer reading foreign language material in print rather than electronic </w:t>
            </w:r>
            <w:proofErr w:type="gramStart"/>
            <w:r w:rsidRPr="00D51053">
              <w:rPr>
                <w:rFonts w:asciiTheme="majorBidi" w:hAnsiTheme="majorBidi" w:cstheme="majorBidi"/>
                <w:sz w:val="24"/>
                <w:szCs w:val="24"/>
              </w:rPr>
              <w:t>format.“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  <w:tr w:rsidR="00B322A3" w:rsidRPr="00D51053" w14:paraId="1077A752" w14:textId="77777777" w:rsidTr="00B322A3">
        <w:tc>
          <w:tcPr>
            <w:tcW w:w="0" w:type="auto"/>
            <w:vAlign w:val="center"/>
          </w:tcPr>
          <w:p w14:paraId="4DB357B2" w14:textId="595ABE11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Style w:val="a9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Figure S15</w:t>
            </w:r>
          </w:p>
        </w:tc>
        <w:tc>
          <w:tcPr>
            <w:tcW w:w="0" w:type="auto"/>
            <w:vAlign w:val="center"/>
          </w:tcPr>
          <w:p w14:paraId="74382E76" w14:textId="093A84BF" w:rsidR="00B322A3" w:rsidRPr="00D51053" w:rsidRDefault="00B322A3" w:rsidP="00E21D9B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Responses to the statement “My preferred reading format, electronic or print, depends on the language of the </w:t>
            </w:r>
            <w:proofErr w:type="gramStart"/>
            <w:r w:rsidRPr="00D51053">
              <w:rPr>
                <w:rFonts w:asciiTheme="majorBidi" w:hAnsiTheme="majorBidi" w:cstheme="majorBidi"/>
                <w:sz w:val="24"/>
                <w:szCs w:val="24"/>
              </w:rPr>
              <w:t>reading.“</w:t>
            </w:r>
            <w:proofErr w:type="gramEnd"/>
            <w:r w:rsidRPr="00D51053">
              <w:rPr>
                <w:rFonts w:asciiTheme="majorBidi" w:hAnsiTheme="majorBidi" w:cstheme="majorBidi"/>
                <w:sz w:val="24"/>
                <w:szCs w:val="24"/>
              </w:rPr>
              <w:t xml:space="preserve"> reported by medical specialty</w:t>
            </w:r>
          </w:p>
        </w:tc>
      </w:tr>
    </w:tbl>
    <w:p w14:paraId="2429AB0E" w14:textId="77777777" w:rsidR="0022563E" w:rsidRPr="00D51053" w:rsidRDefault="0022563E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1061AD2" w14:textId="223FCBD9" w:rsidR="00D839F7" w:rsidRPr="00D51053" w:rsidRDefault="00D839F7" w:rsidP="00E21D9B">
      <w:pPr>
        <w:spacing w:line="480" w:lineRule="auto"/>
        <w:rPr>
          <w:rFonts w:asciiTheme="majorBidi" w:hAnsiTheme="majorBidi" w:cstheme="majorBidi"/>
          <w:sz w:val="24"/>
          <w:szCs w:val="24"/>
          <w:rtl/>
        </w:rPr>
      </w:pPr>
    </w:p>
    <w:p w14:paraId="047C0A58" w14:textId="25A58286" w:rsidR="00D839F7" w:rsidRPr="00D51053" w:rsidRDefault="00D839F7" w:rsidP="00E21D9B">
      <w:pPr>
        <w:spacing w:line="480" w:lineRule="auto"/>
        <w:rPr>
          <w:rFonts w:asciiTheme="majorBidi" w:hAnsiTheme="majorBidi" w:cstheme="majorBidi"/>
          <w:sz w:val="24"/>
          <w:szCs w:val="24"/>
          <w:rtl/>
        </w:rPr>
      </w:pPr>
    </w:p>
    <w:p w14:paraId="598D1D21" w14:textId="77777777" w:rsidR="00D839F7" w:rsidRPr="00D51053" w:rsidRDefault="00D839F7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88A7EAE" w14:textId="33532469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37D03457" wp14:editId="17A89621">
            <wp:extent cx="5943600" cy="3581400"/>
            <wp:effectExtent l="0" t="0" r="0" b="0"/>
            <wp:docPr id="2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2AA6C4" w14:textId="7B1B03BC" w:rsidR="008F2AB0" w:rsidRPr="00D51053" w:rsidRDefault="00FB28C3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>Fig S1. Responses to the statement “I remember information from my course readings best when I read them from printed pages,” reported by medical specialty. n = 2201; Agree/Totally agree n = 1587, 72.10%; Neutral n = 435, 19.76%; Disagree/Totally disagree n = 179, 8.13%.</w:t>
      </w:r>
    </w:p>
    <w:p w14:paraId="66600998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D5CF173" w14:textId="2F553BBB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1A78B77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072E0132" wp14:editId="0AF08919">
            <wp:extent cx="5943600" cy="3581400"/>
            <wp:effectExtent l="0" t="0" r="0" b="0"/>
            <wp:docPr id="24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9E2108" w14:textId="44FC5261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D839F7" w:rsidRPr="00D51053">
        <w:rPr>
          <w:rFonts w:asciiTheme="majorBidi" w:hAnsiTheme="majorBidi" w:cstheme="majorBidi"/>
          <w:sz w:val="24"/>
          <w:szCs w:val="24"/>
        </w:rPr>
        <w:t>S</w:t>
      </w:r>
      <w:r w:rsidR="00F843C8" w:rsidRPr="00D51053">
        <w:rPr>
          <w:rFonts w:asciiTheme="majorBidi" w:hAnsiTheme="majorBidi" w:cstheme="majorBidi"/>
          <w:sz w:val="24"/>
          <w:szCs w:val="24"/>
        </w:rPr>
        <w:t>2</w:t>
      </w:r>
      <w:r w:rsidRPr="00D51053">
        <w:rPr>
          <w:rFonts w:asciiTheme="majorBidi" w:hAnsiTheme="majorBidi" w:cstheme="majorBidi"/>
          <w:sz w:val="24"/>
          <w:szCs w:val="24"/>
        </w:rPr>
        <w:t>. Responses to the statement “I prefer to have all my course materials in print format” reported by medical specialty n = 2201; Agree/Totally Agree n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="00BC4204" w:rsidRPr="00D51053">
        <w:rPr>
          <w:rFonts w:asciiTheme="majorBidi" w:hAnsiTheme="majorBidi" w:cstheme="majorBidi"/>
          <w:sz w:val="24"/>
          <w:szCs w:val="24"/>
        </w:rPr>
        <w:t>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1578, 71.69%; Neutral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257,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11.68%;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366, 16.63%</w:t>
      </w:r>
    </w:p>
    <w:p w14:paraId="746610B6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A9C0A09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F39AEBF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2F1A710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BA2C3D8" w14:textId="58B0ABBA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E3FDD54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496CF5CC" wp14:editId="741E7D48">
            <wp:extent cx="5943600" cy="3581400"/>
            <wp:effectExtent l="0" t="0" r="0" b="0"/>
            <wp:docPr id="21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1AE89F" w14:textId="68E8CE0D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F843C8" w:rsidRPr="00D51053">
        <w:rPr>
          <w:rFonts w:asciiTheme="majorBidi" w:hAnsiTheme="majorBidi" w:cstheme="majorBidi"/>
          <w:sz w:val="24"/>
          <w:szCs w:val="24"/>
        </w:rPr>
        <w:t>S3</w:t>
      </w:r>
      <w:r w:rsidRPr="00D51053">
        <w:rPr>
          <w:rFonts w:asciiTheme="majorBidi" w:hAnsiTheme="majorBidi" w:cstheme="majorBidi"/>
          <w:sz w:val="24"/>
          <w:szCs w:val="24"/>
        </w:rPr>
        <w:t>. Responses to the statement “If an assigned reading is 7 pages or more, I prefer to read it in print” reported by medical specialty n = 2201; Agree/Totally 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1433, 65.11%; Neutral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328,14.90%;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440, 19.99%</w:t>
      </w:r>
    </w:p>
    <w:p w14:paraId="6A5B1C43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45823F6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468643F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3DA6A21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D263207" w14:textId="422C58A5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5F28808C" wp14:editId="3A519047">
            <wp:extent cx="5943600" cy="3581400"/>
            <wp:effectExtent l="0" t="0" r="0" b="0"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A1FAB" w14:textId="302411AE" w:rsidR="008F2AB0" w:rsidRPr="00D51053" w:rsidRDefault="00FB28C3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>Fig S4. Responses to the statement “If an assigned reading is less than 7 pages, I prefer to read it electronically,” reported by medical specialty. n = 2201; Agree/Totally agree n = 1093, 49.66%; Neutral n = 547, 24.85%; Disagree/Totally disagree n = 561, 25.49%.</w:t>
      </w:r>
    </w:p>
    <w:p w14:paraId="257DB6E5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2DE2583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F5206E0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8DEBBFC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3DE68B8" w14:textId="5EC6C658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6644132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13E75B94" wp14:editId="2DB1012D">
            <wp:extent cx="5943600" cy="3581400"/>
            <wp:effectExtent l="0" t="0" r="0" b="0"/>
            <wp:docPr id="33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25F9A6" w14:textId="0BD33556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DA65DB" w:rsidRPr="00D51053">
        <w:rPr>
          <w:rFonts w:asciiTheme="majorBidi" w:hAnsiTheme="majorBidi" w:cstheme="majorBidi"/>
          <w:sz w:val="24"/>
          <w:szCs w:val="24"/>
        </w:rPr>
        <w:t>S</w:t>
      </w:r>
      <w:r w:rsidR="00F843C8" w:rsidRPr="00D51053">
        <w:rPr>
          <w:rFonts w:asciiTheme="majorBidi" w:hAnsiTheme="majorBidi" w:cstheme="majorBidi"/>
          <w:sz w:val="24"/>
          <w:szCs w:val="24"/>
        </w:rPr>
        <w:t>5</w:t>
      </w:r>
      <w:r w:rsidRPr="00D51053">
        <w:rPr>
          <w:rFonts w:asciiTheme="majorBidi" w:hAnsiTheme="majorBidi" w:cstheme="majorBidi"/>
          <w:sz w:val="24"/>
          <w:szCs w:val="24"/>
        </w:rPr>
        <w:t xml:space="preserve">. Responses to the statement “I prefer electronic textbooks over print </w:t>
      </w:r>
      <w:proofErr w:type="gramStart"/>
      <w:r w:rsidRPr="00D51053">
        <w:rPr>
          <w:rFonts w:asciiTheme="majorBidi" w:hAnsiTheme="majorBidi" w:cstheme="majorBidi"/>
          <w:sz w:val="24"/>
          <w:szCs w:val="24"/>
        </w:rPr>
        <w:t>textbooks.“</w:t>
      </w:r>
      <w:proofErr w:type="gramEnd"/>
      <w:r w:rsidRPr="00D51053">
        <w:rPr>
          <w:rFonts w:asciiTheme="majorBidi" w:hAnsiTheme="majorBidi" w:cstheme="majorBidi"/>
          <w:sz w:val="24"/>
          <w:szCs w:val="24"/>
        </w:rPr>
        <w:t xml:space="preserve"> reported by medical specialty n = 2201; Agree/Totally 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330, 14.99%; Neutral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258, 11.72%;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1613, 73.28%</w:t>
      </w:r>
    </w:p>
    <w:p w14:paraId="5EE73104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6504CE1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1A23931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778E465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3DEB721" w14:textId="36D75F1F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lastRenderedPageBreak/>
        <w:br/>
      </w:r>
      <w:r w:rsidRPr="00D51053">
        <w:rPr>
          <w:rFonts w:asciiTheme="majorBidi" w:hAnsiTheme="majorBidi" w:cstheme="majorBidi"/>
          <w:noProof/>
          <w:sz w:val="24"/>
          <w:szCs w:val="24"/>
        </w:rPr>
        <w:drawing>
          <wp:inline distT="114300" distB="114300" distL="114300" distR="114300" wp14:anchorId="4ACB2AB6" wp14:editId="6F326493">
            <wp:extent cx="5943600" cy="3581400"/>
            <wp:effectExtent l="0" t="0" r="0" b="0"/>
            <wp:docPr id="1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244EEC" w14:textId="0148E40C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DA65DB" w:rsidRPr="00D51053">
        <w:rPr>
          <w:rFonts w:asciiTheme="majorBidi" w:hAnsiTheme="majorBidi" w:cstheme="majorBidi"/>
          <w:sz w:val="24"/>
          <w:szCs w:val="24"/>
        </w:rPr>
        <w:t>S</w:t>
      </w:r>
      <w:r w:rsidR="00F843C8" w:rsidRPr="00D51053">
        <w:rPr>
          <w:rFonts w:asciiTheme="majorBidi" w:hAnsiTheme="majorBidi" w:cstheme="majorBidi"/>
          <w:sz w:val="24"/>
          <w:szCs w:val="24"/>
        </w:rPr>
        <w:t>6</w:t>
      </w:r>
      <w:r w:rsidRPr="00D51053">
        <w:rPr>
          <w:rFonts w:asciiTheme="majorBidi" w:hAnsiTheme="majorBidi" w:cstheme="majorBidi"/>
          <w:sz w:val="24"/>
          <w:szCs w:val="24"/>
        </w:rPr>
        <w:t xml:space="preserve">. Responses to the statement “I can focus on the material better when I read it in </w:t>
      </w:r>
      <w:proofErr w:type="gramStart"/>
      <w:r w:rsidRPr="00D51053">
        <w:rPr>
          <w:rFonts w:asciiTheme="majorBidi" w:hAnsiTheme="majorBidi" w:cstheme="majorBidi"/>
          <w:sz w:val="24"/>
          <w:szCs w:val="24"/>
        </w:rPr>
        <w:t>print.“</w:t>
      </w:r>
      <w:proofErr w:type="gramEnd"/>
      <w:r w:rsidRPr="00D51053">
        <w:rPr>
          <w:rFonts w:asciiTheme="majorBidi" w:hAnsiTheme="majorBidi" w:cstheme="majorBidi"/>
          <w:sz w:val="24"/>
          <w:szCs w:val="24"/>
        </w:rPr>
        <w:t xml:space="preserve"> reported by medical specialty n = 2201; Agree/Totally 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1758, 79.87%; Neutral n = 230, 10.45%;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213, 9.68%</w:t>
      </w:r>
    </w:p>
    <w:p w14:paraId="45F476B8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E7B5985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D262AA4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C3EC1EC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EA26DC0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85931B1" w14:textId="7721380B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0D4566E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0B11646E" wp14:editId="35469665">
            <wp:extent cx="5943600" cy="3581400"/>
            <wp:effectExtent l="0" t="0" r="0" b="0"/>
            <wp:docPr id="2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0468A4" w14:textId="03673B1A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DA65DB" w:rsidRPr="00D51053">
        <w:rPr>
          <w:rFonts w:asciiTheme="majorBidi" w:hAnsiTheme="majorBidi" w:cstheme="majorBidi"/>
          <w:sz w:val="24"/>
          <w:szCs w:val="24"/>
        </w:rPr>
        <w:t>S</w:t>
      </w:r>
      <w:r w:rsidR="00F843C8" w:rsidRPr="00D51053">
        <w:rPr>
          <w:rFonts w:asciiTheme="majorBidi" w:hAnsiTheme="majorBidi" w:cstheme="majorBidi"/>
          <w:sz w:val="24"/>
          <w:szCs w:val="24"/>
        </w:rPr>
        <w:t>7</w:t>
      </w:r>
      <w:r w:rsidRPr="00D51053">
        <w:rPr>
          <w:rFonts w:asciiTheme="majorBidi" w:hAnsiTheme="majorBidi" w:cstheme="majorBidi"/>
          <w:sz w:val="24"/>
          <w:szCs w:val="24"/>
        </w:rPr>
        <w:t xml:space="preserve">. Responses to the statement “I prefer to read my course readings </w:t>
      </w:r>
      <w:proofErr w:type="gramStart"/>
      <w:r w:rsidRPr="00D51053">
        <w:rPr>
          <w:rFonts w:asciiTheme="majorBidi" w:hAnsiTheme="majorBidi" w:cstheme="majorBidi"/>
          <w:sz w:val="24"/>
          <w:szCs w:val="24"/>
        </w:rPr>
        <w:t>electronically.“</w:t>
      </w:r>
      <w:proofErr w:type="gramEnd"/>
      <w:r w:rsidRPr="00D51053">
        <w:rPr>
          <w:rFonts w:asciiTheme="majorBidi" w:hAnsiTheme="majorBidi" w:cstheme="majorBidi"/>
          <w:sz w:val="24"/>
          <w:szCs w:val="24"/>
        </w:rPr>
        <w:t xml:space="preserve"> reported by medical specialty n = 2201; Agree/Totally 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346, 15.72%; Neutral n = 397, 18.04%;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1458, 66.24%</w:t>
      </w:r>
    </w:p>
    <w:p w14:paraId="6D2F3BA2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80FB0CF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CFED1E3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6C6BF63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1A93592" w14:textId="6F952905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378FE94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4EF8903D" wp14:editId="30C2454F">
            <wp:extent cx="5943600" cy="3581400"/>
            <wp:effectExtent l="0" t="0" r="0" b="0"/>
            <wp:docPr id="23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8D5199" w14:textId="6AE85C24" w:rsidR="008F2AB0" w:rsidRPr="00D51053" w:rsidRDefault="006836BD" w:rsidP="006836B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836BD">
        <w:rPr>
          <w:rFonts w:asciiTheme="majorBidi" w:hAnsiTheme="majorBidi" w:cstheme="majorBidi"/>
          <w:sz w:val="24"/>
          <w:szCs w:val="24"/>
        </w:rPr>
        <w:t>Fig S8. Responses to the statement “I usually highlight and annotate my printed course readings,” reported by medical specialty. n = 2201; Agree/Totally agree n = 1723, 78.28%; Neutral n = 250, 11.36%; Disagree/Totally disagree n = 228, 10.36%.</w:t>
      </w:r>
    </w:p>
    <w:p w14:paraId="5980364B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6AFC1AD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FA5C8F0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61A76C7" w14:textId="48200E54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04B9718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62546A14" wp14:editId="5B7665E5">
            <wp:extent cx="5943600" cy="3581400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12AAA7" w14:textId="67FB927E" w:rsidR="008F2AB0" w:rsidRPr="00D51053" w:rsidRDefault="006836BD" w:rsidP="006836B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836BD">
        <w:rPr>
          <w:rFonts w:asciiTheme="majorBidi" w:hAnsiTheme="majorBidi" w:cstheme="majorBidi"/>
          <w:sz w:val="24"/>
          <w:szCs w:val="24"/>
        </w:rPr>
        <w:t>Fig S9. Responses to the statement “I usually highlight and annotate my electronic readings,” reported by medical specialty. n = 2201; Agree/Totally agree n = 557, 25.31%; Neutral n = 347, 15.77%; Disagree/Totally disagree n = 1297, 58.93%.</w:t>
      </w:r>
    </w:p>
    <w:p w14:paraId="1829B17F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28B0D09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B7FD913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2B7A0B1" w14:textId="79CC27F5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99C8AA2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4CD83853" wp14:editId="1DF5B1E1">
            <wp:extent cx="5943600" cy="35814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7F24B8" w14:textId="78B6BDEF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DA65DB" w:rsidRPr="00D51053">
        <w:rPr>
          <w:rFonts w:asciiTheme="majorBidi" w:hAnsiTheme="majorBidi" w:cstheme="majorBidi"/>
          <w:sz w:val="24"/>
          <w:szCs w:val="24"/>
        </w:rPr>
        <w:t>S</w:t>
      </w:r>
      <w:r w:rsidRPr="00D51053">
        <w:rPr>
          <w:rFonts w:asciiTheme="majorBidi" w:hAnsiTheme="majorBidi" w:cstheme="majorBidi"/>
          <w:sz w:val="24"/>
          <w:szCs w:val="24"/>
        </w:rPr>
        <w:t>1</w:t>
      </w:r>
      <w:r w:rsidR="00F843C8" w:rsidRPr="00D51053">
        <w:rPr>
          <w:rFonts w:asciiTheme="majorBidi" w:hAnsiTheme="majorBidi" w:cstheme="majorBidi"/>
          <w:sz w:val="24"/>
          <w:szCs w:val="24"/>
        </w:rPr>
        <w:t>0</w:t>
      </w:r>
      <w:r w:rsidRPr="00D51053">
        <w:rPr>
          <w:rFonts w:asciiTheme="majorBidi" w:hAnsiTheme="majorBidi" w:cstheme="majorBidi"/>
          <w:sz w:val="24"/>
          <w:szCs w:val="24"/>
        </w:rPr>
        <w:t xml:space="preserve">. Responses to the statement “I am more likely to review my course readings (after I’ve read them at least once) when they are in </w:t>
      </w:r>
      <w:proofErr w:type="gramStart"/>
      <w:r w:rsidRPr="00D51053">
        <w:rPr>
          <w:rFonts w:asciiTheme="majorBidi" w:hAnsiTheme="majorBidi" w:cstheme="majorBidi"/>
          <w:sz w:val="24"/>
          <w:szCs w:val="24"/>
        </w:rPr>
        <w:t>print.“</w:t>
      </w:r>
      <w:proofErr w:type="gramEnd"/>
      <w:r w:rsidRPr="00D51053">
        <w:rPr>
          <w:rFonts w:asciiTheme="majorBidi" w:hAnsiTheme="majorBidi" w:cstheme="majorBidi"/>
          <w:sz w:val="24"/>
          <w:szCs w:val="24"/>
        </w:rPr>
        <w:t xml:space="preserve"> reported by medical specialty n = 2201; Agree/Totally 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1631, 74.10%; Neutral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399 ,18.13%;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171, 7.77%</w:t>
      </w:r>
    </w:p>
    <w:p w14:paraId="09B085B5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4062295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A697FF4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C5E749B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EAC244B" w14:textId="4EF6CD59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CF91DBF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7A14409F" wp14:editId="75FFFB29">
            <wp:extent cx="5943600" cy="358140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F713B0" w14:textId="79CABD55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DA65DB" w:rsidRPr="00D51053">
        <w:rPr>
          <w:rFonts w:asciiTheme="majorBidi" w:hAnsiTheme="majorBidi" w:cstheme="majorBidi"/>
          <w:sz w:val="24"/>
          <w:szCs w:val="24"/>
        </w:rPr>
        <w:t>S</w:t>
      </w:r>
      <w:r w:rsidRPr="00D51053">
        <w:rPr>
          <w:rFonts w:asciiTheme="majorBidi" w:hAnsiTheme="majorBidi" w:cstheme="majorBidi"/>
          <w:sz w:val="24"/>
          <w:szCs w:val="24"/>
        </w:rPr>
        <w:t>1</w:t>
      </w:r>
      <w:r w:rsidR="001856C9" w:rsidRPr="00D51053">
        <w:rPr>
          <w:rFonts w:asciiTheme="majorBidi" w:hAnsiTheme="majorBidi" w:cstheme="majorBidi"/>
          <w:sz w:val="24"/>
          <w:szCs w:val="24"/>
        </w:rPr>
        <w:t>1</w:t>
      </w:r>
      <w:r w:rsidRPr="00D51053">
        <w:rPr>
          <w:rFonts w:asciiTheme="majorBidi" w:hAnsiTheme="majorBidi" w:cstheme="majorBidi"/>
          <w:sz w:val="24"/>
          <w:szCs w:val="24"/>
        </w:rPr>
        <w:t xml:space="preserve">. Responses to the statement “I prefer to print out my course readings rather than read them </w:t>
      </w:r>
      <w:proofErr w:type="gramStart"/>
      <w:r w:rsidRPr="00D51053">
        <w:rPr>
          <w:rFonts w:asciiTheme="majorBidi" w:hAnsiTheme="majorBidi" w:cstheme="majorBidi"/>
          <w:sz w:val="24"/>
          <w:szCs w:val="24"/>
        </w:rPr>
        <w:t>electronically.“</w:t>
      </w:r>
      <w:proofErr w:type="gramEnd"/>
      <w:r w:rsidRPr="00D51053">
        <w:rPr>
          <w:rFonts w:asciiTheme="majorBidi" w:hAnsiTheme="majorBidi" w:cstheme="majorBidi"/>
          <w:sz w:val="24"/>
          <w:szCs w:val="24"/>
        </w:rPr>
        <w:t xml:space="preserve"> reported by medical specialty n = 2201; Agree/Totally 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1567, 71.19%; Neutral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300 ,13.63%;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334,15.17%</w:t>
      </w:r>
    </w:p>
    <w:p w14:paraId="20BAFE9D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0C67EF0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A0095FB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3867B07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92A81E6" w14:textId="027744E3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EC643E5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78B2C440" wp14:editId="7D1FCEF8">
            <wp:extent cx="5943600" cy="3581400"/>
            <wp:effectExtent l="0" t="0" r="0" b="0"/>
            <wp:docPr id="26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27A565" w14:textId="7D6EE5BE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DA65DB" w:rsidRPr="00D51053">
        <w:rPr>
          <w:rFonts w:asciiTheme="majorBidi" w:hAnsiTheme="majorBidi" w:cstheme="majorBidi"/>
          <w:sz w:val="24"/>
          <w:szCs w:val="24"/>
        </w:rPr>
        <w:t>S</w:t>
      </w:r>
      <w:r w:rsidRPr="00D51053">
        <w:rPr>
          <w:rFonts w:asciiTheme="majorBidi" w:hAnsiTheme="majorBidi" w:cstheme="majorBidi"/>
          <w:sz w:val="24"/>
          <w:szCs w:val="24"/>
        </w:rPr>
        <w:t>1</w:t>
      </w:r>
      <w:r w:rsidR="001856C9" w:rsidRPr="00D51053">
        <w:rPr>
          <w:rFonts w:asciiTheme="majorBidi" w:hAnsiTheme="majorBidi" w:cstheme="majorBidi"/>
          <w:sz w:val="24"/>
          <w:szCs w:val="24"/>
        </w:rPr>
        <w:t>2</w:t>
      </w:r>
      <w:r w:rsidRPr="00D51053">
        <w:rPr>
          <w:rFonts w:asciiTheme="majorBidi" w:hAnsiTheme="majorBidi" w:cstheme="majorBidi"/>
          <w:sz w:val="24"/>
          <w:szCs w:val="24"/>
        </w:rPr>
        <w:t xml:space="preserve">. Responses to the statement “I like to make digital copies of my printed course </w:t>
      </w:r>
      <w:proofErr w:type="gramStart"/>
      <w:r w:rsidRPr="00D51053">
        <w:rPr>
          <w:rFonts w:asciiTheme="majorBidi" w:hAnsiTheme="majorBidi" w:cstheme="majorBidi"/>
          <w:sz w:val="24"/>
          <w:szCs w:val="24"/>
        </w:rPr>
        <w:t>materials.“</w:t>
      </w:r>
      <w:proofErr w:type="gramEnd"/>
      <w:r w:rsidRPr="00D51053">
        <w:rPr>
          <w:rFonts w:asciiTheme="majorBidi" w:hAnsiTheme="majorBidi" w:cstheme="majorBidi"/>
          <w:sz w:val="24"/>
          <w:szCs w:val="24"/>
        </w:rPr>
        <w:t xml:space="preserve"> reported by medical specialty n = 2201; Agree/Totally 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552, 25.08%; Neutral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648 ,29.44%;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1001,45.48%</w:t>
      </w:r>
    </w:p>
    <w:p w14:paraId="5701019C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CA7A96B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71B4F5B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DC01599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D09699F" w14:textId="24DAFAD4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D25C6D6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36ED420C" wp14:editId="470BA90A">
            <wp:extent cx="5943600" cy="3581400"/>
            <wp:effectExtent l="0" t="0" r="0" b="0"/>
            <wp:docPr id="30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B9A8F4" w14:textId="2E2187D2" w:rsidR="008F2AB0" w:rsidRPr="00D51053" w:rsidRDefault="00FB28C3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>Fig S13. Responses to the statement “I prefer to read course readings in my native language electronically rather than in print,” reported by medical specialty. n = 2201; Agree/Totally agree n = 524, 23.81%; Neutral n = 510, 23.17%; Disagree/Totally disagree n = 1167, 53.02%.</w:t>
      </w:r>
    </w:p>
    <w:p w14:paraId="7B9378C5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38D1F7D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7FDFD6A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5EFA0C7" w14:textId="37521605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4F7C0E4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41C52C86" wp14:editId="4449E2E0">
            <wp:extent cx="5943600" cy="3581400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AFD96C" w14:textId="05987826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DA65DB" w:rsidRPr="00D51053">
        <w:rPr>
          <w:rFonts w:asciiTheme="majorBidi" w:hAnsiTheme="majorBidi" w:cstheme="majorBidi"/>
          <w:sz w:val="24"/>
          <w:szCs w:val="24"/>
        </w:rPr>
        <w:t>S</w:t>
      </w:r>
      <w:r w:rsidRPr="00D51053">
        <w:rPr>
          <w:rFonts w:asciiTheme="majorBidi" w:hAnsiTheme="majorBidi" w:cstheme="majorBidi"/>
          <w:sz w:val="24"/>
          <w:szCs w:val="24"/>
        </w:rPr>
        <w:t>1</w:t>
      </w:r>
      <w:r w:rsidR="001856C9" w:rsidRPr="00D51053">
        <w:rPr>
          <w:rFonts w:asciiTheme="majorBidi" w:hAnsiTheme="majorBidi" w:cstheme="majorBidi"/>
          <w:sz w:val="24"/>
          <w:szCs w:val="24"/>
        </w:rPr>
        <w:t>4</w:t>
      </w:r>
      <w:r w:rsidRPr="00D51053">
        <w:rPr>
          <w:rFonts w:asciiTheme="majorBidi" w:hAnsiTheme="majorBidi" w:cstheme="majorBidi"/>
          <w:sz w:val="24"/>
          <w:szCs w:val="24"/>
        </w:rPr>
        <w:t xml:space="preserve">. Responses to the statement “I prefer reading foreign language material in print rather than electronic </w:t>
      </w:r>
      <w:proofErr w:type="gramStart"/>
      <w:r w:rsidRPr="00D51053">
        <w:rPr>
          <w:rFonts w:asciiTheme="majorBidi" w:hAnsiTheme="majorBidi" w:cstheme="majorBidi"/>
          <w:sz w:val="24"/>
          <w:szCs w:val="24"/>
        </w:rPr>
        <w:t>format.“</w:t>
      </w:r>
      <w:proofErr w:type="gramEnd"/>
      <w:r w:rsidRPr="00D51053">
        <w:rPr>
          <w:rFonts w:asciiTheme="majorBidi" w:hAnsiTheme="majorBidi" w:cstheme="majorBidi"/>
          <w:sz w:val="24"/>
          <w:szCs w:val="24"/>
        </w:rPr>
        <w:t xml:space="preserve"> reported by medical specialty n = 2201; Agree/Totally 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920, 41.80%; Neutral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521 ,23.67%;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760 ,34.53%</w:t>
      </w:r>
    </w:p>
    <w:p w14:paraId="7834E1F7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FCDC9DA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4C57342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5E37442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1EFD42E" w14:textId="66D72134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8ABB822" w14:textId="77777777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114300" distB="114300" distL="114300" distR="114300" wp14:anchorId="220DC385" wp14:editId="051278A5">
            <wp:extent cx="5943600" cy="3581400"/>
            <wp:effectExtent l="0" t="0" r="0" b="0"/>
            <wp:docPr id="34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C3DEDE" w14:textId="3873A751" w:rsidR="008F2AB0" w:rsidRPr="00D51053" w:rsidRDefault="005B3EE2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51053">
        <w:rPr>
          <w:rFonts w:asciiTheme="majorBidi" w:hAnsiTheme="majorBidi" w:cstheme="majorBidi"/>
          <w:sz w:val="24"/>
          <w:szCs w:val="24"/>
        </w:rPr>
        <w:t xml:space="preserve">Fig </w:t>
      </w:r>
      <w:r w:rsidR="00DA65DB" w:rsidRPr="00D51053">
        <w:rPr>
          <w:rFonts w:asciiTheme="majorBidi" w:hAnsiTheme="majorBidi" w:cstheme="majorBidi"/>
          <w:sz w:val="24"/>
          <w:szCs w:val="24"/>
        </w:rPr>
        <w:t>S</w:t>
      </w:r>
      <w:r w:rsidRPr="00D51053">
        <w:rPr>
          <w:rFonts w:asciiTheme="majorBidi" w:hAnsiTheme="majorBidi" w:cstheme="majorBidi"/>
          <w:sz w:val="24"/>
          <w:szCs w:val="24"/>
        </w:rPr>
        <w:t>1</w:t>
      </w:r>
      <w:r w:rsidR="001856C9" w:rsidRPr="00D51053">
        <w:rPr>
          <w:rFonts w:asciiTheme="majorBidi" w:hAnsiTheme="majorBidi" w:cstheme="majorBidi"/>
          <w:sz w:val="24"/>
          <w:szCs w:val="24"/>
        </w:rPr>
        <w:t>5</w:t>
      </w:r>
      <w:r w:rsidRPr="00D51053">
        <w:rPr>
          <w:rFonts w:asciiTheme="majorBidi" w:hAnsiTheme="majorBidi" w:cstheme="majorBidi"/>
          <w:sz w:val="24"/>
          <w:szCs w:val="24"/>
        </w:rPr>
        <w:t xml:space="preserve">. Responses to the statement “My preferred reading format, electronic or print, depends on the language of the </w:t>
      </w:r>
      <w:proofErr w:type="gramStart"/>
      <w:r w:rsidRPr="00D51053">
        <w:rPr>
          <w:rFonts w:asciiTheme="majorBidi" w:hAnsiTheme="majorBidi" w:cstheme="majorBidi"/>
          <w:sz w:val="24"/>
          <w:szCs w:val="24"/>
        </w:rPr>
        <w:t>reading.“</w:t>
      </w:r>
      <w:proofErr w:type="gramEnd"/>
      <w:r w:rsidRPr="00D51053">
        <w:rPr>
          <w:rFonts w:asciiTheme="majorBidi" w:hAnsiTheme="majorBidi" w:cstheme="majorBidi"/>
          <w:sz w:val="24"/>
          <w:szCs w:val="24"/>
        </w:rPr>
        <w:t xml:space="preserve"> reported by medical specialty n = 2201; Agree/Totally 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442, 20.08%; Neutral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651 ,29.58%; Disagree/Totally Disagree n =</w:t>
      </w:r>
      <w:r w:rsidR="00BB3B5A">
        <w:rPr>
          <w:rFonts w:asciiTheme="majorBidi" w:hAnsiTheme="majorBidi" w:cstheme="majorBidi"/>
          <w:sz w:val="24"/>
          <w:szCs w:val="24"/>
        </w:rPr>
        <w:t xml:space="preserve"> </w:t>
      </w:r>
      <w:r w:rsidRPr="00D51053">
        <w:rPr>
          <w:rFonts w:asciiTheme="majorBidi" w:hAnsiTheme="majorBidi" w:cstheme="majorBidi"/>
          <w:sz w:val="24"/>
          <w:szCs w:val="24"/>
        </w:rPr>
        <w:t>1108 ,50.34%</w:t>
      </w:r>
    </w:p>
    <w:p w14:paraId="6B49E7DA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D50841E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4E9385B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223E382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1298A63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1AEA5F9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5EF4776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79564B7" w14:textId="7EA8D88D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945A975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082B36A" w14:textId="77777777" w:rsidR="008F2AB0" w:rsidRPr="00D51053" w:rsidRDefault="008F2AB0" w:rsidP="00E21D9B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8F2AB0" w:rsidRPr="00D510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B0"/>
    <w:rsid w:val="00003522"/>
    <w:rsid w:val="00042E18"/>
    <w:rsid w:val="00044FD9"/>
    <w:rsid w:val="000D2FFB"/>
    <w:rsid w:val="001334EE"/>
    <w:rsid w:val="00141596"/>
    <w:rsid w:val="0015492B"/>
    <w:rsid w:val="001856C9"/>
    <w:rsid w:val="001C13F7"/>
    <w:rsid w:val="001D1CD5"/>
    <w:rsid w:val="001E68DB"/>
    <w:rsid w:val="001E6A5E"/>
    <w:rsid w:val="002079D2"/>
    <w:rsid w:val="0022563E"/>
    <w:rsid w:val="00270F89"/>
    <w:rsid w:val="002B0269"/>
    <w:rsid w:val="003305F8"/>
    <w:rsid w:val="00374A13"/>
    <w:rsid w:val="003B43F0"/>
    <w:rsid w:val="003C2B7C"/>
    <w:rsid w:val="003D5AF0"/>
    <w:rsid w:val="003F3DE2"/>
    <w:rsid w:val="00402B2D"/>
    <w:rsid w:val="00413231"/>
    <w:rsid w:val="00420AC6"/>
    <w:rsid w:val="004259D9"/>
    <w:rsid w:val="004A2E85"/>
    <w:rsid w:val="00513E6E"/>
    <w:rsid w:val="005345E7"/>
    <w:rsid w:val="005A4724"/>
    <w:rsid w:val="005B3EE2"/>
    <w:rsid w:val="005F0318"/>
    <w:rsid w:val="00622FB6"/>
    <w:rsid w:val="00650CFC"/>
    <w:rsid w:val="006555E4"/>
    <w:rsid w:val="006729F5"/>
    <w:rsid w:val="00673634"/>
    <w:rsid w:val="006816B7"/>
    <w:rsid w:val="006836BD"/>
    <w:rsid w:val="00696E8B"/>
    <w:rsid w:val="006E6DC3"/>
    <w:rsid w:val="006F76C5"/>
    <w:rsid w:val="0074345A"/>
    <w:rsid w:val="00781681"/>
    <w:rsid w:val="007E0452"/>
    <w:rsid w:val="007F1E32"/>
    <w:rsid w:val="00804171"/>
    <w:rsid w:val="00805242"/>
    <w:rsid w:val="0080754E"/>
    <w:rsid w:val="008216C5"/>
    <w:rsid w:val="008250AB"/>
    <w:rsid w:val="0083719B"/>
    <w:rsid w:val="00853A56"/>
    <w:rsid w:val="00872382"/>
    <w:rsid w:val="008952FE"/>
    <w:rsid w:val="00895955"/>
    <w:rsid w:val="008B0D11"/>
    <w:rsid w:val="008D0ECB"/>
    <w:rsid w:val="008F2AB0"/>
    <w:rsid w:val="008F6F96"/>
    <w:rsid w:val="00933DFA"/>
    <w:rsid w:val="0095457F"/>
    <w:rsid w:val="00954B2C"/>
    <w:rsid w:val="00954BE1"/>
    <w:rsid w:val="00987CB3"/>
    <w:rsid w:val="009A291E"/>
    <w:rsid w:val="009B5AA1"/>
    <w:rsid w:val="00A11A41"/>
    <w:rsid w:val="00A315B3"/>
    <w:rsid w:val="00A33B91"/>
    <w:rsid w:val="00A67830"/>
    <w:rsid w:val="00AE5515"/>
    <w:rsid w:val="00B2766A"/>
    <w:rsid w:val="00B31CA7"/>
    <w:rsid w:val="00B322A3"/>
    <w:rsid w:val="00B525E8"/>
    <w:rsid w:val="00B67A01"/>
    <w:rsid w:val="00B9195F"/>
    <w:rsid w:val="00BB3B5A"/>
    <w:rsid w:val="00BC4204"/>
    <w:rsid w:val="00C521EA"/>
    <w:rsid w:val="00C750AB"/>
    <w:rsid w:val="00CD3AFE"/>
    <w:rsid w:val="00D172BD"/>
    <w:rsid w:val="00D20777"/>
    <w:rsid w:val="00D30CFA"/>
    <w:rsid w:val="00D51053"/>
    <w:rsid w:val="00D55F03"/>
    <w:rsid w:val="00D64E29"/>
    <w:rsid w:val="00D839F7"/>
    <w:rsid w:val="00D93401"/>
    <w:rsid w:val="00DA65DB"/>
    <w:rsid w:val="00DF62E0"/>
    <w:rsid w:val="00E125AD"/>
    <w:rsid w:val="00E21D9B"/>
    <w:rsid w:val="00EF1C77"/>
    <w:rsid w:val="00EF717E"/>
    <w:rsid w:val="00F348E1"/>
    <w:rsid w:val="00F843C8"/>
    <w:rsid w:val="00FB28C3"/>
    <w:rsid w:val="00FE23C7"/>
    <w:rsid w:val="00FE27BD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D3880"/>
  <w15:docId w15:val="{668E7CE2-D529-FB46-B49E-6380A11E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0">
    <w:name w:val="Plain Table 1"/>
    <w:basedOn w:val="a1"/>
    <w:uiPriority w:val="41"/>
    <w:rsid w:val="00D839F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Strong"/>
    <w:basedOn w:val="a0"/>
    <w:uiPriority w:val="22"/>
    <w:qFormat/>
    <w:rsid w:val="00D839F7"/>
    <w:rPr>
      <w:b/>
      <w:bCs/>
    </w:rPr>
  </w:style>
  <w:style w:type="table" w:styleId="aa">
    <w:name w:val="Table Grid"/>
    <w:basedOn w:val="a1"/>
    <w:uiPriority w:val="39"/>
    <w:rsid w:val="00853A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rsid w:val="0083719B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1474</Words>
  <Characters>8539</Characters>
  <Application>Microsoft Office Word</Application>
  <DocSecurity>0</DocSecurity>
  <Lines>121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Shahd Almansour</cp:lastModifiedBy>
  <cp:revision>2</cp:revision>
  <dcterms:created xsi:type="dcterms:W3CDTF">2026-05-24T07:55:00Z</dcterms:created>
  <dcterms:modified xsi:type="dcterms:W3CDTF">2026-05-24T07:55:00Z</dcterms:modified>
</cp:coreProperties>
</file>