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0F8B" w14:textId="77777777" w:rsidR="0026436D" w:rsidRDefault="00000000">
      <w:pPr>
        <w:spacing w:after="120"/>
      </w:pPr>
      <w:r>
        <w:rPr>
          <w:b/>
          <w:bCs/>
        </w:rPr>
        <w:t>Supplementary Table 1.</w:t>
      </w:r>
      <w:r>
        <w:t xml:space="preserve"> Analytical methods and positivity thresholds for the autoantibody assays evaluated in this study.</w:t>
      </w:r>
    </w:p>
    <w:p w14:paraId="5F3FEF95" w14:textId="77777777" w:rsidR="0026436D" w:rsidRDefault="00000000">
      <w:pPr>
        <w:spacing w:after="200"/>
      </w:pPr>
      <w:r>
        <w:rPr>
          <w:i/>
          <w:iCs/>
          <w:sz w:val="20"/>
          <w:szCs w:val="20"/>
        </w:rPr>
        <w:t xml:space="preserve">All assays were performed in the Department of Laboratory Medicine, King Fahd University Hospital, on the routine clinical immunology service. Chemiluminescent immunoassays were run on the </w:t>
      </w:r>
      <w:proofErr w:type="spellStart"/>
      <w:r>
        <w:rPr>
          <w:i/>
          <w:iCs/>
          <w:sz w:val="20"/>
          <w:szCs w:val="20"/>
        </w:rPr>
        <w:t>BioFlash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analyser</w:t>
      </w:r>
      <w:proofErr w:type="spellEnd"/>
      <w:r>
        <w:rPr>
          <w:i/>
          <w:iCs/>
          <w:sz w:val="20"/>
          <w:szCs w:val="20"/>
        </w:rPr>
        <w:t xml:space="preserve"> and results are expressed in chemiluminescent units (CU); indirect immunofluorescence assays used the appropriate substrate (HEp-2 cells for antinuclear antibody and the relevant tissue substrates for the remaining immunofluorescence assays). Thresholds are those used by the laboratory to define a positive result; for the antinuclear antibody, a study-specific positivity threshold of ≥1:160 was applied. A </w:t>
      </w:r>
      <w:proofErr w:type="gramStart"/>
      <w:r>
        <w:rPr>
          <w:i/>
          <w:iCs/>
          <w:sz w:val="20"/>
          <w:szCs w:val="20"/>
        </w:rPr>
        <w:t>dash (—</w:t>
      </w:r>
      <w:proofErr w:type="gramEnd"/>
      <w:r>
        <w:rPr>
          <w:i/>
          <w:iCs/>
          <w:sz w:val="20"/>
          <w:szCs w:val="20"/>
        </w:rPr>
        <w:t>) indicates that a fixed numerical threshold was not applied or was not available.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3526"/>
        <w:gridCol w:w="2200"/>
      </w:tblGrid>
      <w:tr w:rsidR="0026436D" w14:paraId="65AA82E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2D707CA" w14:textId="77777777" w:rsidR="0026436D" w:rsidRDefault="00000000">
            <w:r>
              <w:rPr>
                <w:b/>
                <w:bCs/>
              </w:rPr>
              <w:t>Autoantibody / assay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E528FFE" w14:textId="77777777" w:rsidR="0026436D" w:rsidRDefault="00000000">
            <w:r>
              <w:rPr>
                <w:b/>
                <w:bCs/>
              </w:rPr>
              <w:t>Analytical method (platform)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06B0BA5" w14:textId="77777777" w:rsidR="0026436D" w:rsidRDefault="00000000">
            <w:r>
              <w:rPr>
                <w:b/>
                <w:bCs/>
              </w:rPr>
              <w:t>Positivity threshold</w:t>
            </w:r>
          </w:p>
        </w:tc>
      </w:tr>
      <w:tr w:rsidR="0026436D" w14:paraId="417241C1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596C6FBE" w14:textId="77777777" w:rsidR="0026436D" w:rsidRDefault="00000000">
            <w:r>
              <w:t>Antinuclear antibody (ANA)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3007C316" w14:textId="77777777" w:rsidR="0026436D" w:rsidRDefault="00000000">
            <w:r>
              <w:t>Indirect immunofluorescence (IIF) on HEp-2 cells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34D3EE85" w14:textId="77777777" w:rsidR="0026436D" w:rsidRDefault="00000000">
            <w:r>
              <w:t>Assay cutoff ≥1:40; study positivity threshold ≥1:160</w:t>
            </w:r>
          </w:p>
        </w:tc>
      </w:tr>
      <w:tr w:rsidR="0026436D" w14:paraId="5CC38710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57514FFF" w14:textId="77777777" w:rsidR="0026436D" w:rsidRDefault="00000000">
            <w:r>
              <w:t>Anti-double-stranded DNA (anti-dsDNA)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576BD08" w14:textId="77777777" w:rsidR="0026436D" w:rsidRDefault="00000000">
            <w:r>
              <w:t>Indirect immunofluorescence (IIF)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173EBC1E" w14:textId="77777777" w:rsidR="0026436D" w:rsidRDefault="00000000">
            <w:proofErr w:type="spellStart"/>
            <w:r>
              <w:t>Titre</w:t>
            </w:r>
            <w:proofErr w:type="spellEnd"/>
            <w:r>
              <w:t xml:space="preserve"> ≥1:20</w:t>
            </w:r>
          </w:p>
        </w:tc>
      </w:tr>
      <w:tr w:rsidR="0026436D" w14:paraId="00A8B1E1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54216B8B" w14:textId="77777777" w:rsidR="0026436D" w:rsidRDefault="00000000">
            <w:r>
              <w:t>Anti-Smith (anti-</w:t>
            </w:r>
            <w:proofErr w:type="spellStart"/>
            <w:r>
              <w:t>Sm</w:t>
            </w:r>
            <w:proofErr w:type="spellEnd"/>
            <w:r>
              <w:t>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2127A191" w14:textId="77777777" w:rsidR="0026436D" w:rsidRDefault="00000000">
            <w:r>
              <w:t>Chemiluminescent immunoassay (</w:t>
            </w:r>
            <w:proofErr w:type="spellStart"/>
            <w:r>
              <w:t>BioFlash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086E0B00" w14:textId="77777777" w:rsidR="0026436D" w:rsidRDefault="00000000">
            <w:r>
              <w:t>≥20 CU</w:t>
            </w:r>
          </w:p>
        </w:tc>
      </w:tr>
      <w:tr w:rsidR="0026436D" w14:paraId="52CE2BA2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2BCC506" w14:textId="77777777" w:rsidR="0026436D" w:rsidRDefault="00000000">
            <w:r>
              <w:t>Anti-Ro/SSA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7EDF7189" w14:textId="77777777" w:rsidR="0026436D" w:rsidRDefault="00000000">
            <w:r>
              <w:t>Chemiluminescent immunoassay (</w:t>
            </w:r>
            <w:proofErr w:type="spellStart"/>
            <w:r>
              <w:t>BioFlash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5D1391D3" w14:textId="77777777" w:rsidR="0026436D" w:rsidRDefault="00000000">
            <w:r>
              <w:t>≥20 CU</w:t>
            </w:r>
          </w:p>
        </w:tc>
      </w:tr>
      <w:tr w:rsidR="0026436D" w14:paraId="09FB98D4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A6CD9D7" w14:textId="77777777" w:rsidR="0026436D" w:rsidRDefault="00000000">
            <w:r>
              <w:t>Anti-La/SSB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CEDEDD6" w14:textId="77777777" w:rsidR="0026436D" w:rsidRDefault="00000000">
            <w:r>
              <w:t>Chemiluminescent immunoassay (</w:t>
            </w:r>
            <w:proofErr w:type="spellStart"/>
            <w:r>
              <w:t>BioFlash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5ECA17B0" w14:textId="77777777" w:rsidR="0026436D" w:rsidRDefault="00000000">
            <w:r>
              <w:t>≥20 CU</w:t>
            </w:r>
          </w:p>
        </w:tc>
      </w:tr>
      <w:tr w:rsidR="0026436D" w14:paraId="09E24418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1422A0FC" w14:textId="77777777" w:rsidR="0026436D" w:rsidRDefault="00000000">
            <w:r>
              <w:t>Anti-ribonucleoprotein (anti-RNP)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0F869E38" w14:textId="77777777" w:rsidR="0026436D" w:rsidRDefault="00000000">
            <w:r>
              <w:t>Chemiluminescent immunoassay (</w:t>
            </w:r>
            <w:proofErr w:type="spellStart"/>
            <w:r>
              <w:t>BioFlash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3A708670" w14:textId="77777777" w:rsidR="0026436D" w:rsidRDefault="00000000">
            <w:r>
              <w:t>≥20 CU</w:t>
            </w:r>
          </w:p>
        </w:tc>
      </w:tr>
      <w:tr w:rsidR="0026436D" w14:paraId="7092B6A8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85AF22F" w14:textId="77777777" w:rsidR="0026436D" w:rsidRDefault="00000000">
            <w:r>
              <w:t>Anti-Scl-70 (anti-topoisomerase I)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409C805" w14:textId="77777777" w:rsidR="0026436D" w:rsidRDefault="00000000">
            <w:r>
              <w:t>Chemiluminescent immunoassay (</w:t>
            </w:r>
            <w:proofErr w:type="spellStart"/>
            <w:r>
              <w:t>BioFlash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64B4493" w14:textId="77777777" w:rsidR="0026436D" w:rsidRDefault="00000000">
            <w:r>
              <w:t>≥20 CU</w:t>
            </w:r>
          </w:p>
        </w:tc>
      </w:tr>
      <w:tr w:rsidR="0026436D" w14:paraId="25034EE4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7764384" w14:textId="77777777" w:rsidR="0026436D" w:rsidRDefault="00000000">
            <w:r>
              <w:t>Anti-β2-glycoprotein I (IgG and IgM)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1F08FBCB" w14:textId="77777777" w:rsidR="0026436D" w:rsidRDefault="00000000">
            <w:r>
              <w:t>Chemiluminescent immunoassay (</w:t>
            </w:r>
            <w:proofErr w:type="spellStart"/>
            <w:r>
              <w:t>BioFlash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36B0503F" w14:textId="77777777" w:rsidR="0026436D" w:rsidRDefault="00000000">
            <w:r>
              <w:t>≥20 CU (each isotype)</w:t>
            </w:r>
          </w:p>
        </w:tc>
      </w:tr>
      <w:tr w:rsidR="0026436D" w14:paraId="3E8D4A40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0AF637AE" w14:textId="77777777" w:rsidR="0026436D" w:rsidRDefault="00000000">
            <w:r>
              <w:t>Anti-cardiolipin (IgG and IgM)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22C2C031" w14:textId="77777777" w:rsidR="0026436D" w:rsidRDefault="00000000">
            <w:r>
              <w:t>Chemiluminescent immunoassay (</w:t>
            </w:r>
            <w:proofErr w:type="spellStart"/>
            <w:r>
              <w:t>BioFlash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2453D133" w14:textId="77777777" w:rsidR="0026436D" w:rsidRDefault="00000000">
            <w:r>
              <w:t>≥20 CU (each isotype)</w:t>
            </w:r>
          </w:p>
        </w:tc>
      </w:tr>
      <w:tr w:rsidR="0026436D" w14:paraId="1107EF59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D663FFB" w14:textId="77777777" w:rsidR="0026436D" w:rsidRDefault="00000000">
            <w:r>
              <w:t>Lupus anticoagulant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6B16C01" w14:textId="77777777" w:rsidR="0026436D" w:rsidRDefault="00000000">
            <w:r>
              <w:t>Dilute Russell viper venom time (</w:t>
            </w:r>
            <w:proofErr w:type="spellStart"/>
            <w:r>
              <w:t>dRVVT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3F894AD0" w14:textId="77777777" w:rsidR="0026436D" w:rsidRDefault="00000000">
            <w:r>
              <w:t>Reported as positive / negative</w:t>
            </w:r>
          </w:p>
        </w:tc>
      </w:tr>
      <w:tr w:rsidR="0026436D" w14:paraId="3CDEB7C6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7875DE61" w14:textId="77777777" w:rsidR="0026436D" w:rsidRDefault="00000000">
            <w:r>
              <w:t>Rheumatoid factor (RF)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5CE12027" w14:textId="77777777" w:rsidR="0026436D" w:rsidRDefault="00000000">
            <w:r>
              <w:t>Chemiluminescent immunoassay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39B6E2E" w14:textId="77777777" w:rsidR="0026436D" w:rsidRDefault="00000000">
            <w:r>
              <w:t>≥30 IU/mL</w:t>
            </w:r>
          </w:p>
        </w:tc>
      </w:tr>
      <w:tr w:rsidR="0026436D" w14:paraId="19EE9DAE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73CF155" w14:textId="77777777" w:rsidR="0026436D" w:rsidRDefault="00000000">
            <w:r>
              <w:t>Anti-cyclic citrullinated peptide (anti-CCP)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080331E2" w14:textId="77777777" w:rsidR="0026436D" w:rsidRDefault="00000000">
            <w:r>
              <w:t>Chemiluminescent immunoassay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7D9D6312" w14:textId="77777777" w:rsidR="0026436D" w:rsidRDefault="00000000">
            <w:r>
              <w:t>≥20 CU</w:t>
            </w:r>
          </w:p>
        </w:tc>
      </w:tr>
      <w:tr w:rsidR="0026436D" w14:paraId="14AF428E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7223E4AA" w14:textId="77777777" w:rsidR="0026436D" w:rsidRDefault="00000000">
            <w:r>
              <w:t>Antineutrophil cytoplasmic antibody (ANCA)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6084065" w14:textId="77777777" w:rsidR="0026436D" w:rsidRDefault="00000000">
            <w:r>
              <w:t>Indirect immunofluorescence (IIF)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59B5F98" w14:textId="77777777" w:rsidR="0026436D" w:rsidRDefault="00000000">
            <w:proofErr w:type="spellStart"/>
            <w:r>
              <w:t>Titre</w:t>
            </w:r>
            <w:proofErr w:type="spellEnd"/>
            <w:r>
              <w:t xml:space="preserve"> ≥1:20</w:t>
            </w:r>
          </w:p>
        </w:tc>
      </w:tr>
      <w:tr w:rsidR="0026436D" w14:paraId="75E92F1F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2299107D" w14:textId="77777777" w:rsidR="0026436D" w:rsidRDefault="00000000">
            <w:r>
              <w:t>Proteinase 3 (PR3) antibody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51A4926" w14:textId="77777777" w:rsidR="0026436D" w:rsidRDefault="00000000">
            <w:r>
              <w:t>Chemiluminescent immunoassay (</w:t>
            </w:r>
            <w:proofErr w:type="spellStart"/>
            <w:r>
              <w:t>BioFlash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3C752A6B" w14:textId="77777777" w:rsidR="0026436D" w:rsidRDefault="00000000">
            <w:r>
              <w:t>≥20 CU</w:t>
            </w:r>
          </w:p>
        </w:tc>
      </w:tr>
      <w:tr w:rsidR="0026436D" w14:paraId="3ACBDB77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0DC1B9D1" w14:textId="77777777" w:rsidR="0026436D" w:rsidRDefault="00000000">
            <w:r>
              <w:t>Myeloperoxidase (MPO) antibody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5C023CA6" w14:textId="77777777" w:rsidR="0026436D" w:rsidRDefault="00000000">
            <w:r>
              <w:t>Chemiluminescent immunoassay (</w:t>
            </w:r>
            <w:proofErr w:type="spellStart"/>
            <w:r>
              <w:t>BioFlash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5CDD8F35" w14:textId="77777777" w:rsidR="0026436D" w:rsidRDefault="00000000">
            <w:r>
              <w:t>≥20 CU</w:t>
            </w:r>
          </w:p>
        </w:tc>
      </w:tr>
      <w:tr w:rsidR="0026436D" w14:paraId="4F6FF0F0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39AF3DB2" w14:textId="77777777" w:rsidR="0026436D" w:rsidRDefault="00000000">
            <w:r>
              <w:t>Anti-thyroid peroxidase (anti-TPO)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12DEAADC" w14:textId="77777777" w:rsidR="0026436D" w:rsidRDefault="00000000">
            <w:r>
              <w:t>Chemiluminescent immunoassay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034D818F" w14:textId="77777777" w:rsidR="0026436D" w:rsidRDefault="00000000">
            <w:r>
              <w:t>≥35 CU</w:t>
            </w:r>
          </w:p>
        </w:tc>
      </w:tr>
      <w:tr w:rsidR="0026436D" w14:paraId="5B9A6EB3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147B048E" w14:textId="77777777" w:rsidR="0026436D" w:rsidRDefault="00000000">
            <w:r>
              <w:t>Anti-thyroglobulin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E6A6C24" w14:textId="77777777" w:rsidR="0026436D" w:rsidRDefault="00000000">
            <w:r>
              <w:t>Chemiluminescent immunoassay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3C36F87" w14:textId="1065284F" w:rsidR="0026436D" w:rsidRDefault="00D77C0D">
            <w:r>
              <w:t>≥</w:t>
            </w:r>
            <w:r>
              <w:t xml:space="preserve">4.11 </w:t>
            </w:r>
            <w:r>
              <w:t>IU/mL</w:t>
            </w:r>
          </w:p>
        </w:tc>
      </w:tr>
      <w:tr w:rsidR="0026436D" w14:paraId="019B9ACA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E95AF01" w14:textId="77777777" w:rsidR="0026436D" w:rsidRDefault="00000000">
            <w:r>
              <w:t>Anti-mitochondrial antibody (AMA)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5F679B5E" w14:textId="77777777" w:rsidR="0026436D" w:rsidRDefault="00000000">
            <w:r>
              <w:t>Indirect immunofluorescence (IIF)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24C05578" w14:textId="77777777" w:rsidR="0026436D" w:rsidRDefault="00000000">
            <w:proofErr w:type="spellStart"/>
            <w:r>
              <w:t>Titre</w:t>
            </w:r>
            <w:proofErr w:type="spellEnd"/>
            <w:r>
              <w:t xml:space="preserve"> ≥1:40</w:t>
            </w:r>
          </w:p>
        </w:tc>
      </w:tr>
      <w:tr w:rsidR="0026436D" w14:paraId="781C455F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98DE1B8" w14:textId="77777777" w:rsidR="0026436D" w:rsidRDefault="00000000">
            <w:r>
              <w:t>Anti-liver-kidney microsomal antibody (anti-LKM)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3191B5F" w14:textId="77777777" w:rsidR="0026436D" w:rsidRDefault="00000000">
            <w:r>
              <w:t>Indirect immunofluorescence (IIF)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553BF469" w14:textId="77777777" w:rsidR="0026436D" w:rsidRDefault="00000000">
            <w:proofErr w:type="spellStart"/>
            <w:r>
              <w:t>Titre</w:t>
            </w:r>
            <w:proofErr w:type="spellEnd"/>
            <w:r>
              <w:t xml:space="preserve"> ≥1:40</w:t>
            </w:r>
          </w:p>
        </w:tc>
      </w:tr>
      <w:tr w:rsidR="0026436D" w14:paraId="34439D2C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F9E368F" w14:textId="77777777" w:rsidR="0026436D" w:rsidRDefault="00000000">
            <w:r>
              <w:lastRenderedPageBreak/>
              <w:t>Anti-smooth muscle antibody (ASMA)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239FFF44" w14:textId="77777777" w:rsidR="0026436D" w:rsidRDefault="00000000">
            <w:r>
              <w:t>Indirect immunofluorescence (IIF)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C109C29" w14:textId="77777777" w:rsidR="0026436D" w:rsidRDefault="00000000">
            <w:proofErr w:type="spellStart"/>
            <w:r>
              <w:t>Titre</w:t>
            </w:r>
            <w:proofErr w:type="spellEnd"/>
            <w:r>
              <w:t xml:space="preserve"> ≥1:40</w:t>
            </w:r>
          </w:p>
        </w:tc>
      </w:tr>
      <w:tr w:rsidR="0026436D" w14:paraId="2B0C1065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20F17761" w14:textId="77777777" w:rsidR="0026436D" w:rsidRDefault="00000000">
            <w:r>
              <w:t>Anti-</w:t>
            </w:r>
            <w:proofErr w:type="spellStart"/>
            <w:r>
              <w:t>endomysial</w:t>
            </w:r>
            <w:proofErr w:type="spellEnd"/>
            <w:r>
              <w:t xml:space="preserve"> antibody (EMA)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A7D8845" w14:textId="77777777" w:rsidR="0026436D" w:rsidRDefault="00000000">
            <w:r>
              <w:t>Indirect immunofluorescence (IIF)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6CE1BC92" w14:textId="77777777" w:rsidR="0026436D" w:rsidRDefault="00000000">
            <w:proofErr w:type="spellStart"/>
            <w:r>
              <w:t>Titre</w:t>
            </w:r>
            <w:proofErr w:type="spellEnd"/>
            <w:r>
              <w:t xml:space="preserve"> ≥1:10</w:t>
            </w:r>
          </w:p>
        </w:tc>
      </w:tr>
      <w:tr w:rsidR="0026436D" w14:paraId="50EDEBA8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08DDC724" w14:textId="77777777" w:rsidR="0026436D" w:rsidRDefault="00000000">
            <w:r>
              <w:t>Anti-tissue transglutaminase (anti-</w:t>
            </w:r>
            <w:proofErr w:type="spellStart"/>
            <w:r>
              <w:t>tTG</w:t>
            </w:r>
            <w:proofErr w:type="spellEnd"/>
            <w:r>
              <w:t>, IgG and IgM)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3F2D5864" w14:textId="77777777" w:rsidR="0026436D" w:rsidRDefault="00000000">
            <w:r>
              <w:t>Chemiluminescent immunoassay (</w:t>
            </w:r>
            <w:proofErr w:type="spellStart"/>
            <w:r>
              <w:t>BioFlash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10" w:type="dxa"/>
              <w:bottom w:w="40" w:type="dxa"/>
              <w:right w:w="110" w:type="dxa"/>
            </w:tcMar>
            <w:vAlign w:val="center"/>
          </w:tcPr>
          <w:p w14:paraId="49A4C387" w14:textId="77777777" w:rsidR="0026436D" w:rsidRDefault="00000000">
            <w:r>
              <w:t>≥30 CU (each isotype)</w:t>
            </w:r>
          </w:p>
        </w:tc>
      </w:tr>
    </w:tbl>
    <w:p w14:paraId="52766F29" w14:textId="77777777" w:rsidR="0026436D" w:rsidRDefault="00000000">
      <w:pPr>
        <w:spacing w:before="160"/>
      </w:pPr>
      <w:r>
        <w:rPr>
          <w:i/>
          <w:iCs/>
          <w:sz w:val="18"/>
          <w:szCs w:val="18"/>
        </w:rPr>
        <w:t xml:space="preserve">CU, chemiluminescent units; IgG, immunoglobulin G; IgM, immunoglobulin M; IU/mL, international units per </w:t>
      </w:r>
      <w:proofErr w:type="spellStart"/>
      <w:r>
        <w:rPr>
          <w:i/>
          <w:iCs/>
          <w:sz w:val="18"/>
          <w:szCs w:val="18"/>
        </w:rPr>
        <w:t>millilitre</w:t>
      </w:r>
      <w:proofErr w:type="spellEnd"/>
      <w:r>
        <w:rPr>
          <w:i/>
          <w:iCs/>
          <w:sz w:val="18"/>
          <w:szCs w:val="18"/>
        </w:rPr>
        <w:t>.</w:t>
      </w:r>
    </w:p>
    <w:sectPr w:rsidR="0026436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31D8F"/>
    <w:multiLevelType w:val="hybridMultilevel"/>
    <w:tmpl w:val="4914F140"/>
    <w:lvl w:ilvl="0" w:tplc="C8006696">
      <w:start w:val="1"/>
      <w:numFmt w:val="bullet"/>
      <w:lvlText w:val="●"/>
      <w:lvlJc w:val="left"/>
      <w:pPr>
        <w:ind w:left="720" w:hanging="360"/>
      </w:pPr>
    </w:lvl>
    <w:lvl w:ilvl="1" w:tplc="EA9264BC">
      <w:start w:val="1"/>
      <w:numFmt w:val="bullet"/>
      <w:lvlText w:val="○"/>
      <w:lvlJc w:val="left"/>
      <w:pPr>
        <w:ind w:left="1440" w:hanging="360"/>
      </w:pPr>
    </w:lvl>
    <w:lvl w:ilvl="2" w:tplc="D5D27CC0">
      <w:start w:val="1"/>
      <w:numFmt w:val="bullet"/>
      <w:lvlText w:val="■"/>
      <w:lvlJc w:val="left"/>
      <w:pPr>
        <w:ind w:left="2160" w:hanging="360"/>
      </w:pPr>
    </w:lvl>
    <w:lvl w:ilvl="3" w:tplc="50B23542">
      <w:start w:val="1"/>
      <w:numFmt w:val="bullet"/>
      <w:lvlText w:val="●"/>
      <w:lvlJc w:val="left"/>
      <w:pPr>
        <w:ind w:left="2880" w:hanging="360"/>
      </w:pPr>
    </w:lvl>
    <w:lvl w:ilvl="4" w:tplc="7C94BF80">
      <w:start w:val="1"/>
      <w:numFmt w:val="bullet"/>
      <w:lvlText w:val="○"/>
      <w:lvlJc w:val="left"/>
      <w:pPr>
        <w:ind w:left="3600" w:hanging="360"/>
      </w:pPr>
    </w:lvl>
    <w:lvl w:ilvl="5" w:tplc="14962934">
      <w:start w:val="1"/>
      <w:numFmt w:val="bullet"/>
      <w:lvlText w:val="■"/>
      <w:lvlJc w:val="left"/>
      <w:pPr>
        <w:ind w:left="4320" w:hanging="360"/>
      </w:pPr>
    </w:lvl>
    <w:lvl w:ilvl="6" w:tplc="0A2A4F36">
      <w:start w:val="1"/>
      <w:numFmt w:val="bullet"/>
      <w:lvlText w:val="●"/>
      <w:lvlJc w:val="left"/>
      <w:pPr>
        <w:ind w:left="5040" w:hanging="360"/>
      </w:pPr>
    </w:lvl>
    <w:lvl w:ilvl="7" w:tplc="4ED01534">
      <w:start w:val="1"/>
      <w:numFmt w:val="bullet"/>
      <w:lvlText w:val="●"/>
      <w:lvlJc w:val="left"/>
      <w:pPr>
        <w:ind w:left="5760" w:hanging="360"/>
      </w:pPr>
    </w:lvl>
    <w:lvl w:ilvl="8" w:tplc="EB96951A">
      <w:start w:val="1"/>
      <w:numFmt w:val="bullet"/>
      <w:lvlText w:val="●"/>
      <w:lvlJc w:val="left"/>
      <w:pPr>
        <w:ind w:left="6480" w:hanging="360"/>
      </w:pPr>
    </w:lvl>
  </w:abstractNum>
  <w:num w:numId="1" w16cid:durableId="12904801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6D"/>
    <w:rsid w:val="0026436D"/>
    <w:rsid w:val="006625DE"/>
    <w:rsid w:val="00D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28483"/>
  <w15:docId w15:val="{3AF4FE73-5A6E-4728-B3C0-0CE5BB0C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محمد ضياء آل شبر</cp:lastModifiedBy>
  <cp:revision>2</cp:revision>
  <dcterms:created xsi:type="dcterms:W3CDTF">2026-06-12T14:12:00Z</dcterms:created>
  <dcterms:modified xsi:type="dcterms:W3CDTF">2026-06-12T17:49:00Z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96578f-6ae1-40cd-93dd-1a3b7a6ede66_Enabled">
    <vt:lpwstr>true</vt:lpwstr>
  </property>
  <property fmtid="{D5CDD505-2E9C-101B-9397-08002B2CF9AE}" pid="3" name="MSIP_Label_b196578f-6ae1-40cd-93dd-1a3b7a6ede66_SetDate">
    <vt:lpwstr>2026-06-12T17:49:12Z</vt:lpwstr>
  </property>
  <property fmtid="{D5CDD505-2E9C-101B-9397-08002B2CF9AE}" pid="4" name="MSIP_Label_b196578f-6ae1-40cd-93dd-1a3b7a6ede66_Method">
    <vt:lpwstr>Standard</vt:lpwstr>
  </property>
  <property fmtid="{D5CDD505-2E9C-101B-9397-08002B2CF9AE}" pid="5" name="MSIP_Label_b196578f-6ae1-40cd-93dd-1a3b7a6ede66_Name">
    <vt:lpwstr>Public - عام</vt:lpwstr>
  </property>
  <property fmtid="{D5CDD505-2E9C-101B-9397-08002B2CF9AE}" pid="6" name="MSIP_Label_b196578f-6ae1-40cd-93dd-1a3b7a6ede66_SiteId">
    <vt:lpwstr>2c86bbfc-8d04-41ff-a83a-942f075e0f60</vt:lpwstr>
  </property>
  <property fmtid="{D5CDD505-2E9C-101B-9397-08002B2CF9AE}" pid="7" name="MSIP_Label_b196578f-6ae1-40cd-93dd-1a3b7a6ede66_ActionId">
    <vt:lpwstr>b26dd5b1-0b30-4ad0-9774-61ea6657a389</vt:lpwstr>
  </property>
  <property fmtid="{D5CDD505-2E9C-101B-9397-08002B2CF9AE}" pid="8" name="MSIP_Label_b196578f-6ae1-40cd-93dd-1a3b7a6ede66_ContentBits">
    <vt:lpwstr>0</vt:lpwstr>
  </property>
  <property fmtid="{D5CDD505-2E9C-101B-9397-08002B2CF9AE}" pid="9" name="MSIP_Label_b196578f-6ae1-40cd-93dd-1a3b7a6ede66_Tag">
    <vt:lpwstr>10, 3, 0, 1</vt:lpwstr>
  </property>
</Properties>
</file>