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2841E" w14:textId="65CAF893" w:rsidR="009D265A" w:rsidRDefault="00D93D79">
      <w:r>
        <w:rPr>
          <w:noProof/>
        </w:rPr>
        <w:drawing>
          <wp:inline distT="0" distB="0" distL="0" distR="0" wp14:anchorId="36AEFE6A" wp14:editId="0B958885">
            <wp:extent cx="5274310" cy="1711325"/>
            <wp:effectExtent l="0" t="0" r="2540" b="3175"/>
            <wp:docPr id="870585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85868" name="图片 8705858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63A9" w14:textId="77777777" w:rsidR="00D93D79" w:rsidRDefault="00D93D79"/>
    <w:p w14:paraId="3711F974" w14:textId="7DA77094" w:rsidR="00D93D79" w:rsidRPr="00C85814" w:rsidRDefault="00D93D79" w:rsidP="00D93D79">
      <w:pPr>
        <w:rPr>
          <w:rFonts w:ascii="Times New Roman" w:hAnsi="Times New Roman" w:cs="Times New Roman"/>
          <w:b/>
          <w:bCs/>
          <w:color w:val="000000"/>
        </w:rPr>
      </w:pPr>
      <w:bookmarkStart w:id="0" w:name="OLE_LINK1"/>
      <w:r w:rsidRPr="00C85814">
        <w:rPr>
          <w:rFonts w:ascii="Times New Roman" w:hAnsi="Times New Roman" w:cs="Times New Roman" w:hint="eastAsia"/>
          <w:b/>
          <w:bCs/>
          <w:color w:val="000000"/>
        </w:rPr>
        <w:t>Supplementary Figure 1</w:t>
      </w:r>
      <w:bookmarkEnd w:id="0"/>
      <w:r w:rsidR="00914BAC">
        <w:rPr>
          <w:rFonts w:ascii="Times New Roman" w:hAnsi="Times New Roman" w:cs="Times New Roman" w:hint="eastAsia"/>
          <w:b/>
          <w:bCs/>
          <w:color w:val="000000"/>
        </w:rPr>
        <w:t>.</w:t>
      </w:r>
      <w:r w:rsidRPr="00C85814">
        <w:rPr>
          <w:rFonts w:ascii="Times New Roman" w:hAnsi="Times New Roman" w:cs="Times New Roman" w:hint="eastAsia"/>
          <w:b/>
          <w:bCs/>
          <w:color w:val="000000"/>
        </w:rPr>
        <w:t xml:space="preserve"> </w:t>
      </w:r>
      <w:r w:rsidRPr="00C85814">
        <w:rPr>
          <w:rFonts w:ascii="Times New Roman" w:hAnsi="Times New Roman" w:cs="Times New Roman"/>
          <w:b/>
          <w:bCs/>
          <w:color w:val="000000"/>
        </w:rPr>
        <w:t> SHAP dependence plots for the top three DVT predictors.</w:t>
      </w:r>
    </w:p>
    <w:p w14:paraId="479BB793" w14:textId="77777777" w:rsidR="00D93D79" w:rsidRPr="00C85814" w:rsidRDefault="00D93D79" w:rsidP="00D93D79">
      <w:pPr>
        <w:rPr>
          <w:rFonts w:ascii="Times New Roman" w:hAnsi="Times New Roman" w:cs="Times New Roman"/>
          <w:color w:val="000000"/>
        </w:rPr>
      </w:pPr>
      <w:r w:rsidRPr="00C85814">
        <w:rPr>
          <w:rFonts w:ascii="Times New Roman" w:hAnsi="Times New Roman" w:cs="Times New Roman"/>
          <w:color w:val="000000"/>
        </w:rPr>
        <w:t>SHAP values (y-axis) represent impact on risk prediction; colors indicate interacting variables. (A) Duration of immobilization shows a non-linear risk increase after 5–7 days. (B) D-dimer demonstrates a progressive non-linear risk trajectory. (C) Femoral vein catheterization increases DVT risk, acting synergistically with prolonged immobilization (yellow/green points) to yield the highest risk.</w:t>
      </w:r>
    </w:p>
    <w:p w14:paraId="7C753227" w14:textId="77777777" w:rsidR="00D93D79" w:rsidRDefault="00D93D79"/>
    <w:p w14:paraId="136BD485" w14:textId="77777777" w:rsidR="004641BE" w:rsidRDefault="004641BE"/>
    <w:p w14:paraId="0C3DC8FC" w14:textId="77777777" w:rsidR="004641BE" w:rsidRDefault="004641BE"/>
    <w:p w14:paraId="43299AF0" w14:textId="77777777" w:rsidR="004641BE" w:rsidRDefault="004641BE"/>
    <w:p w14:paraId="145F4761" w14:textId="77777777" w:rsidR="004641BE" w:rsidRDefault="004641BE"/>
    <w:p w14:paraId="757B93A1" w14:textId="77777777" w:rsidR="004641BE" w:rsidRDefault="004641BE" w:rsidP="004641BE">
      <w:pPr>
        <w:rPr>
          <w:rFonts w:ascii="Times New Roman" w:hAnsi="Times New Roman" w:cs="Times New Roman"/>
          <w:sz w:val="28"/>
          <w:szCs w:val="28"/>
        </w:rPr>
      </w:pPr>
      <w:r w:rsidRPr="000875B9">
        <w:rPr>
          <w:rFonts w:ascii="Times New Roman" w:hAnsi="Times New Roman" w:cs="Times New Roman"/>
          <w:b/>
          <w:bCs/>
          <w:sz w:val="28"/>
          <w:szCs w:val="28"/>
        </w:rPr>
        <w:t xml:space="preserve">Supplementary Table S1: </w:t>
      </w:r>
      <w:r w:rsidRPr="000875B9">
        <w:rPr>
          <w:rFonts w:ascii="Times New Roman" w:hAnsi="Times New Roman" w:cs="Times New Roman"/>
          <w:sz w:val="28"/>
          <w:szCs w:val="28"/>
        </w:rPr>
        <w:t>Hyperparameter tuning space and optimal values for the Random Forest model via Grid Search.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6"/>
        <w:gridCol w:w="2028"/>
        <w:gridCol w:w="2002"/>
        <w:gridCol w:w="2010"/>
      </w:tblGrid>
      <w:tr w:rsidR="004641BE" w:rsidRPr="000875B9" w14:paraId="755D2C0D" w14:textId="77777777" w:rsidTr="00507D96">
        <w:tc>
          <w:tcPr>
            <w:tcW w:w="2256" w:type="dxa"/>
            <w:vAlign w:val="center"/>
          </w:tcPr>
          <w:p w14:paraId="20DB7B7B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  <w:b/>
                <w:bCs/>
              </w:rPr>
              <w:t>Hyperparameter</w:t>
            </w:r>
          </w:p>
        </w:tc>
        <w:tc>
          <w:tcPr>
            <w:tcW w:w="2028" w:type="dxa"/>
            <w:vAlign w:val="center"/>
          </w:tcPr>
          <w:p w14:paraId="1F1CD80E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  <w:tc>
          <w:tcPr>
            <w:tcW w:w="2002" w:type="dxa"/>
            <w:vAlign w:val="center"/>
          </w:tcPr>
          <w:p w14:paraId="309957AB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  <w:b/>
                <w:bCs/>
              </w:rPr>
              <w:t>Grid Search Space</w:t>
            </w:r>
          </w:p>
        </w:tc>
        <w:tc>
          <w:tcPr>
            <w:tcW w:w="2010" w:type="dxa"/>
            <w:vAlign w:val="center"/>
          </w:tcPr>
          <w:p w14:paraId="05C51903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  <w:b/>
                <w:bCs/>
              </w:rPr>
              <w:t>Optimal Value</w:t>
            </w:r>
          </w:p>
        </w:tc>
      </w:tr>
      <w:tr w:rsidR="004641BE" w:rsidRPr="000875B9" w14:paraId="429A8C8E" w14:textId="77777777" w:rsidTr="00507D96">
        <w:tc>
          <w:tcPr>
            <w:tcW w:w="2256" w:type="dxa"/>
            <w:vAlign w:val="center"/>
          </w:tcPr>
          <w:p w14:paraId="126FF61F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proofErr w:type="spellStart"/>
            <w:r w:rsidRPr="000875B9">
              <w:rPr>
                <w:rStyle w:val="HTMLCode"/>
                <w:rFonts w:ascii="Times New Roman" w:hAnsi="Times New Roman" w:cs="Times New Roman"/>
              </w:rPr>
              <w:t>n_estimators</w:t>
            </w:r>
            <w:proofErr w:type="spellEnd"/>
          </w:p>
        </w:tc>
        <w:tc>
          <w:tcPr>
            <w:tcW w:w="2028" w:type="dxa"/>
            <w:vAlign w:val="center"/>
          </w:tcPr>
          <w:p w14:paraId="6C41BF6D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Number of trees in the forest</w:t>
            </w:r>
          </w:p>
        </w:tc>
        <w:tc>
          <w:tcPr>
            <w:tcW w:w="2002" w:type="dxa"/>
            <w:vAlign w:val="center"/>
          </w:tcPr>
          <w:p w14:paraId="3159B355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[100, 300, 500, 800, 1000]</w:t>
            </w:r>
          </w:p>
        </w:tc>
        <w:tc>
          <w:tcPr>
            <w:tcW w:w="2010" w:type="dxa"/>
            <w:vAlign w:val="center"/>
          </w:tcPr>
          <w:p w14:paraId="59418BBC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500</w:t>
            </w:r>
          </w:p>
        </w:tc>
      </w:tr>
      <w:tr w:rsidR="004641BE" w:rsidRPr="000875B9" w14:paraId="6084CA25" w14:textId="77777777" w:rsidTr="00507D96">
        <w:tc>
          <w:tcPr>
            <w:tcW w:w="2256" w:type="dxa"/>
            <w:vAlign w:val="center"/>
          </w:tcPr>
          <w:p w14:paraId="3E0EF495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proofErr w:type="spellStart"/>
            <w:r w:rsidRPr="000875B9">
              <w:rPr>
                <w:rStyle w:val="HTMLCode"/>
                <w:rFonts w:ascii="Times New Roman" w:hAnsi="Times New Roman" w:cs="Times New Roman"/>
              </w:rPr>
              <w:t>max_depth</w:t>
            </w:r>
            <w:proofErr w:type="spellEnd"/>
          </w:p>
        </w:tc>
        <w:tc>
          <w:tcPr>
            <w:tcW w:w="2028" w:type="dxa"/>
            <w:vAlign w:val="center"/>
          </w:tcPr>
          <w:p w14:paraId="5EC9DF87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Maximum depth of the tree</w:t>
            </w:r>
          </w:p>
        </w:tc>
        <w:tc>
          <w:tcPr>
            <w:tcW w:w="2002" w:type="dxa"/>
            <w:vAlign w:val="center"/>
          </w:tcPr>
          <w:p w14:paraId="0191315D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[None, 5, 10, 15, 20]</w:t>
            </w:r>
          </w:p>
        </w:tc>
        <w:tc>
          <w:tcPr>
            <w:tcW w:w="2010" w:type="dxa"/>
            <w:vAlign w:val="center"/>
          </w:tcPr>
          <w:p w14:paraId="3A1F5ECE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10</w:t>
            </w:r>
          </w:p>
        </w:tc>
      </w:tr>
      <w:tr w:rsidR="004641BE" w:rsidRPr="000875B9" w14:paraId="0B284243" w14:textId="77777777" w:rsidTr="00507D96">
        <w:tc>
          <w:tcPr>
            <w:tcW w:w="2256" w:type="dxa"/>
            <w:vAlign w:val="center"/>
          </w:tcPr>
          <w:p w14:paraId="614BD36B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proofErr w:type="spellStart"/>
            <w:r w:rsidRPr="000875B9">
              <w:rPr>
                <w:rStyle w:val="HTMLCode"/>
                <w:rFonts w:ascii="Times New Roman" w:hAnsi="Times New Roman" w:cs="Times New Roman"/>
              </w:rPr>
              <w:t>min_samples_split</w:t>
            </w:r>
            <w:proofErr w:type="spellEnd"/>
          </w:p>
        </w:tc>
        <w:tc>
          <w:tcPr>
            <w:tcW w:w="2028" w:type="dxa"/>
            <w:vAlign w:val="center"/>
          </w:tcPr>
          <w:p w14:paraId="34FA91E1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Minimum number of samples required to split an internal node</w:t>
            </w:r>
          </w:p>
        </w:tc>
        <w:tc>
          <w:tcPr>
            <w:tcW w:w="2002" w:type="dxa"/>
            <w:vAlign w:val="center"/>
          </w:tcPr>
          <w:p w14:paraId="0BBB2EB2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[2, 5, 10]</w:t>
            </w:r>
          </w:p>
        </w:tc>
        <w:tc>
          <w:tcPr>
            <w:tcW w:w="2010" w:type="dxa"/>
            <w:vAlign w:val="center"/>
          </w:tcPr>
          <w:p w14:paraId="26FB20DB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5</w:t>
            </w:r>
          </w:p>
        </w:tc>
      </w:tr>
      <w:tr w:rsidR="004641BE" w:rsidRPr="000875B9" w14:paraId="6DA0C7D9" w14:textId="77777777" w:rsidTr="00507D96">
        <w:tc>
          <w:tcPr>
            <w:tcW w:w="2256" w:type="dxa"/>
            <w:vAlign w:val="center"/>
          </w:tcPr>
          <w:p w14:paraId="2282A982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proofErr w:type="spellStart"/>
            <w:r w:rsidRPr="000875B9">
              <w:rPr>
                <w:rStyle w:val="HTMLCode"/>
                <w:rFonts w:ascii="Times New Roman" w:hAnsi="Times New Roman" w:cs="Times New Roman"/>
              </w:rPr>
              <w:t>min_samples_leaf</w:t>
            </w:r>
            <w:proofErr w:type="spellEnd"/>
          </w:p>
        </w:tc>
        <w:tc>
          <w:tcPr>
            <w:tcW w:w="2028" w:type="dxa"/>
            <w:vAlign w:val="center"/>
          </w:tcPr>
          <w:p w14:paraId="09AD974D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Minimum number of samples required to be at a leaf node</w:t>
            </w:r>
          </w:p>
        </w:tc>
        <w:tc>
          <w:tcPr>
            <w:tcW w:w="2002" w:type="dxa"/>
            <w:vAlign w:val="center"/>
          </w:tcPr>
          <w:p w14:paraId="63922BDA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[1, 2, 4]</w:t>
            </w:r>
          </w:p>
        </w:tc>
        <w:tc>
          <w:tcPr>
            <w:tcW w:w="2010" w:type="dxa"/>
            <w:vAlign w:val="center"/>
          </w:tcPr>
          <w:p w14:paraId="79A943F3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2</w:t>
            </w:r>
          </w:p>
        </w:tc>
      </w:tr>
      <w:tr w:rsidR="004641BE" w:rsidRPr="000875B9" w14:paraId="3325AEDE" w14:textId="77777777" w:rsidTr="00507D96">
        <w:tc>
          <w:tcPr>
            <w:tcW w:w="2256" w:type="dxa"/>
            <w:vAlign w:val="center"/>
          </w:tcPr>
          <w:p w14:paraId="4C1FB25D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proofErr w:type="spellStart"/>
            <w:r w:rsidRPr="000875B9">
              <w:rPr>
                <w:rStyle w:val="HTMLCode"/>
                <w:rFonts w:ascii="Times New Roman" w:hAnsi="Times New Roman" w:cs="Times New Roman"/>
              </w:rPr>
              <w:t>max_features</w:t>
            </w:r>
            <w:proofErr w:type="spellEnd"/>
          </w:p>
        </w:tc>
        <w:tc>
          <w:tcPr>
            <w:tcW w:w="2028" w:type="dxa"/>
            <w:vAlign w:val="center"/>
          </w:tcPr>
          <w:p w14:paraId="770A6E3A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Number of features to consider when looking for the best split</w:t>
            </w:r>
          </w:p>
        </w:tc>
        <w:tc>
          <w:tcPr>
            <w:tcW w:w="2002" w:type="dxa"/>
            <w:vAlign w:val="center"/>
          </w:tcPr>
          <w:p w14:paraId="66339C1B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['sqrt', 'log2']</w:t>
            </w:r>
          </w:p>
        </w:tc>
        <w:tc>
          <w:tcPr>
            <w:tcW w:w="2010" w:type="dxa"/>
            <w:vAlign w:val="center"/>
          </w:tcPr>
          <w:p w14:paraId="64F8AD85" w14:textId="77777777" w:rsidR="004641BE" w:rsidRPr="000875B9" w:rsidRDefault="004641BE" w:rsidP="00507D96">
            <w:pPr>
              <w:rPr>
                <w:rFonts w:ascii="Times New Roman" w:hAnsi="Times New Roman" w:cs="Times New Roman"/>
              </w:rPr>
            </w:pPr>
            <w:r w:rsidRPr="000875B9">
              <w:rPr>
                <w:rFonts w:ascii="Times New Roman" w:hAnsi="Times New Roman" w:cs="Times New Roman"/>
              </w:rPr>
              <w:t>'sqrt'</w:t>
            </w:r>
          </w:p>
        </w:tc>
      </w:tr>
    </w:tbl>
    <w:p w14:paraId="53EE3BDE" w14:textId="77777777" w:rsidR="004641BE" w:rsidRDefault="004641BE"/>
    <w:p w14:paraId="5938AAAA" w14:textId="77777777" w:rsidR="004641BE" w:rsidRDefault="004641BE"/>
    <w:p w14:paraId="26B2D7F6" w14:textId="337CA267" w:rsidR="004641BE" w:rsidRDefault="004641BE"/>
    <w:p w14:paraId="56423388" w14:textId="77777777" w:rsidR="004641BE" w:rsidRPr="001B5C92" w:rsidRDefault="004641BE" w:rsidP="004641B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5C92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Table S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 w:rsidRPr="001B5C92">
        <w:rPr>
          <w:rFonts w:ascii="Times New Roman" w:hAnsi="Times New Roman" w:cs="Times New Roman"/>
          <w:sz w:val="28"/>
          <w:szCs w:val="28"/>
        </w:rPr>
        <w:t>.</w:t>
      </w:r>
      <w:r w:rsidRPr="001B5C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5C92">
        <w:rPr>
          <w:rFonts w:ascii="Times New Roman" w:hAnsi="Times New Roman" w:cs="Times New Roman"/>
          <w:sz w:val="28"/>
          <w:szCs w:val="28"/>
        </w:rPr>
        <w:t>Primary ICU admission diagnoses and clinical acuity of the study population</w:t>
      </w:r>
      <w:r>
        <w:rPr>
          <w:rFonts w:ascii="Times New Roman" w:hAnsi="Times New Roman" w:cs="Times New Roman" w:hint="eastAsia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641BE" w:rsidRPr="001B5C92" w14:paraId="53B9ECF2" w14:textId="77777777" w:rsidTr="00507D96">
        <w:tc>
          <w:tcPr>
            <w:tcW w:w="4148" w:type="dxa"/>
            <w:vAlign w:val="center"/>
          </w:tcPr>
          <w:p w14:paraId="44BFBFC6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Characteristics</w:t>
            </w:r>
          </w:p>
        </w:tc>
        <w:tc>
          <w:tcPr>
            <w:tcW w:w="4148" w:type="dxa"/>
            <w:vAlign w:val="center"/>
          </w:tcPr>
          <w:p w14:paraId="0B2CE0D4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patients (%)</w:t>
            </w:r>
          </w:p>
        </w:tc>
      </w:tr>
      <w:tr w:rsidR="004641BE" w:rsidRPr="001B5C92" w14:paraId="062C6D6C" w14:textId="77777777" w:rsidTr="00507D96">
        <w:tc>
          <w:tcPr>
            <w:tcW w:w="4148" w:type="dxa"/>
            <w:vAlign w:val="center"/>
          </w:tcPr>
          <w:p w14:paraId="1EC3E824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Primary diagnosis upon ICU admission</w:t>
            </w:r>
          </w:p>
        </w:tc>
        <w:tc>
          <w:tcPr>
            <w:tcW w:w="4148" w:type="dxa"/>
            <w:vAlign w:val="center"/>
          </w:tcPr>
          <w:p w14:paraId="5CAD79F4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1BE" w:rsidRPr="001B5C92" w14:paraId="7B7676CA" w14:textId="77777777" w:rsidTr="00507D96">
        <w:tc>
          <w:tcPr>
            <w:tcW w:w="4148" w:type="dxa"/>
            <w:vAlign w:val="center"/>
          </w:tcPr>
          <w:p w14:paraId="716E6B4C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Severe respiratory conditions</w:t>
            </w:r>
          </w:p>
        </w:tc>
        <w:tc>
          <w:tcPr>
            <w:tcW w:w="4148" w:type="dxa"/>
            <w:vAlign w:val="center"/>
          </w:tcPr>
          <w:p w14:paraId="3417431D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640 (32.0)</w:t>
            </w:r>
          </w:p>
        </w:tc>
      </w:tr>
      <w:tr w:rsidR="004641BE" w:rsidRPr="001B5C92" w14:paraId="6308F7EE" w14:textId="77777777" w:rsidTr="00507D96">
        <w:tc>
          <w:tcPr>
            <w:tcW w:w="4148" w:type="dxa"/>
            <w:vAlign w:val="center"/>
          </w:tcPr>
          <w:p w14:paraId="0AB819A0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Cardiac diseases, total</w:t>
            </w:r>
          </w:p>
        </w:tc>
        <w:tc>
          <w:tcPr>
            <w:tcW w:w="4148" w:type="dxa"/>
            <w:vAlign w:val="center"/>
          </w:tcPr>
          <w:p w14:paraId="53BBB483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480 (24.0)</w:t>
            </w:r>
          </w:p>
        </w:tc>
      </w:tr>
      <w:tr w:rsidR="004641BE" w:rsidRPr="001B5C92" w14:paraId="3A0BFB0E" w14:textId="77777777" w:rsidTr="00507D96">
        <w:tc>
          <w:tcPr>
            <w:tcW w:w="4148" w:type="dxa"/>
            <w:vAlign w:val="center"/>
          </w:tcPr>
          <w:p w14:paraId="6A1C4657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 </w:t>
            </w: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Ischemic heart disease</w:t>
            </w:r>
          </w:p>
        </w:tc>
        <w:tc>
          <w:tcPr>
            <w:tcW w:w="4148" w:type="dxa"/>
            <w:vAlign w:val="center"/>
          </w:tcPr>
          <w:p w14:paraId="59C3727D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260 (13.0)</w:t>
            </w:r>
          </w:p>
        </w:tc>
      </w:tr>
      <w:tr w:rsidR="004641BE" w:rsidRPr="001B5C92" w14:paraId="00E1AC93" w14:textId="77777777" w:rsidTr="00507D96">
        <w:tc>
          <w:tcPr>
            <w:tcW w:w="4148" w:type="dxa"/>
            <w:vAlign w:val="center"/>
          </w:tcPr>
          <w:p w14:paraId="78AB1329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 </w:t>
            </w: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Arrhythmic events</w:t>
            </w:r>
          </w:p>
        </w:tc>
        <w:tc>
          <w:tcPr>
            <w:tcW w:w="4148" w:type="dxa"/>
            <w:vAlign w:val="center"/>
          </w:tcPr>
          <w:p w14:paraId="560B0C3F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120 (6.0)</w:t>
            </w:r>
          </w:p>
        </w:tc>
      </w:tr>
      <w:tr w:rsidR="004641BE" w:rsidRPr="001B5C92" w14:paraId="496548AA" w14:textId="77777777" w:rsidTr="00507D96">
        <w:tc>
          <w:tcPr>
            <w:tcW w:w="4148" w:type="dxa"/>
            <w:vAlign w:val="center"/>
          </w:tcPr>
          <w:p w14:paraId="6CA63527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 </w:t>
            </w: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Other cardiac-related issues</w:t>
            </w:r>
          </w:p>
        </w:tc>
        <w:tc>
          <w:tcPr>
            <w:tcW w:w="4148" w:type="dxa"/>
            <w:vAlign w:val="center"/>
          </w:tcPr>
          <w:p w14:paraId="3F520A63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100 (5.0)</w:t>
            </w:r>
          </w:p>
        </w:tc>
      </w:tr>
      <w:tr w:rsidR="004641BE" w:rsidRPr="001B5C92" w14:paraId="6F7C8BE2" w14:textId="77777777" w:rsidTr="00507D96">
        <w:tc>
          <w:tcPr>
            <w:tcW w:w="4148" w:type="dxa"/>
            <w:vAlign w:val="center"/>
          </w:tcPr>
          <w:p w14:paraId="4DA16D49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Sepsis</w:t>
            </w:r>
          </w:p>
        </w:tc>
        <w:tc>
          <w:tcPr>
            <w:tcW w:w="4148" w:type="dxa"/>
            <w:vAlign w:val="center"/>
          </w:tcPr>
          <w:p w14:paraId="44EA66F5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360 (18.0)</w:t>
            </w:r>
          </w:p>
        </w:tc>
      </w:tr>
      <w:tr w:rsidR="004641BE" w:rsidRPr="001B5C92" w14:paraId="2954B264" w14:textId="77777777" w:rsidTr="00507D96">
        <w:tc>
          <w:tcPr>
            <w:tcW w:w="4148" w:type="dxa"/>
            <w:vAlign w:val="center"/>
          </w:tcPr>
          <w:p w14:paraId="180F56DD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Severe neurological disorders</w:t>
            </w:r>
          </w:p>
        </w:tc>
        <w:tc>
          <w:tcPr>
            <w:tcW w:w="4148" w:type="dxa"/>
            <w:vAlign w:val="center"/>
          </w:tcPr>
          <w:p w14:paraId="1F841635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280 (14.0)</w:t>
            </w:r>
          </w:p>
        </w:tc>
      </w:tr>
      <w:tr w:rsidR="004641BE" w:rsidRPr="001B5C92" w14:paraId="5964FBA1" w14:textId="77777777" w:rsidTr="00507D96">
        <w:tc>
          <w:tcPr>
            <w:tcW w:w="4148" w:type="dxa"/>
            <w:vAlign w:val="center"/>
          </w:tcPr>
          <w:p w14:paraId="314C7694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Postoperative intensive monitoring</w:t>
            </w:r>
          </w:p>
        </w:tc>
        <w:tc>
          <w:tcPr>
            <w:tcW w:w="4148" w:type="dxa"/>
            <w:vAlign w:val="center"/>
          </w:tcPr>
          <w:p w14:paraId="5D6DD3D8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240 (12.0)</w:t>
            </w:r>
          </w:p>
        </w:tc>
      </w:tr>
      <w:tr w:rsidR="004641BE" w:rsidRPr="001B5C92" w14:paraId="0466BCCB" w14:textId="77777777" w:rsidTr="00507D96">
        <w:tc>
          <w:tcPr>
            <w:tcW w:w="4148" w:type="dxa"/>
            <w:vAlign w:val="center"/>
          </w:tcPr>
          <w:p w14:paraId="12163A7D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Clinical acuity indicator</w:t>
            </w:r>
          </w:p>
        </w:tc>
        <w:tc>
          <w:tcPr>
            <w:tcW w:w="4148" w:type="dxa"/>
            <w:vAlign w:val="center"/>
          </w:tcPr>
          <w:p w14:paraId="79CE8F92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1BE" w:rsidRPr="001B5C92" w14:paraId="6D589546" w14:textId="77777777" w:rsidTr="00507D96">
        <w:tc>
          <w:tcPr>
            <w:tcW w:w="4148" w:type="dxa"/>
            <w:vAlign w:val="center"/>
          </w:tcPr>
          <w:p w14:paraId="746568D2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Intubation and mechanical ventilation</w:t>
            </w:r>
          </w:p>
        </w:tc>
        <w:tc>
          <w:tcPr>
            <w:tcW w:w="4148" w:type="dxa"/>
            <w:vAlign w:val="center"/>
          </w:tcPr>
          <w:p w14:paraId="71733F84" w14:textId="77777777" w:rsidR="004641BE" w:rsidRPr="001B5C92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C92">
              <w:rPr>
                <w:rFonts w:ascii="Times New Roman" w:hAnsi="Times New Roman" w:cs="Times New Roman"/>
                <w:sz w:val="24"/>
                <w:szCs w:val="24"/>
              </w:rPr>
              <w:t>1040 (52.0)</w:t>
            </w:r>
          </w:p>
        </w:tc>
      </w:tr>
    </w:tbl>
    <w:p w14:paraId="7A63950A" w14:textId="77777777" w:rsidR="004641BE" w:rsidRPr="001B5C92" w:rsidRDefault="004641BE" w:rsidP="004641BE"/>
    <w:p w14:paraId="60812A57" w14:textId="77777777" w:rsidR="004641BE" w:rsidRDefault="004641BE"/>
    <w:p w14:paraId="411D4486" w14:textId="77777777" w:rsidR="004641BE" w:rsidRDefault="004641BE"/>
    <w:p w14:paraId="5231C7A0" w14:textId="77777777" w:rsidR="004641BE" w:rsidRDefault="004641BE"/>
    <w:p w14:paraId="3C8DF6AE" w14:textId="77777777" w:rsidR="004641BE" w:rsidRDefault="004641BE" w:rsidP="004641BE">
      <w:pPr>
        <w:rPr>
          <w:rFonts w:ascii="Times New Roman" w:hAnsi="Times New Roman" w:cs="Times New Roman"/>
          <w:sz w:val="28"/>
          <w:szCs w:val="28"/>
        </w:rPr>
      </w:pPr>
      <w:r w:rsidRPr="00F61D16">
        <w:rPr>
          <w:rFonts w:ascii="Times New Roman" w:hAnsi="Times New Roman" w:cs="Times New Roman"/>
          <w:b/>
          <w:bCs/>
          <w:sz w:val="28"/>
          <w:szCs w:val="28"/>
        </w:rPr>
        <w:t>Supplementary Table S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3</w:t>
      </w:r>
      <w:r w:rsidRPr="00F61D1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F61D16">
        <w:rPr>
          <w:rFonts w:ascii="Times New Roman" w:hAnsi="Times New Roman" w:cs="Times New Roman"/>
          <w:sz w:val="28"/>
          <w:szCs w:val="28"/>
        </w:rPr>
        <w:t>Detailed predictive performance metrics of the optimal Random Forest model in the internal testing and external validation sets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641BE" w:rsidRPr="00F61D16" w14:paraId="696FA95C" w14:textId="77777777" w:rsidTr="00507D96">
        <w:tc>
          <w:tcPr>
            <w:tcW w:w="2765" w:type="dxa"/>
            <w:vAlign w:val="center"/>
          </w:tcPr>
          <w:p w14:paraId="2D3D32D9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2765" w:type="dxa"/>
            <w:vAlign w:val="center"/>
          </w:tcPr>
          <w:p w14:paraId="1FD48D2B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Internal Testing Set (95% CI)</w:t>
            </w:r>
          </w:p>
        </w:tc>
        <w:tc>
          <w:tcPr>
            <w:tcW w:w="2766" w:type="dxa"/>
            <w:vAlign w:val="center"/>
          </w:tcPr>
          <w:p w14:paraId="38387866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External Validation Set (95% CI)</w:t>
            </w:r>
          </w:p>
        </w:tc>
      </w:tr>
      <w:tr w:rsidR="004641BE" w:rsidRPr="00F61D16" w14:paraId="60DC0A2E" w14:textId="77777777" w:rsidTr="00507D96">
        <w:tc>
          <w:tcPr>
            <w:tcW w:w="2765" w:type="dxa"/>
            <w:vAlign w:val="center"/>
          </w:tcPr>
          <w:p w14:paraId="7BC1131F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AUC</w:t>
            </w:r>
          </w:p>
        </w:tc>
        <w:tc>
          <w:tcPr>
            <w:tcW w:w="2765" w:type="dxa"/>
            <w:vAlign w:val="center"/>
          </w:tcPr>
          <w:p w14:paraId="39079143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0.850 (0.801–0.900)</w:t>
            </w:r>
          </w:p>
        </w:tc>
        <w:tc>
          <w:tcPr>
            <w:tcW w:w="2766" w:type="dxa"/>
            <w:vAlign w:val="center"/>
          </w:tcPr>
          <w:p w14:paraId="725C7AB3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0.831 (0.771–0.888)</w:t>
            </w:r>
          </w:p>
        </w:tc>
      </w:tr>
      <w:tr w:rsidR="004641BE" w:rsidRPr="00F61D16" w14:paraId="41B81CCE" w14:textId="77777777" w:rsidTr="00507D96">
        <w:tc>
          <w:tcPr>
            <w:tcW w:w="2765" w:type="dxa"/>
            <w:vAlign w:val="center"/>
          </w:tcPr>
          <w:p w14:paraId="747F68F0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Optimal Cut-off</w:t>
            </w:r>
          </w:p>
        </w:tc>
        <w:tc>
          <w:tcPr>
            <w:tcW w:w="2765" w:type="dxa"/>
            <w:vAlign w:val="center"/>
          </w:tcPr>
          <w:p w14:paraId="56E9C469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0.345</w:t>
            </w:r>
          </w:p>
        </w:tc>
        <w:tc>
          <w:tcPr>
            <w:tcW w:w="2766" w:type="dxa"/>
            <w:vAlign w:val="center"/>
          </w:tcPr>
          <w:p w14:paraId="6120C87C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0.362</w:t>
            </w:r>
          </w:p>
        </w:tc>
      </w:tr>
      <w:tr w:rsidR="004641BE" w:rsidRPr="00F61D16" w14:paraId="7A56C92B" w14:textId="77777777" w:rsidTr="00507D96">
        <w:tc>
          <w:tcPr>
            <w:tcW w:w="2765" w:type="dxa"/>
            <w:vAlign w:val="center"/>
          </w:tcPr>
          <w:p w14:paraId="4F35E9EB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Sensitivity (Recall)</w:t>
            </w:r>
          </w:p>
        </w:tc>
        <w:tc>
          <w:tcPr>
            <w:tcW w:w="2765" w:type="dxa"/>
            <w:vAlign w:val="center"/>
          </w:tcPr>
          <w:p w14:paraId="625BC977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0.805 (0.742–0.856)</w:t>
            </w:r>
          </w:p>
        </w:tc>
        <w:tc>
          <w:tcPr>
            <w:tcW w:w="2766" w:type="dxa"/>
            <w:vAlign w:val="center"/>
          </w:tcPr>
          <w:p w14:paraId="764CC60D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0.778 (0.715–0.832)</w:t>
            </w:r>
          </w:p>
        </w:tc>
      </w:tr>
      <w:tr w:rsidR="004641BE" w:rsidRPr="00F61D16" w14:paraId="01988576" w14:textId="77777777" w:rsidTr="00507D96">
        <w:tc>
          <w:tcPr>
            <w:tcW w:w="2765" w:type="dxa"/>
            <w:vAlign w:val="center"/>
          </w:tcPr>
          <w:p w14:paraId="6E707EEA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Specificity</w:t>
            </w:r>
          </w:p>
        </w:tc>
        <w:tc>
          <w:tcPr>
            <w:tcW w:w="2765" w:type="dxa"/>
            <w:vAlign w:val="center"/>
          </w:tcPr>
          <w:p w14:paraId="6CC1C06E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0.768 (0.710–0.818)</w:t>
            </w:r>
          </w:p>
        </w:tc>
        <w:tc>
          <w:tcPr>
            <w:tcW w:w="2766" w:type="dxa"/>
            <w:vAlign w:val="center"/>
          </w:tcPr>
          <w:p w14:paraId="60002BAD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0.752 (0.694–0.803)</w:t>
            </w:r>
          </w:p>
        </w:tc>
      </w:tr>
      <w:tr w:rsidR="004641BE" w:rsidRPr="00F61D16" w14:paraId="48C5A40D" w14:textId="77777777" w:rsidTr="00507D96">
        <w:tc>
          <w:tcPr>
            <w:tcW w:w="2765" w:type="dxa"/>
            <w:vAlign w:val="center"/>
          </w:tcPr>
          <w:p w14:paraId="5344ABC6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Precision (PPV)</w:t>
            </w:r>
          </w:p>
        </w:tc>
        <w:tc>
          <w:tcPr>
            <w:tcW w:w="2765" w:type="dxa"/>
            <w:vAlign w:val="center"/>
          </w:tcPr>
          <w:p w14:paraId="0C7EB5B5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0.368 (0.312–0.425)</w:t>
            </w:r>
          </w:p>
        </w:tc>
        <w:tc>
          <w:tcPr>
            <w:tcW w:w="2766" w:type="dxa"/>
            <w:vAlign w:val="center"/>
          </w:tcPr>
          <w:p w14:paraId="740D9979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0.385 (0.328–0.444)</w:t>
            </w:r>
          </w:p>
        </w:tc>
      </w:tr>
      <w:tr w:rsidR="004641BE" w:rsidRPr="00F61D16" w14:paraId="4DD9CF13" w14:textId="77777777" w:rsidTr="00507D96">
        <w:tc>
          <w:tcPr>
            <w:tcW w:w="2765" w:type="dxa"/>
            <w:vAlign w:val="center"/>
          </w:tcPr>
          <w:p w14:paraId="6133728B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F1-Score</w:t>
            </w:r>
          </w:p>
        </w:tc>
        <w:tc>
          <w:tcPr>
            <w:tcW w:w="2765" w:type="dxa"/>
            <w:vAlign w:val="center"/>
          </w:tcPr>
          <w:p w14:paraId="0DBE26F3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0.505 (0.451–0.562)</w:t>
            </w:r>
          </w:p>
        </w:tc>
        <w:tc>
          <w:tcPr>
            <w:tcW w:w="2766" w:type="dxa"/>
            <w:vAlign w:val="center"/>
          </w:tcPr>
          <w:p w14:paraId="52E8F3B2" w14:textId="77777777" w:rsidR="004641BE" w:rsidRPr="00F61D16" w:rsidRDefault="004641BE" w:rsidP="00507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D16">
              <w:rPr>
                <w:rFonts w:ascii="Times New Roman" w:hAnsi="Times New Roman" w:cs="Times New Roman"/>
                <w:sz w:val="24"/>
                <w:szCs w:val="24"/>
              </w:rPr>
              <w:t>0.515 (0.460–0.573)</w:t>
            </w:r>
          </w:p>
        </w:tc>
      </w:tr>
    </w:tbl>
    <w:p w14:paraId="37E9FCD2" w14:textId="77777777" w:rsidR="004641BE" w:rsidRDefault="004641BE" w:rsidP="004641BE">
      <w:pPr>
        <w:rPr>
          <w:rFonts w:ascii="Times New Roman" w:hAnsi="Times New Roman" w:cs="Times New Roman"/>
          <w:sz w:val="28"/>
          <w:szCs w:val="28"/>
        </w:rPr>
      </w:pPr>
    </w:p>
    <w:p w14:paraId="5106086F" w14:textId="77777777" w:rsidR="004641BE" w:rsidRDefault="004641BE" w:rsidP="004641BE">
      <w:pPr>
        <w:rPr>
          <w:rFonts w:ascii="Times New Roman" w:hAnsi="Times New Roman" w:cs="Times New Roman"/>
          <w:sz w:val="28"/>
          <w:szCs w:val="28"/>
        </w:rPr>
      </w:pPr>
    </w:p>
    <w:p w14:paraId="5DBE9D79" w14:textId="77777777" w:rsidR="004641BE" w:rsidRDefault="004641BE" w:rsidP="004641BE">
      <w:pPr>
        <w:rPr>
          <w:rFonts w:ascii="Times New Roman" w:hAnsi="Times New Roman" w:cs="Times New Roman"/>
          <w:sz w:val="28"/>
          <w:szCs w:val="28"/>
        </w:rPr>
      </w:pPr>
    </w:p>
    <w:p w14:paraId="3A067E2B" w14:textId="77777777" w:rsidR="004641BE" w:rsidRPr="00F61D16" w:rsidRDefault="004641BE" w:rsidP="004641BE">
      <w:pPr>
        <w:rPr>
          <w:rFonts w:ascii="Times New Roman" w:hAnsi="Times New Roman" w:cs="Times New Roman"/>
          <w:sz w:val="28"/>
          <w:szCs w:val="28"/>
        </w:rPr>
      </w:pPr>
    </w:p>
    <w:p w14:paraId="2F5DCCFE" w14:textId="77777777" w:rsidR="004641BE" w:rsidRDefault="004641BE"/>
    <w:p w14:paraId="7CF3D4EF" w14:textId="77777777" w:rsidR="004641BE" w:rsidRDefault="004641BE"/>
    <w:p w14:paraId="209027C3" w14:textId="77777777" w:rsidR="004641BE" w:rsidRDefault="004641BE" w:rsidP="004641BE">
      <w:pPr>
        <w:rPr>
          <w:rFonts w:ascii="Times New Roman" w:hAnsi="Times New Roman" w:cs="Times New Roman"/>
          <w:sz w:val="28"/>
          <w:szCs w:val="28"/>
        </w:rPr>
      </w:pPr>
      <w:bookmarkStart w:id="1" w:name="OLE_LINK22"/>
      <w:r w:rsidRPr="00BE318B">
        <w:rPr>
          <w:rFonts w:ascii="Times New Roman" w:hAnsi="Times New Roman" w:cs="Times New Roman"/>
          <w:b/>
          <w:bCs/>
          <w:sz w:val="28"/>
          <w:szCs w:val="28"/>
        </w:rPr>
        <w:t xml:space="preserve">Supplementary Table </w:t>
      </w:r>
      <w:bookmarkEnd w:id="1"/>
      <w:r w:rsidRPr="00BE318B"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4</w:t>
      </w:r>
      <w:r w:rsidRPr="00BE318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E318B">
        <w:rPr>
          <w:rFonts w:ascii="Times New Roman" w:hAnsi="Times New Roman" w:cs="Times New Roman"/>
          <w:sz w:val="28"/>
          <w:szCs w:val="28"/>
        </w:rPr>
        <w:t>Head-to-head performance comparison of the Random Forest model, Wells score, and Caprini score in the external validation cohort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103"/>
        <w:gridCol w:w="1150"/>
        <w:gridCol w:w="1150"/>
        <w:gridCol w:w="989"/>
        <w:gridCol w:w="1066"/>
      </w:tblGrid>
      <w:tr w:rsidR="004641BE" w14:paraId="57CA9223" w14:textId="77777777" w:rsidTr="00507D96">
        <w:tc>
          <w:tcPr>
            <w:tcW w:w="1838" w:type="dxa"/>
            <w:vAlign w:val="center"/>
          </w:tcPr>
          <w:p w14:paraId="55522673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  <w:b/>
                <w:bCs/>
              </w:rPr>
              <w:t>Model / Scoring System</w:t>
            </w:r>
          </w:p>
        </w:tc>
        <w:tc>
          <w:tcPr>
            <w:tcW w:w="2103" w:type="dxa"/>
            <w:vAlign w:val="center"/>
          </w:tcPr>
          <w:p w14:paraId="4B99F5F9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  <w:b/>
                <w:bCs/>
              </w:rPr>
              <w:t>AUC (95% CI)</w:t>
            </w:r>
          </w:p>
        </w:tc>
        <w:tc>
          <w:tcPr>
            <w:tcW w:w="1150" w:type="dxa"/>
            <w:vAlign w:val="center"/>
          </w:tcPr>
          <w:p w14:paraId="6C7E3662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  <w:b/>
                <w:bCs/>
              </w:rPr>
              <w:t>Sensitivity</w:t>
            </w:r>
          </w:p>
        </w:tc>
        <w:tc>
          <w:tcPr>
            <w:tcW w:w="1150" w:type="dxa"/>
            <w:vAlign w:val="center"/>
          </w:tcPr>
          <w:p w14:paraId="40F94124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  <w:b/>
                <w:bCs/>
              </w:rPr>
              <w:t>Specificity</w:t>
            </w:r>
          </w:p>
        </w:tc>
        <w:tc>
          <w:tcPr>
            <w:tcW w:w="989" w:type="dxa"/>
            <w:vAlign w:val="center"/>
          </w:tcPr>
          <w:p w14:paraId="3544DF84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  <w:b/>
                <w:bCs/>
              </w:rPr>
              <w:t>PPV</w:t>
            </w:r>
          </w:p>
        </w:tc>
        <w:tc>
          <w:tcPr>
            <w:tcW w:w="1066" w:type="dxa"/>
            <w:vAlign w:val="center"/>
          </w:tcPr>
          <w:p w14:paraId="2E3F91D6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  <w:b/>
                <w:bCs/>
              </w:rPr>
              <w:t>NPV</w:t>
            </w:r>
          </w:p>
        </w:tc>
      </w:tr>
      <w:tr w:rsidR="004641BE" w14:paraId="7129DF00" w14:textId="77777777" w:rsidTr="00507D96">
        <w:tc>
          <w:tcPr>
            <w:tcW w:w="1838" w:type="dxa"/>
            <w:vAlign w:val="center"/>
          </w:tcPr>
          <w:p w14:paraId="115528ED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Style w:val="Strong"/>
                <w:rFonts w:ascii="Times New Roman" w:hAnsi="Times New Roman" w:cs="Times New Roman"/>
              </w:rPr>
              <w:t xml:space="preserve">Random Forest </w:t>
            </w:r>
          </w:p>
        </w:tc>
        <w:tc>
          <w:tcPr>
            <w:tcW w:w="2103" w:type="dxa"/>
            <w:vAlign w:val="center"/>
          </w:tcPr>
          <w:p w14:paraId="0B0FC845" w14:textId="77777777" w:rsidR="004641BE" w:rsidRPr="001445A8" w:rsidRDefault="004641BE" w:rsidP="00507D9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45A8">
              <w:rPr>
                <w:rStyle w:val="Strong"/>
                <w:rFonts w:ascii="Times New Roman" w:hAnsi="Times New Roman" w:cs="Times New Roman"/>
              </w:rPr>
              <w:t>0.831</w:t>
            </w:r>
            <w:r w:rsidRPr="001445A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445A8">
              <w:rPr>
                <w:rFonts w:ascii="Times New Roman" w:hAnsi="Times New Roman" w:cs="Times New Roman"/>
              </w:rPr>
              <w:t>(0.771–0.888)</w:t>
            </w:r>
          </w:p>
        </w:tc>
        <w:tc>
          <w:tcPr>
            <w:tcW w:w="1150" w:type="dxa"/>
            <w:vAlign w:val="center"/>
          </w:tcPr>
          <w:p w14:paraId="7782AD12" w14:textId="77777777" w:rsidR="004641BE" w:rsidRPr="001445A8" w:rsidRDefault="004641BE" w:rsidP="00507D9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45A8">
              <w:rPr>
                <w:rStyle w:val="Strong"/>
                <w:rFonts w:ascii="Times New Roman" w:hAnsi="Times New Roman" w:cs="Times New Roman"/>
              </w:rPr>
              <w:t>0.784</w:t>
            </w:r>
          </w:p>
        </w:tc>
        <w:tc>
          <w:tcPr>
            <w:tcW w:w="1150" w:type="dxa"/>
            <w:vAlign w:val="center"/>
          </w:tcPr>
          <w:p w14:paraId="6B36799B" w14:textId="77777777" w:rsidR="004641BE" w:rsidRPr="001445A8" w:rsidRDefault="004641BE" w:rsidP="00507D9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45A8">
              <w:rPr>
                <w:rStyle w:val="Strong"/>
                <w:rFonts w:ascii="Times New Roman" w:hAnsi="Times New Roman" w:cs="Times New Roman"/>
              </w:rPr>
              <w:t>0.752</w:t>
            </w:r>
          </w:p>
        </w:tc>
        <w:tc>
          <w:tcPr>
            <w:tcW w:w="989" w:type="dxa"/>
            <w:vAlign w:val="center"/>
          </w:tcPr>
          <w:p w14:paraId="23E42912" w14:textId="77777777" w:rsidR="004641BE" w:rsidRPr="001445A8" w:rsidRDefault="004641BE" w:rsidP="00507D9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45A8">
              <w:rPr>
                <w:rStyle w:val="Strong"/>
                <w:rFonts w:ascii="Times New Roman" w:hAnsi="Times New Roman" w:cs="Times New Roman"/>
              </w:rPr>
              <w:t>0.415</w:t>
            </w:r>
          </w:p>
        </w:tc>
        <w:tc>
          <w:tcPr>
            <w:tcW w:w="1066" w:type="dxa"/>
            <w:vAlign w:val="center"/>
          </w:tcPr>
          <w:p w14:paraId="03085176" w14:textId="77777777" w:rsidR="004641BE" w:rsidRPr="001445A8" w:rsidRDefault="004641BE" w:rsidP="00507D9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45A8">
              <w:rPr>
                <w:rStyle w:val="Strong"/>
                <w:rFonts w:ascii="Times New Roman" w:hAnsi="Times New Roman" w:cs="Times New Roman"/>
              </w:rPr>
              <w:t>0.925</w:t>
            </w:r>
          </w:p>
        </w:tc>
      </w:tr>
      <w:tr w:rsidR="004641BE" w14:paraId="5FFC524B" w14:textId="77777777" w:rsidTr="00507D96">
        <w:tc>
          <w:tcPr>
            <w:tcW w:w="1838" w:type="dxa"/>
            <w:vAlign w:val="center"/>
          </w:tcPr>
          <w:p w14:paraId="6E5CF99C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Style w:val="Strong"/>
                <w:rFonts w:ascii="Times New Roman" w:hAnsi="Times New Roman" w:cs="Times New Roman"/>
              </w:rPr>
              <w:t>Caprini Score</w:t>
            </w:r>
          </w:p>
        </w:tc>
        <w:tc>
          <w:tcPr>
            <w:tcW w:w="2103" w:type="dxa"/>
            <w:vAlign w:val="center"/>
          </w:tcPr>
          <w:p w14:paraId="7FE0DB1E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0.701 (0.632–0.769)</w:t>
            </w:r>
          </w:p>
        </w:tc>
        <w:tc>
          <w:tcPr>
            <w:tcW w:w="1150" w:type="dxa"/>
            <w:vAlign w:val="center"/>
          </w:tcPr>
          <w:p w14:paraId="7042FB11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0.665</w:t>
            </w:r>
          </w:p>
        </w:tc>
        <w:tc>
          <w:tcPr>
            <w:tcW w:w="1150" w:type="dxa"/>
            <w:vAlign w:val="center"/>
          </w:tcPr>
          <w:p w14:paraId="54A6AE0A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0.630</w:t>
            </w:r>
          </w:p>
        </w:tc>
        <w:tc>
          <w:tcPr>
            <w:tcW w:w="989" w:type="dxa"/>
            <w:vAlign w:val="center"/>
          </w:tcPr>
          <w:p w14:paraId="196FA102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0.265</w:t>
            </w:r>
          </w:p>
        </w:tc>
        <w:tc>
          <w:tcPr>
            <w:tcW w:w="1066" w:type="dxa"/>
            <w:vAlign w:val="center"/>
          </w:tcPr>
          <w:p w14:paraId="6A80885D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0.901</w:t>
            </w:r>
          </w:p>
        </w:tc>
      </w:tr>
      <w:tr w:rsidR="004641BE" w14:paraId="5A43F95F" w14:textId="77777777" w:rsidTr="00507D96">
        <w:tc>
          <w:tcPr>
            <w:tcW w:w="1838" w:type="dxa"/>
            <w:vAlign w:val="center"/>
          </w:tcPr>
          <w:p w14:paraId="6DEDE069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Style w:val="Strong"/>
                <w:rFonts w:ascii="Times New Roman" w:hAnsi="Times New Roman" w:cs="Times New Roman"/>
              </w:rPr>
              <w:t>Wells Score</w:t>
            </w:r>
          </w:p>
        </w:tc>
        <w:tc>
          <w:tcPr>
            <w:tcW w:w="2103" w:type="dxa"/>
            <w:vAlign w:val="center"/>
          </w:tcPr>
          <w:p w14:paraId="59C6FBD4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0.675 (0.612–0.738)</w:t>
            </w:r>
          </w:p>
        </w:tc>
        <w:tc>
          <w:tcPr>
            <w:tcW w:w="1150" w:type="dxa"/>
            <w:vAlign w:val="center"/>
          </w:tcPr>
          <w:p w14:paraId="41B7CC35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0.582</w:t>
            </w:r>
          </w:p>
        </w:tc>
        <w:tc>
          <w:tcPr>
            <w:tcW w:w="1150" w:type="dxa"/>
            <w:vAlign w:val="center"/>
          </w:tcPr>
          <w:p w14:paraId="4321DF13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0.695</w:t>
            </w:r>
          </w:p>
        </w:tc>
        <w:tc>
          <w:tcPr>
            <w:tcW w:w="989" w:type="dxa"/>
            <w:vAlign w:val="center"/>
          </w:tcPr>
          <w:p w14:paraId="0577C33B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0.285</w:t>
            </w:r>
          </w:p>
        </w:tc>
        <w:tc>
          <w:tcPr>
            <w:tcW w:w="1066" w:type="dxa"/>
            <w:vAlign w:val="center"/>
          </w:tcPr>
          <w:p w14:paraId="5E89746A" w14:textId="77777777" w:rsidR="004641BE" w:rsidRPr="00BE318B" w:rsidRDefault="004641BE" w:rsidP="00507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18B">
              <w:rPr>
                <w:rFonts w:ascii="Times New Roman" w:hAnsi="Times New Roman" w:cs="Times New Roman"/>
              </w:rPr>
              <w:t>0.862</w:t>
            </w:r>
          </w:p>
        </w:tc>
      </w:tr>
    </w:tbl>
    <w:p w14:paraId="7CC29CCE" w14:textId="77777777" w:rsidR="004641BE" w:rsidRPr="00B6418F" w:rsidRDefault="004641BE" w:rsidP="004641BE">
      <w:pPr>
        <w:rPr>
          <w:rFonts w:ascii="Times New Roman" w:hAnsi="Times New Roman" w:cs="Times New Roman"/>
          <w:sz w:val="24"/>
          <w:szCs w:val="24"/>
        </w:rPr>
      </w:pPr>
      <w:r w:rsidRPr="00B6418F">
        <w:rPr>
          <w:rFonts w:ascii="Times New Roman" w:hAnsi="Times New Roman" w:cs="Times New Roman"/>
          <w:b/>
          <w:bCs/>
          <w:sz w:val="24"/>
          <w:szCs w:val="24"/>
        </w:rPr>
        <w:t>Note:</w:t>
      </w:r>
      <w:r w:rsidRPr="00B6418F">
        <w:rPr>
          <w:rFonts w:ascii="Times New Roman" w:hAnsi="Times New Roman" w:cs="Times New Roman"/>
          <w:sz w:val="24"/>
          <w:szCs w:val="24"/>
        </w:rPr>
        <w:t> AUC, area under the receiver operating characteristic curve; CI, confidence interval; PPV, positive predictive value; NPV, negative predictive value</w:t>
      </w:r>
      <w:r w:rsidRPr="00B6418F">
        <w:rPr>
          <w:rFonts w:ascii="Times New Roman" w:hAnsi="Times New Roman" w:cs="Times New Roman" w:hint="eastAsia"/>
          <w:sz w:val="24"/>
          <w:szCs w:val="24"/>
        </w:rPr>
        <w:t>.</w:t>
      </w:r>
    </w:p>
    <w:p w14:paraId="056C233A" w14:textId="77777777" w:rsidR="004641BE" w:rsidRPr="00D93D79" w:rsidRDefault="004641BE"/>
    <w:sectPr w:rsidR="004641BE" w:rsidRPr="00D93D79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10B79" w14:textId="77777777" w:rsidR="00010774" w:rsidRDefault="00010774" w:rsidP="00D93D79">
      <w:r>
        <w:separator/>
      </w:r>
    </w:p>
  </w:endnote>
  <w:endnote w:type="continuationSeparator" w:id="0">
    <w:p w14:paraId="202B5D28" w14:textId="77777777" w:rsidR="00010774" w:rsidRDefault="00010774" w:rsidP="00D93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5F2B6" w14:textId="07CAC8BE" w:rsidR="004B1628" w:rsidRDefault="004B162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83D0D5" wp14:editId="1837C16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038761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A9082B" w14:textId="7AAB121D" w:rsidR="004B1628" w:rsidRPr="004B1628" w:rsidRDefault="004B1628" w:rsidP="004B162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B162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83D0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07A9082B" w14:textId="7AAB121D" w:rsidR="004B1628" w:rsidRPr="004B1628" w:rsidRDefault="004B1628" w:rsidP="004B162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B162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5FC8" w14:textId="56C0FDC1" w:rsidR="004B1628" w:rsidRDefault="004B162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4D3C2A9" wp14:editId="192DD946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37912127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80ABB2" w14:textId="044791F3" w:rsidR="004B1628" w:rsidRPr="004B1628" w:rsidRDefault="004B1628" w:rsidP="004B162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B162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3C2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1580ABB2" w14:textId="044791F3" w:rsidR="004B1628" w:rsidRPr="004B1628" w:rsidRDefault="004B1628" w:rsidP="004B162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B162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BB414" w14:textId="77F20ED6" w:rsidR="004B1628" w:rsidRDefault="004B162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302254" wp14:editId="7212A97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37519945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6D9445" w14:textId="39DDF056" w:rsidR="004B1628" w:rsidRPr="004B1628" w:rsidRDefault="004B1628" w:rsidP="004B162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B162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3022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4F6D9445" w14:textId="39DDF056" w:rsidR="004B1628" w:rsidRPr="004B1628" w:rsidRDefault="004B1628" w:rsidP="004B162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B162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15A6E" w14:textId="77777777" w:rsidR="00010774" w:rsidRDefault="00010774" w:rsidP="00D93D79">
      <w:r>
        <w:separator/>
      </w:r>
    </w:p>
  </w:footnote>
  <w:footnote w:type="continuationSeparator" w:id="0">
    <w:p w14:paraId="6E3F27B5" w14:textId="77777777" w:rsidR="00010774" w:rsidRDefault="00010774" w:rsidP="00D93D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538"/>
    <w:rsid w:val="00010774"/>
    <w:rsid w:val="003E57C1"/>
    <w:rsid w:val="004641BE"/>
    <w:rsid w:val="004861ED"/>
    <w:rsid w:val="004B1628"/>
    <w:rsid w:val="00554A7F"/>
    <w:rsid w:val="00587C62"/>
    <w:rsid w:val="00844D69"/>
    <w:rsid w:val="00892931"/>
    <w:rsid w:val="00911362"/>
    <w:rsid w:val="00914BAC"/>
    <w:rsid w:val="009D265A"/>
    <w:rsid w:val="00A24538"/>
    <w:rsid w:val="00B21753"/>
    <w:rsid w:val="00CD0A19"/>
    <w:rsid w:val="00CD7B45"/>
    <w:rsid w:val="00D83001"/>
    <w:rsid w:val="00D93D79"/>
    <w:rsid w:val="00E959AB"/>
    <w:rsid w:val="00EB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B598D2"/>
  <w14:defaultImageDpi w14:val="32767"/>
  <w15:chartTrackingRefBased/>
  <w15:docId w15:val="{32860CC9-9C21-4A03-B370-CEBA26D6D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D79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2453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5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53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53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53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53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53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53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53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53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45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5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538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538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538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538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538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538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A2453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53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453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5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45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5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45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5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5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5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3D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93D7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93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93D79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16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16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16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62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64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ode">
    <w:name w:val="HTML Code"/>
    <w:basedOn w:val="DefaultParagraphFont"/>
    <w:uiPriority w:val="99"/>
    <w:semiHidden/>
    <w:unhideWhenUsed/>
    <w:rsid w:val="004641BE"/>
    <w:rPr>
      <w:rFonts w:ascii="SimSun" w:eastAsia="SimSun" w:hAnsi="SimSun" w:cs="SimSun"/>
      <w:sz w:val="24"/>
      <w:szCs w:val="24"/>
    </w:rPr>
  </w:style>
  <w:style w:type="character" w:styleId="Strong">
    <w:name w:val="Strong"/>
    <w:basedOn w:val="DefaultParagraphFont"/>
    <w:uiPriority w:val="22"/>
    <w:qFormat/>
    <w:rsid w:val="004641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405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Li</dc:creator>
  <cp:keywords/>
  <dc:description/>
  <cp:lastModifiedBy>Murphy, Alexandra</cp:lastModifiedBy>
  <cp:revision>19</cp:revision>
  <dcterms:created xsi:type="dcterms:W3CDTF">2026-05-05T02:41:00Z</dcterms:created>
  <dcterms:modified xsi:type="dcterms:W3CDTF">2026-05-06T21:12:00Z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165d16db,bf1ac20,1698ee7d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2026-05-05T21:06:22Z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39dacef4-dcd2-40f7-814d-0b4e38e8e83d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