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0E81" w14:textId="77777777" w:rsidR="00857A7C" w:rsidRDefault="00000000">
      <w:pPr>
        <w:spacing w:after="120" w:line="480" w:lineRule="auto"/>
        <w:jc w:val="center"/>
        <w:rPr>
          <w:sz w:val="32"/>
          <w:szCs w:val="48"/>
        </w:rPr>
      </w:pPr>
      <w:r>
        <w:rPr>
          <w:b/>
          <w:sz w:val="32"/>
          <w:szCs w:val="48"/>
        </w:rPr>
        <w:t>Supplementary Material</w:t>
      </w:r>
    </w:p>
    <w:p w14:paraId="3B744980" w14:textId="77777777" w:rsidR="00857A7C" w:rsidRDefault="00000000">
      <w:pPr>
        <w:spacing w:after="80" w:line="480" w:lineRule="auto"/>
        <w:rPr>
          <w:b/>
          <w:sz w:val="21"/>
          <w:szCs w:val="32"/>
        </w:rPr>
      </w:pPr>
      <w:r>
        <w:rPr>
          <w:b/>
          <w:sz w:val="21"/>
          <w:szCs w:val="32"/>
        </w:rPr>
        <w:t>Table S</w:t>
      </w:r>
      <w:r>
        <w:rPr>
          <w:rFonts w:eastAsia="SimSun" w:hint="eastAsia"/>
          <w:b/>
          <w:sz w:val="21"/>
          <w:szCs w:val="32"/>
          <w:lang w:eastAsia="zh-CN"/>
        </w:rPr>
        <w:t>1</w:t>
      </w:r>
      <w:r>
        <w:rPr>
          <w:b/>
          <w:sz w:val="21"/>
          <w:szCs w:val="32"/>
        </w:rPr>
        <w:t>. Quality assessment of the included studies using the NIH Study Quality Assessment Tool for Case Series Studies.</w:t>
      </w:r>
    </w:p>
    <w:tbl>
      <w:tblPr>
        <w:tblStyle w:val="TableGrid"/>
        <w:tblW w:w="0" w:type="auto"/>
        <w:jc w:val="center"/>
        <w:tblLook w:val="04A0" w:firstRow="1" w:lastRow="0" w:firstColumn="1" w:lastColumn="0" w:noHBand="0" w:noVBand="1"/>
      </w:tblPr>
      <w:tblGrid>
        <w:gridCol w:w="2088"/>
        <w:gridCol w:w="528"/>
        <w:gridCol w:w="528"/>
        <w:gridCol w:w="528"/>
        <w:gridCol w:w="528"/>
        <w:gridCol w:w="528"/>
        <w:gridCol w:w="528"/>
        <w:gridCol w:w="528"/>
        <w:gridCol w:w="528"/>
        <w:gridCol w:w="528"/>
        <w:gridCol w:w="1296"/>
      </w:tblGrid>
      <w:tr w:rsidR="00857A7C" w14:paraId="29D79FCB" w14:textId="77777777">
        <w:trPr>
          <w:jc w:val="center"/>
        </w:trPr>
        <w:tc>
          <w:tcPr>
            <w:tcW w:w="2088" w:type="dxa"/>
            <w:tcBorders>
              <w:top w:val="single" w:sz="8" w:space="0" w:color="000000"/>
              <w:left w:val="nil"/>
              <w:bottom w:val="single" w:sz="6" w:space="0" w:color="000000"/>
              <w:right w:val="nil"/>
            </w:tcBorders>
            <w:vAlign w:val="center"/>
          </w:tcPr>
          <w:p w14:paraId="773476C8" w14:textId="77777777" w:rsidR="00857A7C" w:rsidRDefault="00000000">
            <w:pPr>
              <w:spacing w:after="0" w:line="480" w:lineRule="auto"/>
              <w:jc w:val="center"/>
              <w:rPr>
                <w:sz w:val="20"/>
                <w:szCs w:val="28"/>
              </w:rPr>
            </w:pPr>
            <w:r>
              <w:rPr>
                <w:b/>
                <w:sz w:val="20"/>
                <w:szCs w:val="28"/>
              </w:rPr>
              <w:t>Included study</w:t>
            </w:r>
          </w:p>
        </w:tc>
        <w:tc>
          <w:tcPr>
            <w:tcW w:w="518" w:type="dxa"/>
            <w:tcBorders>
              <w:top w:val="single" w:sz="8" w:space="0" w:color="000000"/>
              <w:left w:val="nil"/>
              <w:bottom w:val="single" w:sz="6" w:space="0" w:color="000000"/>
              <w:right w:val="nil"/>
            </w:tcBorders>
            <w:vAlign w:val="center"/>
          </w:tcPr>
          <w:p w14:paraId="32BDDB35" w14:textId="77777777" w:rsidR="00857A7C" w:rsidRDefault="00000000">
            <w:pPr>
              <w:spacing w:after="0" w:line="480" w:lineRule="auto"/>
              <w:jc w:val="center"/>
              <w:rPr>
                <w:sz w:val="20"/>
                <w:szCs w:val="28"/>
              </w:rPr>
            </w:pPr>
            <w:r>
              <w:rPr>
                <w:b/>
                <w:sz w:val="20"/>
                <w:szCs w:val="28"/>
              </w:rPr>
              <w:t>Q1</w:t>
            </w:r>
          </w:p>
        </w:tc>
        <w:tc>
          <w:tcPr>
            <w:tcW w:w="518" w:type="dxa"/>
            <w:tcBorders>
              <w:top w:val="single" w:sz="8" w:space="0" w:color="000000"/>
              <w:left w:val="nil"/>
              <w:bottom w:val="single" w:sz="6" w:space="0" w:color="000000"/>
              <w:right w:val="nil"/>
            </w:tcBorders>
            <w:vAlign w:val="center"/>
          </w:tcPr>
          <w:p w14:paraId="388F402B" w14:textId="77777777" w:rsidR="00857A7C" w:rsidRDefault="00000000">
            <w:pPr>
              <w:spacing w:after="0" w:line="480" w:lineRule="auto"/>
              <w:jc w:val="center"/>
              <w:rPr>
                <w:sz w:val="20"/>
                <w:szCs w:val="28"/>
              </w:rPr>
            </w:pPr>
            <w:r>
              <w:rPr>
                <w:b/>
                <w:sz w:val="20"/>
                <w:szCs w:val="28"/>
              </w:rPr>
              <w:t>Q2</w:t>
            </w:r>
          </w:p>
        </w:tc>
        <w:tc>
          <w:tcPr>
            <w:tcW w:w="518" w:type="dxa"/>
            <w:tcBorders>
              <w:top w:val="single" w:sz="8" w:space="0" w:color="000000"/>
              <w:left w:val="nil"/>
              <w:bottom w:val="single" w:sz="6" w:space="0" w:color="000000"/>
              <w:right w:val="nil"/>
            </w:tcBorders>
            <w:vAlign w:val="center"/>
          </w:tcPr>
          <w:p w14:paraId="6A9D8923" w14:textId="77777777" w:rsidR="00857A7C" w:rsidRDefault="00000000">
            <w:pPr>
              <w:spacing w:after="0" w:line="480" w:lineRule="auto"/>
              <w:jc w:val="center"/>
              <w:rPr>
                <w:sz w:val="20"/>
                <w:szCs w:val="28"/>
              </w:rPr>
            </w:pPr>
            <w:r>
              <w:rPr>
                <w:b/>
                <w:sz w:val="20"/>
                <w:szCs w:val="28"/>
              </w:rPr>
              <w:t>Q3</w:t>
            </w:r>
          </w:p>
        </w:tc>
        <w:tc>
          <w:tcPr>
            <w:tcW w:w="518" w:type="dxa"/>
            <w:tcBorders>
              <w:top w:val="single" w:sz="8" w:space="0" w:color="000000"/>
              <w:left w:val="nil"/>
              <w:bottom w:val="single" w:sz="6" w:space="0" w:color="000000"/>
              <w:right w:val="nil"/>
            </w:tcBorders>
            <w:vAlign w:val="center"/>
          </w:tcPr>
          <w:p w14:paraId="38A2E38D" w14:textId="77777777" w:rsidR="00857A7C" w:rsidRDefault="00000000">
            <w:pPr>
              <w:spacing w:after="0" w:line="480" w:lineRule="auto"/>
              <w:jc w:val="center"/>
              <w:rPr>
                <w:sz w:val="20"/>
                <w:szCs w:val="28"/>
              </w:rPr>
            </w:pPr>
            <w:r>
              <w:rPr>
                <w:b/>
                <w:sz w:val="20"/>
                <w:szCs w:val="28"/>
              </w:rPr>
              <w:t>Q4</w:t>
            </w:r>
          </w:p>
        </w:tc>
        <w:tc>
          <w:tcPr>
            <w:tcW w:w="518" w:type="dxa"/>
            <w:tcBorders>
              <w:top w:val="single" w:sz="8" w:space="0" w:color="000000"/>
              <w:left w:val="nil"/>
              <w:bottom w:val="single" w:sz="6" w:space="0" w:color="000000"/>
              <w:right w:val="nil"/>
            </w:tcBorders>
            <w:vAlign w:val="center"/>
          </w:tcPr>
          <w:p w14:paraId="5C0057E9" w14:textId="77777777" w:rsidR="00857A7C" w:rsidRDefault="00000000">
            <w:pPr>
              <w:spacing w:after="0" w:line="480" w:lineRule="auto"/>
              <w:jc w:val="center"/>
              <w:rPr>
                <w:sz w:val="20"/>
                <w:szCs w:val="28"/>
              </w:rPr>
            </w:pPr>
            <w:r>
              <w:rPr>
                <w:b/>
                <w:sz w:val="20"/>
                <w:szCs w:val="28"/>
              </w:rPr>
              <w:t>Q5</w:t>
            </w:r>
          </w:p>
        </w:tc>
        <w:tc>
          <w:tcPr>
            <w:tcW w:w="518" w:type="dxa"/>
            <w:tcBorders>
              <w:top w:val="single" w:sz="8" w:space="0" w:color="000000"/>
              <w:left w:val="nil"/>
              <w:bottom w:val="single" w:sz="6" w:space="0" w:color="000000"/>
              <w:right w:val="nil"/>
            </w:tcBorders>
            <w:vAlign w:val="center"/>
          </w:tcPr>
          <w:p w14:paraId="14396E9F" w14:textId="77777777" w:rsidR="00857A7C" w:rsidRDefault="00000000">
            <w:pPr>
              <w:spacing w:after="0" w:line="480" w:lineRule="auto"/>
              <w:jc w:val="center"/>
              <w:rPr>
                <w:sz w:val="20"/>
                <w:szCs w:val="28"/>
              </w:rPr>
            </w:pPr>
            <w:r>
              <w:rPr>
                <w:b/>
                <w:sz w:val="20"/>
                <w:szCs w:val="28"/>
              </w:rPr>
              <w:t>Q6</w:t>
            </w:r>
          </w:p>
        </w:tc>
        <w:tc>
          <w:tcPr>
            <w:tcW w:w="518" w:type="dxa"/>
            <w:tcBorders>
              <w:top w:val="single" w:sz="8" w:space="0" w:color="000000"/>
              <w:left w:val="nil"/>
              <w:bottom w:val="single" w:sz="6" w:space="0" w:color="000000"/>
              <w:right w:val="nil"/>
            </w:tcBorders>
            <w:vAlign w:val="center"/>
          </w:tcPr>
          <w:p w14:paraId="7A558F97" w14:textId="77777777" w:rsidR="00857A7C" w:rsidRDefault="00000000">
            <w:pPr>
              <w:spacing w:after="0" w:line="480" w:lineRule="auto"/>
              <w:jc w:val="center"/>
              <w:rPr>
                <w:sz w:val="20"/>
                <w:szCs w:val="28"/>
              </w:rPr>
            </w:pPr>
            <w:r>
              <w:rPr>
                <w:b/>
                <w:sz w:val="20"/>
                <w:szCs w:val="28"/>
              </w:rPr>
              <w:t>Q7</w:t>
            </w:r>
          </w:p>
        </w:tc>
        <w:tc>
          <w:tcPr>
            <w:tcW w:w="518" w:type="dxa"/>
            <w:tcBorders>
              <w:top w:val="single" w:sz="8" w:space="0" w:color="000000"/>
              <w:left w:val="nil"/>
              <w:bottom w:val="single" w:sz="6" w:space="0" w:color="000000"/>
              <w:right w:val="nil"/>
            </w:tcBorders>
            <w:vAlign w:val="center"/>
          </w:tcPr>
          <w:p w14:paraId="3F729F26" w14:textId="77777777" w:rsidR="00857A7C" w:rsidRDefault="00000000">
            <w:pPr>
              <w:spacing w:after="0" w:line="480" w:lineRule="auto"/>
              <w:jc w:val="center"/>
              <w:rPr>
                <w:sz w:val="20"/>
                <w:szCs w:val="28"/>
              </w:rPr>
            </w:pPr>
            <w:r>
              <w:rPr>
                <w:b/>
                <w:sz w:val="20"/>
                <w:szCs w:val="28"/>
              </w:rPr>
              <w:t>Q8</w:t>
            </w:r>
          </w:p>
        </w:tc>
        <w:tc>
          <w:tcPr>
            <w:tcW w:w="518" w:type="dxa"/>
            <w:tcBorders>
              <w:top w:val="single" w:sz="8" w:space="0" w:color="000000"/>
              <w:left w:val="nil"/>
              <w:bottom w:val="single" w:sz="6" w:space="0" w:color="000000"/>
              <w:right w:val="nil"/>
            </w:tcBorders>
            <w:vAlign w:val="center"/>
          </w:tcPr>
          <w:p w14:paraId="2B50420F" w14:textId="77777777" w:rsidR="00857A7C" w:rsidRDefault="00000000">
            <w:pPr>
              <w:spacing w:after="0" w:line="480" w:lineRule="auto"/>
              <w:jc w:val="center"/>
              <w:rPr>
                <w:sz w:val="20"/>
                <w:szCs w:val="28"/>
              </w:rPr>
            </w:pPr>
            <w:r>
              <w:rPr>
                <w:b/>
                <w:sz w:val="20"/>
                <w:szCs w:val="28"/>
              </w:rPr>
              <w:t>Q9</w:t>
            </w:r>
          </w:p>
        </w:tc>
        <w:tc>
          <w:tcPr>
            <w:tcW w:w="1296" w:type="dxa"/>
            <w:tcBorders>
              <w:top w:val="single" w:sz="8" w:space="0" w:color="000000"/>
              <w:left w:val="nil"/>
              <w:bottom w:val="single" w:sz="6" w:space="0" w:color="000000"/>
              <w:right w:val="nil"/>
            </w:tcBorders>
            <w:vAlign w:val="center"/>
          </w:tcPr>
          <w:p w14:paraId="4102F757" w14:textId="77777777" w:rsidR="00857A7C" w:rsidRDefault="00000000">
            <w:pPr>
              <w:spacing w:after="0" w:line="480" w:lineRule="auto"/>
              <w:jc w:val="center"/>
              <w:rPr>
                <w:sz w:val="20"/>
                <w:szCs w:val="28"/>
              </w:rPr>
            </w:pPr>
            <w:r>
              <w:rPr>
                <w:b/>
                <w:sz w:val="20"/>
                <w:szCs w:val="28"/>
              </w:rPr>
              <w:t>Overall rating</w:t>
            </w:r>
          </w:p>
        </w:tc>
      </w:tr>
      <w:tr w:rsidR="00857A7C" w14:paraId="22BD493C" w14:textId="77777777">
        <w:trPr>
          <w:jc w:val="center"/>
        </w:trPr>
        <w:tc>
          <w:tcPr>
            <w:tcW w:w="2088" w:type="dxa"/>
            <w:tcBorders>
              <w:top w:val="nil"/>
              <w:left w:val="nil"/>
              <w:bottom w:val="nil"/>
              <w:right w:val="nil"/>
            </w:tcBorders>
            <w:vAlign w:val="center"/>
          </w:tcPr>
          <w:p w14:paraId="501A0AC2"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lang w:eastAsia="zh-CN"/>
              </w:rPr>
              <w:t>T. Kovacevic</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{"citationID":"0QpAeSqo","properties":{"unsorted":false,"formattedCitation":"\\super 13\\nosupersub{}","plainCitation":"13","noteIndex":0},"citationItems":[{"id":58,"uris":["http://zotero.org/users/local/5zxoZT6d/items/SZG4RGXP"],"itemData":{"id":58,"type":"article-journal","abstract":"Purpose: The present study aimed to establish a population pharmacokinetic model of vancomycin, including adult critically ill septic patients, with normal and impaired renal function. Materials and Methods: A prospective analysis of 146 concentrations from 73 adult critically ill septic patients treated with 1-h intravenous infusion of vancomycin were included in the study. A nonlinear mixed effects modelling (NONMEM) approach was applied for data analysis and evaluation of the final model. The influence of creatinine clearance calculated by the Cockcroft-Gault equation (CrCl), and other potential covariates on vancomycin clearance (CL) were evaluated.\nResults: The final one-compartment pharmacokinetic model includes the effect of CrCl on CL. Population pharmacokinetic values for a typical subject were estimated at 0.024 l/h for CL dependent on renal function (CLCrCl), 1.93 l/h for residual portion of CL (not dependent on renal function), and 0.511 l/kg for volume of distribution (V). According to the final model, for patients with CrCl=120 ml/min, the median vancomycin total CL is 4.81 l/h, while CrCldependent fraction accounts for approximately 60% of CL.\nConclusions: The developed population vancomycin model may be used in estimating individual CL for adult critically ill septic patients, and could be applied for individualizing dosage regimens taking into account the continuous effect of CrCl.","container-title":"Journal of Critical Care","DOI":"10.1016/j.jcrc.2019.10.012","ISSN":"08839441","journalAbbreviation":"J. Crit. Care","language":"en","note":"TLDR: The developed population vancomycin model may be used in estimating individual CL for adult critically ill septic patients, and could be applied for individualizing dosage regimens taking into account the continuous effect of CrCl.\ntitleTranslation: </w:instrText>
            </w:r>
            <w:r>
              <w:rPr>
                <w:rFonts w:eastAsia="SimSun" w:cs="Times New Roman"/>
                <w:color w:val="000000"/>
                <w:sz w:val="20"/>
                <w:szCs w:val="20"/>
                <w:lang w:eastAsia="zh-CN"/>
              </w:rPr>
              <w:instrText>基于治疗药物监测数据的重症脓毒症患者万古霉素群体药代动力学模型。</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目的：本研究旨在建立万古霉素的群体药动学模型，包括肾功能正常和受损的成年危重脓毒症患者。材料与方法：本研究前瞻性分析了</w:instrText>
            </w:r>
            <w:r>
              <w:rPr>
                <w:rFonts w:eastAsia="SimSun" w:cs="Times New Roman"/>
                <w:color w:val="000000"/>
                <w:sz w:val="20"/>
                <w:szCs w:val="20"/>
                <w:lang w:eastAsia="zh-CN"/>
              </w:rPr>
              <w:instrText>73</w:instrText>
            </w:r>
            <w:r>
              <w:rPr>
                <w:rFonts w:eastAsia="SimSun" w:cs="Times New Roman"/>
                <w:color w:val="000000"/>
                <w:sz w:val="20"/>
                <w:szCs w:val="20"/>
                <w:lang w:eastAsia="zh-CN"/>
              </w:rPr>
              <w:instrText>例静脉输注万古霉素</w:instrText>
            </w:r>
            <w:r>
              <w:rPr>
                <w:rFonts w:eastAsia="SimSun" w:cs="Times New Roman"/>
                <w:color w:val="000000"/>
                <w:sz w:val="20"/>
                <w:szCs w:val="20"/>
                <w:lang w:eastAsia="zh-CN"/>
              </w:rPr>
              <w:instrText>1 h</w:instrText>
            </w:r>
            <w:r>
              <w:rPr>
                <w:rFonts w:eastAsia="SimSun" w:cs="Times New Roman"/>
                <w:color w:val="000000"/>
                <w:sz w:val="20"/>
                <w:szCs w:val="20"/>
                <w:lang w:eastAsia="zh-CN"/>
              </w:rPr>
              <w:instrText>的成人危重症脓毒症患者的</w:instrText>
            </w:r>
            <w:r>
              <w:rPr>
                <w:rFonts w:eastAsia="SimSun" w:cs="Times New Roman"/>
                <w:color w:val="000000"/>
                <w:sz w:val="20"/>
                <w:szCs w:val="20"/>
                <w:lang w:eastAsia="zh-CN"/>
              </w:rPr>
              <w:instrText>146</w:instrText>
            </w:r>
            <w:r>
              <w:rPr>
                <w:rFonts w:eastAsia="SimSun" w:cs="Times New Roman"/>
                <w:color w:val="000000"/>
                <w:sz w:val="20"/>
                <w:szCs w:val="20"/>
                <w:lang w:eastAsia="zh-CN"/>
              </w:rPr>
              <w:instrText>个浓度。采用非线性混合效应模型</w:instrText>
            </w:r>
            <w:r>
              <w:rPr>
                <w:rFonts w:eastAsia="SimSun" w:cs="Times New Roman"/>
                <w:color w:val="000000"/>
                <w:sz w:val="20"/>
                <w:szCs w:val="20"/>
                <w:lang w:eastAsia="zh-CN"/>
              </w:rPr>
              <w:instrText>( NONMEM )</w:instrText>
            </w:r>
            <w:r>
              <w:rPr>
                <w:rFonts w:eastAsia="SimSun" w:cs="Times New Roman"/>
                <w:color w:val="000000"/>
                <w:sz w:val="20"/>
                <w:szCs w:val="20"/>
                <w:lang w:eastAsia="zh-CN"/>
              </w:rPr>
              <w:instrText>方法对最终模型进行数据分析和评价。评估科克罗夫特</w:instrText>
            </w:r>
            <w:r>
              <w:rPr>
                <w:rFonts w:eastAsia="SimSun" w:cs="Times New Roman"/>
                <w:color w:val="000000"/>
                <w:sz w:val="20"/>
                <w:szCs w:val="20"/>
                <w:lang w:eastAsia="zh-CN"/>
              </w:rPr>
              <w:instrText>- Gault</w:instrText>
            </w:r>
            <w:r>
              <w:rPr>
                <w:rFonts w:eastAsia="SimSun" w:cs="Times New Roman"/>
                <w:color w:val="000000"/>
                <w:sz w:val="20"/>
                <w:szCs w:val="20"/>
                <w:lang w:eastAsia="zh-CN"/>
              </w:rPr>
              <w:instrText>方程计算的肌酐清除率</w:instrText>
            </w:r>
            <w:r>
              <w:rPr>
                <w:rFonts w:eastAsia="SimSun" w:cs="Times New Roman"/>
                <w:color w:val="000000"/>
                <w:sz w:val="20"/>
                <w:szCs w:val="20"/>
                <w:lang w:eastAsia="zh-CN"/>
              </w:rPr>
              <w:instrText>( CrCl )</w:instrText>
            </w:r>
            <w:r>
              <w:rPr>
                <w:rFonts w:eastAsia="SimSun" w:cs="Times New Roman"/>
                <w:color w:val="000000"/>
                <w:sz w:val="20"/>
                <w:szCs w:val="20"/>
                <w:lang w:eastAsia="zh-CN"/>
              </w:rPr>
              <w:instrText>和其他潜在协变量对万古霉素清除率</w:instrText>
            </w:r>
            <w:r>
              <w:rPr>
                <w:rFonts w:eastAsia="SimSun" w:cs="Times New Roman"/>
                <w:color w:val="000000"/>
                <w:sz w:val="20"/>
                <w:szCs w:val="20"/>
                <w:lang w:eastAsia="zh-CN"/>
              </w:rPr>
              <w:instrText>( CL )</w:instrText>
            </w:r>
            <w:r>
              <w:rPr>
                <w:rFonts w:eastAsia="SimSun" w:cs="Times New Roman"/>
                <w:color w:val="000000"/>
                <w:sz w:val="20"/>
                <w:szCs w:val="20"/>
                <w:lang w:eastAsia="zh-CN"/>
              </w:rPr>
              <w:instrText>的影响。结果：最终的一室药动学模型包含了</w:instrText>
            </w:r>
            <w:r>
              <w:rPr>
                <w:rFonts w:eastAsia="SimSun" w:cs="Times New Roman"/>
                <w:color w:val="000000"/>
                <w:sz w:val="20"/>
                <w:szCs w:val="20"/>
                <w:lang w:eastAsia="zh-CN"/>
              </w:rPr>
              <w:instrText>Cr Cl</w:instrText>
            </w:r>
            <w:r>
              <w:rPr>
                <w:rFonts w:eastAsia="SimSun" w:cs="Times New Roman"/>
                <w:color w:val="000000"/>
                <w:sz w:val="20"/>
                <w:szCs w:val="20"/>
                <w:lang w:eastAsia="zh-CN"/>
              </w:rPr>
              <w:instrText>对</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的影响。</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估算了典型受试者的群体药动学参数为</w:instrText>
            </w:r>
            <w:r>
              <w:rPr>
                <w:rFonts w:eastAsia="SimSun" w:cs="Times New Roman"/>
                <w:color w:val="000000"/>
                <w:sz w:val="20"/>
                <w:szCs w:val="20"/>
                <w:lang w:eastAsia="zh-CN"/>
              </w:rPr>
              <w:instrText>0 . 024 l / h</w:instrText>
            </w:r>
            <w:r>
              <w:rPr>
                <w:rFonts w:eastAsia="SimSun" w:cs="Times New Roman"/>
                <w:color w:val="000000"/>
                <w:sz w:val="20"/>
                <w:szCs w:val="20"/>
                <w:lang w:eastAsia="zh-CN"/>
              </w:rPr>
              <w:instrText>为肾功能依赖</w:instrText>
            </w:r>
            <w:r>
              <w:rPr>
                <w:rFonts w:eastAsia="SimSun" w:cs="Times New Roman"/>
                <w:color w:val="000000"/>
                <w:sz w:val="20"/>
                <w:szCs w:val="20"/>
                <w:lang w:eastAsia="zh-CN"/>
              </w:rPr>
              <w:instrText>CL ( CLCrCl )</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93 L / h</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CL (</w:instrText>
            </w:r>
            <w:r>
              <w:rPr>
                <w:rFonts w:eastAsia="SimSun" w:cs="Times New Roman"/>
                <w:color w:val="000000"/>
                <w:sz w:val="20"/>
                <w:szCs w:val="20"/>
                <w:lang w:eastAsia="zh-CN"/>
              </w:rPr>
              <w:instrText>不依赖于肾功能</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残留部分为</w:instrText>
            </w:r>
            <w:r>
              <w:rPr>
                <w:rFonts w:eastAsia="SimSun" w:cs="Times New Roman"/>
                <w:color w:val="000000"/>
                <w:sz w:val="20"/>
                <w:szCs w:val="20"/>
                <w:lang w:eastAsia="zh-CN"/>
              </w:rPr>
              <w:instrText>0 .</w:instrText>
            </w:r>
            <w:r>
              <w:rPr>
                <w:rFonts w:eastAsia="SimSun" w:cs="Times New Roman"/>
                <w:color w:val="000000"/>
                <w:sz w:val="20"/>
                <w:szCs w:val="20"/>
                <w:lang w:eastAsia="zh-CN"/>
              </w:rPr>
              <w:instrText>分配体积</w:instrText>
            </w:r>
            <w:r>
              <w:rPr>
                <w:rFonts w:eastAsia="SimSun" w:cs="Times New Roman"/>
                <w:color w:val="000000"/>
                <w:sz w:val="20"/>
                <w:szCs w:val="20"/>
                <w:lang w:eastAsia="zh-CN"/>
              </w:rPr>
              <w:instrText>( V )</w:instrText>
            </w:r>
            <w:r>
              <w:rPr>
                <w:rFonts w:eastAsia="SimSun" w:cs="Times New Roman"/>
                <w:color w:val="000000"/>
                <w:sz w:val="20"/>
                <w:szCs w:val="20"/>
                <w:lang w:eastAsia="zh-CN"/>
              </w:rPr>
              <w:instrText>为</w:instrText>
            </w:r>
            <w:r>
              <w:rPr>
                <w:rFonts w:eastAsia="SimSun" w:cs="Times New Roman"/>
                <w:color w:val="000000"/>
                <w:sz w:val="20"/>
                <w:szCs w:val="20"/>
                <w:lang w:eastAsia="zh-CN"/>
              </w:rPr>
              <w:instrText>511 l / kg</w:instrText>
            </w:r>
            <w:r>
              <w:rPr>
                <w:rFonts w:eastAsia="SimSun" w:cs="Times New Roman"/>
                <w:color w:val="000000"/>
                <w:sz w:val="20"/>
                <w:szCs w:val="20"/>
                <w:lang w:eastAsia="zh-CN"/>
              </w:rPr>
              <w:instrText>。根据最终模型，对于</w:instrText>
            </w:r>
            <w:r>
              <w:rPr>
                <w:rFonts w:eastAsia="SimSun" w:cs="Times New Roman"/>
                <w:color w:val="000000"/>
                <w:sz w:val="20"/>
                <w:szCs w:val="20"/>
                <w:lang w:eastAsia="zh-CN"/>
              </w:rPr>
              <w:instrText>CrCl = 120 ml / min</w:instrText>
            </w:r>
            <w:r>
              <w:rPr>
                <w:rFonts w:eastAsia="SimSun" w:cs="Times New Roman"/>
                <w:color w:val="000000"/>
                <w:sz w:val="20"/>
                <w:szCs w:val="20"/>
                <w:lang w:eastAsia="zh-CN"/>
              </w:rPr>
              <w:instrText>的患者，万古霉素总</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的中位数为</w:instrText>
            </w:r>
            <w:r>
              <w:rPr>
                <w:rFonts w:eastAsia="SimSun" w:cs="Times New Roman"/>
                <w:color w:val="000000"/>
                <w:sz w:val="20"/>
                <w:szCs w:val="20"/>
                <w:lang w:eastAsia="zh-CN"/>
              </w:rPr>
              <w:instrText>4 . 81 l / h</w:instrText>
            </w:r>
            <w:r>
              <w:rPr>
                <w:rFonts w:eastAsia="SimSun" w:cs="Times New Roman"/>
                <w:color w:val="000000"/>
                <w:sz w:val="20"/>
                <w:szCs w:val="20"/>
                <w:lang w:eastAsia="zh-CN"/>
              </w:rPr>
              <w:instrText>，而</w:instrText>
            </w:r>
            <w:r>
              <w:rPr>
                <w:rFonts w:eastAsia="SimSun" w:cs="Times New Roman"/>
                <w:color w:val="000000"/>
                <w:sz w:val="20"/>
                <w:szCs w:val="20"/>
                <w:lang w:eastAsia="zh-CN"/>
              </w:rPr>
              <w:instrText>CrCl</w:instrText>
            </w:r>
            <w:r>
              <w:rPr>
                <w:rFonts w:eastAsia="SimSun" w:cs="Times New Roman"/>
                <w:color w:val="000000"/>
                <w:sz w:val="20"/>
                <w:szCs w:val="20"/>
                <w:lang w:eastAsia="zh-CN"/>
              </w:rPr>
              <w:instrText>依赖部分约占</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w:instrText>
            </w:r>
            <w:r>
              <w:rPr>
                <w:rFonts w:eastAsia="SimSun" w:cs="Times New Roman"/>
                <w:color w:val="000000"/>
                <w:sz w:val="20"/>
                <w:szCs w:val="20"/>
                <w:lang w:eastAsia="zh-CN"/>
              </w:rPr>
              <w:instrText>60 %</w:instrText>
            </w:r>
            <w:r>
              <w:rPr>
                <w:rFonts w:eastAsia="SimSun" w:cs="Times New Roman"/>
                <w:color w:val="000000"/>
                <w:sz w:val="20"/>
                <w:szCs w:val="20"/>
                <w:lang w:eastAsia="zh-CN"/>
              </w:rPr>
              <w:instrText>。结论：本研究建立的群体万古霉素模型可用于成人危重症脓毒症患者个体</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的估算，并可用于考虑</w:instrText>
            </w:r>
            <w:r>
              <w:rPr>
                <w:rFonts w:eastAsia="SimSun" w:cs="Times New Roman"/>
                <w:color w:val="000000"/>
                <w:sz w:val="20"/>
                <w:szCs w:val="20"/>
                <w:lang w:eastAsia="zh-CN"/>
              </w:rPr>
              <w:instrText>CrCl</w:instrText>
            </w:r>
            <w:r>
              <w:rPr>
                <w:rFonts w:eastAsia="SimSun" w:cs="Times New Roman"/>
                <w:color w:val="000000"/>
                <w:sz w:val="20"/>
                <w:szCs w:val="20"/>
                <w:lang w:eastAsia="zh-CN"/>
              </w:rPr>
              <w:instrText>持续效应的个体化给药方案的制定。</w:instrText>
            </w:r>
            <w:r>
              <w:rPr>
                <w:rFonts w:eastAsia="SimSun" w:cs="Times New Roman"/>
                <w:color w:val="000000"/>
                <w:sz w:val="20"/>
                <w:szCs w:val="20"/>
                <w:lang w:eastAsia="zh-CN"/>
              </w:rPr>
              <w:instrText xml:space="preserve">","page":"116-121","source":"DOI.org (Crossref)","title":"Population pharmacokinetic model of vancomycin based on therapeutic drug monitoring data in critically ill septic patients","volume":"55","author":[{"family":"Kovacevic","given":"Tijana"},{"family":"Miljkovic","given":"Branislava"},{"family":"Kovacevic","given":"Pedja"},{"family":"Dragic","given":"Sasa"},{"family":"Momcicevic","given":"Danica"},{"family":"Avram","given":"Sanja"},{"family":"Jovanovic","given":"Marija"},{"family":"Vucicevic","given":"Katarina"}],"issued":{"date-parts":[["2020",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13</w:t>
            </w:r>
            <w:r>
              <w:rPr>
                <w:rFonts w:eastAsia="SimSun" w:cs="Times New Roman"/>
                <w:color w:val="000000"/>
                <w:sz w:val="20"/>
                <w:szCs w:val="20"/>
                <w:lang w:eastAsia="zh-CN"/>
              </w:rPr>
              <w:fldChar w:fldCharType="end"/>
            </w:r>
          </w:p>
        </w:tc>
        <w:tc>
          <w:tcPr>
            <w:tcW w:w="518" w:type="dxa"/>
            <w:tcBorders>
              <w:top w:val="nil"/>
              <w:left w:val="nil"/>
              <w:bottom w:val="nil"/>
              <w:right w:val="nil"/>
            </w:tcBorders>
            <w:vAlign w:val="center"/>
          </w:tcPr>
          <w:p w14:paraId="121B906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680077A"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8ABAC69"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2D0210DC"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34DA429"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49F8360"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67FC27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E54C2E6"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4C5BFB5"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3158478A" w14:textId="77777777" w:rsidR="00857A7C" w:rsidRDefault="00000000">
            <w:pPr>
              <w:spacing w:after="0" w:line="480" w:lineRule="auto"/>
              <w:jc w:val="center"/>
              <w:rPr>
                <w:sz w:val="20"/>
                <w:szCs w:val="28"/>
              </w:rPr>
            </w:pPr>
            <w:r>
              <w:rPr>
                <w:sz w:val="20"/>
                <w:szCs w:val="28"/>
              </w:rPr>
              <w:t>Fair</w:t>
            </w:r>
          </w:p>
        </w:tc>
      </w:tr>
      <w:tr w:rsidR="00857A7C" w14:paraId="6A2402B4" w14:textId="77777777">
        <w:trPr>
          <w:jc w:val="center"/>
        </w:trPr>
        <w:tc>
          <w:tcPr>
            <w:tcW w:w="2088" w:type="dxa"/>
            <w:tcBorders>
              <w:top w:val="nil"/>
              <w:left w:val="nil"/>
              <w:bottom w:val="nil"/>
              <w:right w:val="nil"/>
            </w:tcBorders>
            <w:vAlign w:val="center"/>
          </w:tcPr>
          <w:p w14:paraId="52AF3CF1"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lang w:eastAsia="zh-CN"/>
              </w:rPr>
              <w:t>Wang</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{"citationID":"o3eW5fxe","properties":{"unsorted":false,"formattedCitation":"\\super 15\\nosupersub{}","plainCitation":"15","noteIndex":0},"citationItems":[{"id":117,"uris":["http://zotero.org/users/local/5zxoZT6d/items/8ATQ9Q6U"],"itemData":{"id":117,"type":"article-journal","abstract":"STUDY OBJECTIVE: Few studies have been conducted to quantify the exposure target of vancomycin in intensive care unit (ICU) patients undergoing continuous renal replacement therapy (CRRT) and provide optimized dosage regimens. We aimed to determine vancomycin exposure target and dosing recommendations using data from an open database in critically ill patients undergoing CRRT.\nDESIGN: A retrospective observational cohort study.\nDATA SOURCE: A large public database.\nPATIENTS: The adult patients who received intravenous vancomycin and CRRT treatment in the database between 2017 and 2019 were reviewed to determine eligibility. A total of 180 patients with 1186 observations were included in the population pharmacokinetic (PPK) model development. The clinical efficacy of vancomycin was analyzed in 159 eligible patients.\nMETHODS: A PPK model was developed to estimate individual pharmacokinetic (PK) parameters. The area under the concentration-time curve (AUC) was estimated by a Bayesian approach based on individual vancomycin concentrations. Multivariate logistic regression analyses were performed to identify the factors of clinical outcomes. Threshold of vancomycin exposure in predicting efficacy was identified via receiver operating characteristic (ROC) curve. Dosing recommendations were designed using Monte Carlo Simulations (MCS) based on the optimized exposure target.\nMEASUREMENTS AND MAIN RESULTS: On covariate analysis, CRRT intensity significantly affected vancomycin PK. The AUC above 427 mg*h/L was the only significant predictor of clinical efficacy (adjusted odds ratio (aOR): 1.008, 95% confidence interval (CI): 1.004-1.011, p = 0.000). MCS indicated that vancomycin dosage regimens of 5 mg/kg q12h or 7.5 mg/kg q12h were recommended for patients with CRRT intensities of 20-25 mL/kg/h or 25.1-45 mL/kg/h, respectively.\nCONCLUSIONS: An AUC threshold of 427 mg*h/L (assuming the minimal inhibitory concentration (MIC) = 1 mg/L) was a recommended efficacy exposure target of vancomycin for critically ill patients undergoing CRRT. Vancomycin 5-7.5 mg/kg q12h is recommended as the initial dosage regimens for ICU patients undergoing CRRT.","container-title":"Pharmacotherapy","DOI":"10.1002/phar.2771","ISSN":"1875-9114","issue":"3","journalAbbreviation":"Pharmacotherapy","language":"en","note":"TLDR: The exposure target of vancomycin in intensive care unit (ICU) patients undergoing continuous renal replacement therapy (CRRT) is determined using data from an open database in critically ill patients undergoing CRRT.\ntitleTranslation: </w:instrText>
            </w:r>
            <w:r>
              <w:rPr>
                <w:rFonts w:eastAsia="SimSun" w:cs="Times New Roman"/>
                <w:color w:val="000000"/>
                <w:sz w:val="20"/>
                <w:szCs w:val="20"/>
                <w:lang w:eastAsia="zh-CN"/>
              </w:rPr>
              <w:instrText>重症患者连续性肾脏替代治疗万古霉素暴露目标的确定及个体化给药建议。</w:instrText>
            </w:r>
            <w:r>
              <w:rPr>
                <w:rFonts w:eastAsia="SimSun" w:cs="Times New Roman"/>
                <w:color w:val="000000"/>
                <w:sz w:val="20"/>
                <w:szCs w:val="20"/>
                <w:lang w:eastAsia="zh-CN"/>
              </w:rPr>
              <w:instrText xml:space="preserve">","page":"180-188","PMID":"36714991","source":"PubMed","title":"Determination of vancomycin exposure target and individualized dosing recommendations for critically ill patients undergoing continuous renal replacement therapy","volume":"43","author":[{"family":"Wang","given":"Chuhui"},{"family":"Chen","given":"Jiaojiao"},{"family":"Yang","given":"Bo"},{"family":"Li","given":"Sihan"},{"family":"Zhang","given":"Yiran"},{"family":"Chen","given":"Lei"},{"family":"Wang","given":"Taotao"},{"family":"Dong","given":"Yalin"}],"issued":{"date-parts":[["2023",3]]}}}],"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15</w:t>
            </w:r>
            <w:r>
              <w:rPr>
                <w:rFonts w:eastAsia="SimSun" w:cs="Times New Roman"/>
                <w:color w:val="000000"/>
                <w:sz w:val="20"/>
                <w:szCs w:val="20"/>
                <w:lang w:eastAsia="zh-CN"/>
              </w:rPr>
              <w:fldChar w:fldCharType="end"/>
            </w:r>
          </w:p>
        </w:tc>
        <w:tc>
          <w:tcPr>
            <w:tcW w:w="518" w:type="dxa"/>
            <w:tcBorders>
              <w:top w:val="nil"/>
              <w:left w:val="nil"/>
              <w:bottom w:val="nil"/>
              <w:right w:val="nil"/>
            </w:tcBorders>
            <w:vAlign w:val="center"/>
          </w:tcPr>
          <w:p w14:paraId="27C1C198"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F2CA81A"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F39DD03"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69E0A7AF"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A8DDE7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F9D02D4"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582594E"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4A8DA75"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CD17B2B"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7B6EF117" w14:textId="77777777" w:rsidR="00857A7C" w:rsidRDefault="00000000">
            <w:pPr>
              <w:spacing w:after="0" w:line="480" w:lineRule="auto"/>
              <w:jc w:val="center"/>
              <w:rPr>
                <w:sz w:val="20"/>
                <w:szCs w:val="28"/>
              </w:rPr>
            </w:pPr>
            <w:r>
              <w:rPr>
                <w:sz w:val="20"/>
                <w:szCs w:val="28"/>
              </w:rPr>
              <w:t>Good</w:t>
            </w:r>
          </w:p>
        </w:tc>
      </w:tr>
      <w:tr w:rsidR="00857A7C" w14:paraId="3B30A881" w14:textId="77777777">
        <w:trPr>
          <w:jc w:val="center"/>
        </w:trPr>
        <w:tc>
          <w:tcPr>
            <w:tcW w:w="2088" w:type="dxa"/>
            <w:tcBorders>
              <w:top w:val="nil"/>
              <w:left w:val="nil"/>
              <w:bottom w:val="nil"/>
              <w:right w:val="nil"/>
            </w:tcBorders>
            <w:vAlign w:val="center"/>
          </w:tcPr>
          <w:p w14:paraId="02889D45"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lang w:eastAsia="zh-CN"/>
              </w:rPr>
              <w:t>Dinh H.  Vu</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{"citationID":"Q7xBu4z8","properties":{"unsorted":false,"formattedCitation":"\\super 10\\nosupersub{}","plainCitation":"10","noteIndex":0},"citationItems":[{"id":87,"uris":["http://zotero.org/users/local/5zxoZT6d/items/CYSMKRSH"],"itemData":{"id":87,"type":"article-journal","container-title":"International Journal of Antimicrobial Agents","DOI":"10.1016/j.ijantimicag.2019.09.018","ISSN":"09248579","issue":"6","journalAbbreviation":"Int. J. Antimicrob. Agents","language":"en","note":"TLDR: Large loading and maintenance doses of vancomycin are generally needed in critically ill patients because of high interindividual variability in vancomYcin PK, and drug monitoring may still be necessary.\ntitleTranslation: </w:instrText>
            </w:r>
            <w:r>
              <w:rPr>
                <w:rFonts w:eastAsia="SimSun" w:cs="Times New Roman"/>
                <w:color w:val="000000"/>
                <w:sz w:val="20"/>
                <w:szCs w:val="20"/>
                <w:lang w:eastAsia="zh-CN"/>
              </w:rPr>
              <w:instrText>重症患者持续输注万古霉素最佳负荷剂量和维持剂量的确定：群体药代动力学建模和改进给药方案的模拟。</w:instrText>
            </w:r>
            <w:r>
              <w:rPr>
                <w:rFonts w:eastAsia="SimSun" w:cs="Times New Roman"/>
                <w:color w:val="000000"/>
                <w:sz w:val="20"/>
                <w:szCs w:val="20"/>
                <w:lang w:eastAsia="zh-CN"/>
              </w:rPr>
              <w:instrText xml:space="preserve">","page":"702-708","source":"DOI.org (Crossref)","title":"Determination of optimal loading and maintenance doses for continuous infusion of vancomycin in critically ill patients: population pharmacokinetic modelling and simulations for improved dosing schemes","title-short":"Determination of optimal loading and maintenance doses for continuous infusion of vancomycin in critically ill patients","volume":"54","author":[{"family":"Dinh H. Vu","given":""},{"family":"Nguyen","given":"Duy A."},{"family":"Delattre","given":"Isabelle K."},{"family":"Ho","given":"Trong T."},{"family":"Do","given":"Hong G."},{"family":"Pham","given":"Hong N."},{"family":"Dao","given":"Xuan C."},{"family":"Tran","given":"Nhan T."},{"family":"Nguyen","given":"Gia B."},{"family":"Van Bambeke","given":"Françoise"},{"family":"Tulkens","given":"Paul M."},{"family":"Nguyen","given":"Hoang A."}],"issued":{"date-parts":[["2019",12]]}}}],"schema":"https://github.com/citation-style-language/schema/raw/master/csl-citation.json"}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10</w:t>
            </w:r>
            <w:r>
              <w:rPr>
                <w:rFonts w:eastAsia="SimSun" w:cs="Times New Roman"/>
                <w:color w:val="000000"/>
                <w:sz w:val="20"/>
                <w:szCs w:val="20"/>
                <w:lang w:eastAsia="zh-CN"/>
              </w:rPr>
              <w:fldChar w:fldCharType="end"/>
            </w:r>
          </w:p>
        </w:tc>
        <w:tc>
          <w:tcPr>
            <w:tcW w:w="518" w:type="dxa"/>
            <w:tcBorders>
              <w:top w:val="nil"/>
              <w:left w:val="nil"/>
              <w:bottom w:val="nil"/>
              <w:right w:val="nil"/>
            </w:tcBorders>
            <w:vAlign w:val="center"/>
          </w:tcPr>
          <w:p w14:paraId="4E06066E"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83183C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E9A3825"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7D68DA20"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A84F30A"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96C9263"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538ABF0"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A291D70"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65AFFEB"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5C18B6FB" w14:textId="77777777" w:rsidR="00857A7C" w:rsidRDefault="00000000">
            <w:pPr>
              <w:spacing w:after="0" w:line="480" w:lineRule="auto"/>
              <w:jc w:val="center"/>
              <w:rPr>
                <w:sz w:val="20"/>
                <w:szCs w:val="28"/>
              </w:rPr>
            </w:pPr>
            <w:r>
              <w:rPr>
                <w:sz w:val="20"/>
                <w:szCs w:val="28"/>
              </w:rPr>
              <w:t>Good</w:t>
            </w:r>
          </w:p>
        </w:tc>
      </w:tr>
      <w:tr w:rsidR="00857A7C" w14:paraId="37D850E6" w14:textId="77777777">
        <w:trPr>
          <w:jc w:val="center"/>
        </w:trPr>
        <w:tc>
          <w:tcPr>
            <w:tcW w:w="2088" w:type="dxa"/>
            <w:tcBorders>
              <w:top w:val="nil"/>
              <w:left w:val="nil"/>
              <w:bottom w:val="nil"/>
              <w:right w:val="nil"/>
            </w:tcBorders>
            <w:vAlign w:val="center"/>
          </w:tcPr>
          <w:p w14:paraId="54BD373A"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lang w:eastAsia="zh-CN"/>
              </w:rPr>
              <w:t>Bang JY</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{"citationID":"MBbr3oyv","properties":{"unsorted":false,"formattedCitation":"\\super 14\\nosupersub{}","plainCitation":"14","noteIndex":0},"citationItems":[{"id":85,"uris":["http://zotero.org/users/local/5zxoZT6d/items/WF7WYAZM"],"itemData":{"id":85,"type":"article-journal","abstract":"The aim of this prospective study was to construct a new pharmacokinetic model of vancomycin for target-concentration controlled infusion (TCI). As the first loading dose, 25 mg/kg of vancomycin was administered during 60–90 min. Arterial blood samples were obtained at pre-set intervals to measure the serum concentrations of vancomycin. Population pharmacokinetic analysis was performed using the NONMEM software (ICON Development Solutions). In total, 197 serum concentration measurements from 22 patients were used to characterise the pharmacokinetics of vancomycin. A three-compartment mammillary model best described the pharmacokinetics of vancomycin in critically ill patients. The ideal body weight was a significant covariate for the central and slow peripheral volume of distribution. The weight and age converted to categorical variables at a cut-off of 65 years were a significant covariate for the clearance. Based on the results of stochastic simulation, the TCI method maintained the therapeutic concentration range for the longest duration. In addition, assuming that vancomycin was administered by the TCI method for 7 days, the dose was reduced by about 15% compared with the standard administration methods. The daily area under the curve values were maintained between 500 mg·h/L and 600 mg·h/L. TCI has the potential to become a new infusion method for patient- tailored dosing in critically ill patients. To administer vancomycin via TCI in clinical practice, the newly constructed pharmacokinetic model should undergo proper external validation.","container-title":"Clinical and Experimental Pharmacology and Physiology","DOI":"10.1111/1440-1681.13597","ISSN":"0305-1870, 1440-1681","issue":"2","journalAbbreviation":"Clin. Exp. Pharmacol. Physiol.","language":"en","note":"TLDR: TCI has the potential to become a new infusion method for patient‐tailored dosing in critically ill patients and to administer vancomycin via TCI in clinical practice, the newly constructed pharmacokinetic model should undergo proper external validation.\ntitleTranslation: </w:instrText>
            </w:r>
            <w:r>
              <w:rPr>
                <w:rFonts w:eastAsia="SimSun" w:cs="Times New Roman"/>
                <w:color w:val="000000"/>
                <w:sz w:val="20"/>
                <w:szCs w:val="20"/>
                <w:lang w:eastAsia="zh-CN"/>
              </w:rPr>
              <w:instrText>重症患者万古霉素靶浓度控制输注药动学新模型的建立。</w:instrText>
            </w:r>
            <w:r>
              <w:rPr>
                <w:rFonts w:eastAsia="SimSun" w:cs="Times New Roman"/>
                <w:color w:val="000000"/>
                <w:sz w:val="20"/>
                <w:szCs w:val="20"/>
                <w:lang w:eastAsia="zh-CN"/>
              </w:rPr>
              <w:instrText xml:space="preserve">","page":"202-211","source":"DOI.org (Crossref)","title":"Development of a new pharmacokinetic model for target-concentration controlled infusion of vancomycin in critically ill patients","volume":"49","author":[{"family":"Bang","given":"Ji-Yeon"},{"family":"Kang","given":"Hyun Il"},{"family":"Lee","given":"Hak-Jae"},{"family":"Chong","given":"Yong Pil"},{"family":"Hong","given":"Suk-Kyung"},{"family":"Lee","given":"Eun-Kyung"},{"family":"Choi","given":"Byung-Moon"},{"family":"Noh","given":"Gyu-Jeong"}],"issued":{"date-parts":[["2022",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14</w:t>
            </w:r>
            <w:r>
              <w:rPr>
                <w:rFonts w:eastAsia="SimSun" w:cs="Times New Roman"/>
                <w:color w:val="000000"/>
                <w:sz w:val="20"/>
                <w:szCs w:val="20"/>
                <w:lang w:eastAsia="zh-CN"/>
              </w:rPr>
              <w:fldChar w:fldCharType="end"/>
            </w:r>
          </w:p>
        </w:tc>
        <w:tc>
          <w:tcPr>
            <w:tcW w:w="518" w:type="dxa"/>
            <w:tcBorders>
              <w:top w:val="nil"/>
              <w:left w:val="nil"/>
              <w:bottom w:val="nil"/>
              <w:right w:val="nil"/>
            </w:tcBorders>
            <w:vAlign w:val="center"/>
          </w:tcPr>
          <w:p w14:paraId="79FC882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800496F"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E0E1E88"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2EB6473C"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1D79E24"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7DAA0A5"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951C46A"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0E8F49E"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3FD30A1"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033F8B86" w14:textId="77777777" w:rsidR="00857A7C" w:rsidRDefault="00000000">
            <w:pPr>
              <w:spacing w:after="0" w:line="480" w:lineRule="auto"/>
              <w:jc w:val="center"/>
              <w:rPr>
                <w:sz w:val="20"/>
                <w:szCs w:val="28"/>
              </w:rPr>
            </w:pPr>
            <w:r>
              <w:rPr>
                <w:sz w:val="20"/>
                <w:szCs w:val="28"/>
              </w:rPr>
              <w:t>Good</w:t>
            </w:r>
          </w:p>
        </w:tc>
      </w:tr>
      <w:tr w:rsidR="00857A7C" w14:paraId="2EFEE580" w14:textId="77777777">
        <w:trPr>
          <w:jc w:val="center"/>
        </w:trPr>
        <w:tc>
          <w:tcPr>
            <w:tcW w:w="2088" w:type="dxa"/>
            <w:tcBorders>
              <w:top w:val="nil"/>
              <w:left w:val="nil"/>
              <w:bottom w:val="nil"/>
              <w:right w:val="nil"/>
            </w:tcBorders>
            <w:vAlign w:val="center"/>
          </w:tcPr>
          <w:p w14:paraId="00A44A66"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rPr>
              <w:t>Roberts</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{"citationID":"m9VS6Pqu","properties":{"unsorted":false,"formattedCitation":"\\super 11\\nosupersub{}","plainCitation":"11","noteIndex":0},"citationItems":[{"id":272,"uris":["http://zotero.org/users/local/5zxoZT6d/items/KDQ5IZE9"],"itemData":{"id":272,"type":"article-journal","abstract":"ABSTRACT\n            \n              Despite the development of novel antibiotics active against Gram-positive bacteria, vancomycin generally remains the first treatment, although rapidly achieving concentrations associated with maximal efficacy provides an unresolved challenge. The objective of this study was to conduct a population pharmacokinetic analysis of vancomycin in a large population of critically ill patients. This was a retrospective data collection of 206 adult septic critically ill patients who were administered vancomycin as a loading dose followed by continuous infusion. The concentration-versus-time data for vancomycin in serum was analyzed by a nonlinear mixed-effects modeling approach using NONMEM. Monte Carlo simulations were performed using the final covariate model. We found that the best population pharmacokinetic model consisted of a one-compartment linear model with combined proportional and additive residual unknown variability. The volume of distribution of vancomycin (1.5 liters/kg) was described by total body weight and clearance (4.6 liters/h) by 24-hour urinary creatinine clearance (CrCl), normalized to body surface area. Simulation data showed that a 35-mg/kg loading dose was necessary to rapidly achieve vancomycin concentrations of 20 mg/liter. Daily vancomycin requirements were dependent on CrCl, such that a patient with a CrCl of 100 ml/min/1.73 m\n              2\n              would require at least 35 mg/kg per day by continuous infusion to maintain target concentrations. In conclusion, we have found that higher-than-recommended loading and daily doses of vancomycin seem to be necessary to rapidly achieve therapeutic serum concentrations in these patients.","container-title":"Antimicrobial Agents and Chemotherapy","DOI":"10.1128/AAC.01708-10","ISSN":"0066-4804, 1098-6596","issue":"6","journalAbbreviation":"Antimicrob. Agents Chemother.","language":"en","note":"TLDR: It is found that higher-than-recommended loading and daily doses of vancomycin seem to be necessary to rapidly achieve therapeutic serum concentrations in these patients.\ntitleTranslation: </w:instrText>
            </w:r>
            <w:r>
              <w:rPr>
                <w:rFonts w:eastAsia="SimSun" w:cs="Times New Roman"/>
                <w:color w:val="000000"/>
                <w:sz w:val="20"/>
                <w:szCs w:val="20"/>
                <w:lang w:eastAsia="zh-CN"/>
              </w:rPr>
              <w:instrText>重症患者万古霉素给药：改良持续输注方案的稳健方法。</w:instrText>
            </w:r>
            <w:r>
              <w:rPr>
                <w:rFonts w:eastAsia="SimSun" w:cs="Times New Roman"/>
                <w:color w:val="000000"/>
                <w:sz w:val="20"/>
                <w:szCs w:val="20"/>
                <w:lang w:eastAsia="zh-CN"/>
              </w:rPr>
              <w:instrText xml:space="preserve">","page":"2704-2709","source":"DOI.org (Crossref)","title":"Vancomycin dosing in critically ill patients: Robust methods for improved continuous-infusion regimens","title-short":"Vancomycin Dosing in Critically Ill Patients","volume":"55","author":[{"family":"Roberts","given":"Jason A."},{"family":"Taccone","given":"Fabio Silvio"},{"family":"Udy","given":"Andrew A."},{"family":"Vincent","given":"Jean-Louis"},{"family":"Jacobs","given":"Frédérique"},{"family":"Lipman","given":"Jeffrey"}],"issued":{"date-parts":[["2011",6]]}}}],"schema":"https://github.com/citation-style-language/schema/raw/master/csl-citation.json"}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11</w:t>
            </w:r>
            <w:r>
              <w:rPr>
                <w:rFonts w:eastAsia="SimSun" w:cs="Times New Roman"/>
                <w:color w:val="000000"/>
                <w:sz w:val="20"/>
                <w:szCs w:val="20"/>
              </w:rPr>
              <w:fldChar w:fldCharType="end"/>
            </w:r>
          </w:p>
        </w:tc>
        <w:tc>
          <w:tcPr>
            <w:tcW w:w="518" w:type="dxa"/>
            <w:tcBorders>
              <w:top w:val="nil"/>
              <w:left w:val="nil"/>
              <w:bottom w:val="nil"/>
              <w:right w:val="nil"/>
            </w:tcBorders>
            <w:vAlign w:val="center"/>
          </w:tcPr>
          <w:p w14:paraId="39C6D012"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B29120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1A5E439"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24312956"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D0B9ECA"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1D756FF"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D311D2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039051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685109C"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09DAEE91" w14:textId="77777777" w:rsidR="00857A7C" w:rsidRDefault="00000000">
            <w:pPr>
              <w:spacing w:after="0" w:line="480" w:lineRule="auto"/>
              <w:jc w:val="center"/>
              <w:rPr>
                <w:sz w:val="20"/>
                <w:szCs w:val="28"/>
              </w:rPr>
            </w:pPr>
            <w:r>
              <w:rPr>
                <w:sz w:val="20"/>
                <w:szCs w:val="28"/>
              </w:rPr>
              <w:t>Good</w:t>
            </w:r>
          </w:p>
        </w:tc>
      </w:tr>
      <w:tr w:rsidR="00857A7C" w14:paraId="07494521" w14:textId="77777777">
        <w:trPr>
          <w:jc w:val="center"/>
        </w:trPr>
        <w:tc>
          <w:tcPr>
            <w:tcW w:w="2088" w:type="dxa"/>
            <w:tcBorders>
              <w:top w:val="nil"/>
              <w:left w:val="nil"/>
              <w:bottom w:val="nil"/>
              <w:right w:val="nil"/>
            </w:tcBorders>
            <w:vAlign w:val="center"/>
          </w:tcPr>
          <w:p w14:paraId="03B73B84"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rPr>
              <w:t>Medellín-Garibay</w:t>
            </w:r>
            <w:r>
              <w:rPr>
                <w:rFonts w:eastAsia="SimSun" w:cs="Times New Roman"/>
                <w:color w:val="000000"/>
                <w:sz w:val="20"/>
                <w:szCs w:val="20"/>
                <w:lang w:eastAsia="zh-CN"/>
              </w:rPr>
              <w:t xml:space="preserve"> </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{"citationID":"xxZcXlpG","properties":{"unsorted":false,"formattedCitation":"\\super 9\\nosupersub{}","plainCitation":"9","noteIndex":0},"citationItems":[{"id":64,"uris":["http://zotero.org/users/local/5zxoZT6d/items/9WWVZ64X"],"itemData":{"id":64,"type":"article-journal","abstract":"Pathophysiological changes involved in drug disposition in critically ill patients should be considered in order to optimize the dosing of vancomycin administered by continuous infusion, and certain strategies must be applied to reach therapeutic targets on the ﬁrst day of treatment. The aim of this study was to develop a population pharmacokinetic model of vancomycin to determine clinical covariates, including mechanical ventilation, that inﬂuence the wide variability of this antimicrobial. Plasma vancomycin concentrations from 54 critically ill patients were analyzed simultaneously by a population pharmacokinetic approach. A nomogram for dosing recommendations was developed and was internally evaluated through stochastic simulations. The plasma vancomycin concentration-versus-time data were best described by a one-compartment open model with exponential interindividual variability associated with vancomycin clearance and the volume of distribution. Residual error followed a homoscedastic trend. Creatinine clearance and body weight signiﬁcantly dropped the objective function value, showing their inﬂuence on vancomycin clearance and the volume of distribution, respectively. Characterization based on the presence of mechanical ventilation demonstrated a 20% decrease in vancomycin clearance. External validation (n 18) was performed to evaluate the predictive ability of the model; median bias and precision values were 0.7 mg/liter (95% conﬁdence interval [CI], 0.4, 1.7) and 5.9 mg/liter (95% CI, 5.4, 6.4), respectively. A population pharmacokinetic model was developed for the administration of vancomycin by continuous infusion to critically ill patients, demonstrating the inﬂuence of creatinine clearance and mechanical ventilation on vancomycin clearance, as well as the implications for targeting dosing rates to reach the therapeutic range (20 to 30 mg/liter).","container-title":"Antimicrobial Agents and Chemotherapy","DOI":"10.1128/AAC.01249-17","ISSN":"0066-4804, 1098-6596","issue":"12","journalAbbreviation":"Antimicrob. Agents Chemother.","language":"en","note":"TLDR: A population pharmacokinetic model was developed for the administration of vancomycin by continuous infusion to critically ill patients, demonstrating the influence of creatinine clearance and mechanical ventilation on vancomYcin clearance, as well as the implications for targeting dosing rates to reach the therapeutic range.\ntitleTranslation: </w:instrText>
            </w:r>
            <w:r>
              <w:rPr>
                <w:rFonts w:eastAsia="SimSun" w:cs="Times New Roman"/>
                <w:color w:val="000000"/>
                <w:sz w:val="20"/>
                <w:szCs w:val="20"/>
                <w:lang w:eastAsia="zh-CN"/>
              </w:rPr>
              <w:instrText>机械通气对危重症患者持续输注万古霉素药动学的影响。</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为了优化持续输注万古霉素的给药剂量，应考虑危重症患者药物处置中涉及的病理生理变化，并在治疗的第一天应用一定的策略以达到治疗目标。本研究的目的是建立万古霉素的群体药代动力学模型，以确定包括机械通气在内的影响该抗菌药物广泛变异性的临床协变量。采用群体药代动力学方法同时测定</w:instrText>
            </w:r>
            <w:r>
              <w:rPr>
                <w:rFonts w:eastAsia="SimSun" w:cs="Times New Roman"/>
                <w:color w:val="000000"/>
                <w:sz w:val="20"/>
                <w:szCs w:val="20"/>
                <w:lang w:eastAsia="zh-CN"/>
              </w:rPr>
              <w:instrText>54</w:instrText>
            </w:r>
            <w:r>
              <w:rPr>
                <w:rFonts w:eastAsia="SimSun" w:cs="Times New Roman"/>
                <w:color w:val="000000"/>
                <w:sz w:val="20"/>
                <w:szCs w:val="20"/>
                <w:lang w:eastAsia="zh-CN"/>
              </w:rPr>
              <w:instrText>例重症患者的万古霉素血药浓度。开发了用于剂量推荐的列线图，并通过随机模拟进行了内部评估。</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万古霉素血浆浓度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时间数据用一室开放模型描述最佳，其个体差异与万古霉素清除率和分布容积有关。残差遵循同方差的趋势。肌酐清除率和体重显著降低了目标函数值，分别显示了它们对万古霉素清除率和分布容积的影响。基于机械通气的表征显示万古霉素清除率下降了</w:instrText>
            </w:r>
            <w:r>
              <w:rPr>
                <w:rFonts w:eastAsia="SimSun" w:cs="Times New Roman"/>
                <w:color w:val="000000"/>
                <w:sz w:val="20"/>
                <w:szCs w:val="20"/>
                <w:lang w:eastAsia="zh-CN"/>
              </w:rPr>
              <w:instrText>20 %</w:instrText>
            </w:r>
            <w:r>
              <w:rPr>
                <w:rFonts w:eastAsia="SimSun" w:cs="Times New Roman"/>
                <w:color w:val="000000"/>
                <w:sz w:val="20"/>
                <w:szCs w:val="20"/>
                <w:lang w:eastAsia="zh-CN"/>
              </w:rPr>
              <w:instrText>。进行外部验证</w:instrText>
            </w:r>
            <w:r>
              <w:rPr>
                <w:rFonts w:eastAsia="SimSun" w:cs="Times New Roman"/>
                <w:color w:val="000000"/>
                <w:sz w:val="20"/>
                <w:szCs w:val="20"/>
                <w:lang w:eastAsia="zh-CN"/>
              </w:rPr>
              <w:instrText>( n 18 )</w:instrText>
            </w:r>
            <w:r>
              <w:rPr>
                <w:rFonts w:eastAsia="SimSun" w:cs="Times New Roman"/>
                <w:color w:val="000000"/>
                <w:sz w:val="20"/>
                <w:szCs w:val="20"/>
                <w:lang w:eastAsia="zh-CN"/>
              </w:rPr>
              <w:instrText>以评估模型的预测能力；中位数偏倚和精确值均为</w:instrText>
            </w:r>
            <w:r>
              <w:rPr>
                <w:rFonts w:eastAsia="SimSun" w:cs="Times New Roman"/>
                <w:color w:val="000000"/>
                <w:sz w:val="20"/>
                <w:szCs w:val="20"/>
                <w:lang w:eastAsia="zh-CN"/>
              </w:rPr>
              <w:instrText>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7 Mg / Liter ( 95 %</w:instrText>
            </w:r>
            <w:r>
              <w:rPr>
                <w:rFonts w:eastAsia="SimSun" w:cs="Times New Roman"/>
                <w:color w:val="000000"/>
                <w:sz w:val="20"/>
                <w:szCs w:val="20"/>
                <w:lang w:eastAsia="zh-CN"/>
              </w:rPr>
              <w:instrText>置信区间</w:instrText>
            </w:r>
            <w:r>
              <w:rPr>
                <w:rFonts w:eastAsia="SimSun" w:cs="Times New Roman"/>
                <w:color w:val="000000"/>
                <w:sz w:val="20"/>
                <w:szCs w:val="20"/>
                <w:lang w:eastAsia="zh-CN"/>
              </w:rPr>
              <w:instrText>[ CI ] , 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1 . 7 )</w:instrText>
            </w:r>
            <w:r>
              <w:rPr>
                <w:rFonts w:eastAsia="SimSun" w:cs="Times New Roman"/>
                <w:color w:val="000000"/>
                <w:sz w:val="20"/>
                <w:szCs w:val="20"/>
                <w:lang w:eastAsia="zh-CN"/>
              </w:rPr>
              <w:instrText>和</w:instrText>
            </w:r>
            <w:r>
              <w:rPr>
                <w:rFonts w:eastAsia="SimSun" w:cs="Times New Roman"/>
                <w:color w:val="000000"/>
                <w:sz w:val="20"/>
                <w:szCs w:val="20"/>
                <w:lang w:eastAsia="zh-CN"/>
              </w:rPr>
              <w:instrText>5 . 9 Mg / Liter ( 95 % Ci</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5 . 4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6 . 4 )</w:instrText>
            </w:r>
            <w:r>
              <w:rPr>
                <w:rFonts w:eastAsia="SimSun" w:cs="Times New Roman"/>
                <w:color w:val="000000"/>
                <w:sz w:val="20"/>
                <w:szCs w:val="20"/>
                <w:lang w:eastAsia="zh-CN"/>
              </w:rPr>
              <w:instrText>。建立了重症患者持续输注万古霉素的群体药代动力学模型，阐明了肌酐清除率和机械通气对万古霉素清除率的影响，以及达到治疗范围</w:instrText>
            </w:r>
            <w:r>
              <w:rPr>
                <w:rFonts w:eastAsia="SimSun" w:cs="Times New Roman"/>
                <w:color w:val="000000"/>
                <w:sz w:val="20"/>
                <w:szCs w:val="20"/>
                <w:lang w:eastAsia="zh-CN"/>
              </w:rPr>
              <w:instrText>( 20 ~ 30 mg / L)</w:instrText>
            </w:r>
            <w:r>
              <w:rPr>
                <w:rFonts w:eastAsia="SimSun" w:cs="Times New Roman"/>
                <w:color w:val="000000"/>
                <w:sz w:val="20"/>
                <w:szCs w:val="20"/>
                <w:lang w:eastAsia="zh-CN"/>
              </w:rPr>
              <w:instrText>的目标给药速率的意义。</w:instrText>
            </w:r>
            <w:r>
              <w:rPr>
                <w:rFonts w:eastAsia="SimSun" w:cs="Times New Roman"/>
                <w:color w:val="000000"/>
                <w:sz w:val="20"/>
                <w:szCs w:val="20"/>
                <w:lang w:eastAsia="zh-CN"/>
              </w:rPr>
              <w:instrText xml:space="preserve">","page":"e01249-17","source":"DOI.org (Crossref)","title":"Influence of mechanical ventilation on the pharmacokinetics of vancomycin administered by continuous infusion in critically ill patients","volume":"61","author":[{"family":"Medellín-Garibay","given":"Susanna Edith"},{"family":"Romano-Moreno","given":"Silvia"},{"family":"Tejedor-Prado","given":"Pilar"},{"family":"Rubio-Álvaro","given":"Noelia"},{"family":"Rueda-Naharro","given":"Aida"},{"family":"Blasco-Navalpotro","given":"Miguel Angel"},{"family":"García","given":"Benito"},{"family":"Barcia","given":"Emilia"}],"issued":{"date-parts":[["2017",12]]}}}],"schema":"https://github.com/citation-style-language/schema/raw/master/csl-citation.json"}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9</w:t>
            </w:r>
            <w:r>
              <w:rPr>
                <w:rFonts w:eastAsia="SimSun" w:cs="Times New Roman"/>
                <w:color w:val="000000"/>
                <w:sz w:val="20"/>
                <w:szCs w:val="20"/>
                <w:lang w:eastAsia="zh-CN"/>
              </w:rPr>
              <w:fldChar w:fldCharType="end"/>
            </w:r>
          </w:p>
        </w:tc>
        <w:tc>
          <w:tcPr>
            <w:tcW w:w="518" w:type="dxa"/>
            <w:tcBorders>
              <w:top w:val="nil"/>
              <w:left w:val="nil"/>
              <w:bottom w:val="nil"/>
              <w:right w:val="nil"/>
            </w:tcBorders>
            <w:vAlign w:val="center"/>
          </w:tcPr>
          <w:p w14:paraId="2772EC8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EE8CC02"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3E7682E"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1F948581"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FD262B5"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521801C"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13CA184"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E0D1BA6"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7EA68D9"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76C539DA" w14:textId="77777777" w:rsidR="00857A7C" w:rsidRDefault="00000000">
            <w:pPr>
              <w:spacing w:after="0" w:line="480" w:lineRule="auto"/>
              <w:jc w:val="center"/>
              <w:rPr>
                <w:sz w:val="20"/>
                <w:szCs w:val="28"/>
              </w:rPr>
            </w:pPr>
            <w:r>
              <w:rPr>
                <w:sz w:val="20"/>
                <w:szCs w:val="28"/>
              </w:rPr>
              <w:t>Good</w:t>
            </w:r>
          </w:p>
        </w:tc>
      </w:tr>
      <w:tr w:rsidR="00857A7C" w14:paraId="25CB5451" w14:textId="77777777">
        <w:trPr>
          <w:jc w:val="center"/>
        </w:trPr>
        <w:tc>
          <w:tcPr>
            <w:tcW w:w="2088" w:type="dxa"/>
            <w:tcBorders>
              <w:top w:val="nil"/>
              <w:left w:val="nil"/>
              <w:bottom w:val="nil"/>
              <w:right w:val="nil"/>
            </w:tcBorders>
            <w:vAlign w:val="center"/>
          </w:tcPr>
          <w:p w14:paraId="20EDA9E1"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rPr>
              <w:t>Escobar L</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{"citationID":"9ZikoKkY","properties":{"unsorted":false,"formattedCitation":"\\super 8\\nosupersub{}","plainCitation":"8","noteIndex":0},"citationItems":[{"id":621,"uris":["http://zotero.org/users/local/5zxoZT6d/items/AUTM56XJ"],"itemData":{"id":621,"type":"article-journal","container-title":"International Journal of Antimicrobial Agents","DOI":"10.1016/j.ijantimicag.2014.03.009","ISSN":"09248579","issue":"2","journalAbbreviation":"Int. J. Antimicrob. Agents","language":"en","note":"titleTranslation: </w:instrText>
            </w:r>
            <w:r>
              <w:rPr>
                <w:rFonts w:eastAsia="SimSun" w:cs="Times New Roman"/>
                <w:color w:val="000000"/>
                <w:sz w:val="20"/>
                <w:szCs w:val="20"/>
                <w:lang w:eastAsia="zh-CN"/>
              </w:rPr>
              <w:instrText>高容量血液滤过过程中重症患者体内万古霉素的群体药代动力学和剂量模拟</w:instrText>
            </w:r>
            <w:r>
              <w:rPr>
                <w:rFonts w:eastAsia="SimSun" w:cs="Times New Roman"/>
                <w:color w:val="000000"/>
                <w:sz w:val="20"/>
                <w:szCs w:val="20"/>
                <w:lang w:eastAsia="zh-CN"/>
              </w:rPr>
              <w:instrText xml:space="preserve">","page":"163-167","source":"DOI.org (Crossref)","title":"Population pharmacokinetics and dose simulation of vancomycin in critically ill patients during high-volume haemofiltration","volume":"44","author":[{"family":"Escobar","given":"Leslie"},{"family":"Andresen","given":"Max"},{"family":"Downey","given":"Patricio"},{"family":"Gai","given":"Maria Nella"},{"family":"Regueira","given":"Tomás"},{"family":"Bórquez","given":"Tamara"},{"family":"Lipman","given":"Jeffrey"},{"family":"Roberts","given":"Jason A."}],"issued":{"date-parts":[["2014"]]}}}],"schema":"https://github.com/citation-style-language/schema/raw/master/csl-citation.json"}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8</w:t>
            </w:r>
            <w:r>
              <w:rPr>
                <w:rFonts w:eastAsia="SimSun" w:cs="Times New Roman"/>
                <w:color w:val="000000"/>
                <w:sz w:val="20"/>
                <w:szCs w:val="20"/>
                <w:lang w:eastAsia="zh-CN"/>
              </w:rPr>
              <w:fldChar w:fldCharType="end"/>
            </w:r>
          </w:p>
        </w:tc>
        <w:tc>
          <w:tcPr>
            <w:tcW w:w="518" w:type="dxa"/>
            <w:tcBorders>
              <w:top w:val="nil"/>
              <w:left w:val="nil"/>
              <w:bottom w:val="nil"/>
              <w:right w:val="nil"/>
            </w:tcBorders>
            <w:vAlign w:val="center"/>
          </w:tcPr>
          <w:p w14:paraId="589ADAA1"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7C22DA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F5F21DB"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7FA2D0D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4335CF8"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1824FD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F3EACD9"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279D954"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7930C7D"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7F52C7E3" w14:textId="77777777" w:rsidR="00857A7C" w:rsidRDefault="00000000">
            <w:pPr>
              <w:spacing w:after="0" w:line="480" w:lineRule="auto"/>
              <w:jc w:val="center"/>
              <w:rPr>
                <w:sz w:val="20"/>
                <w:szCs w:val="28"/>
              </w:rPr>
            </w:pPr>
            <w:r>
              <w:rPr>
                <w:sz w:val="20"/>
                <w:szCs w:val="28"/>
              </w:rPr>
              <w:t>Fair</w:t>
            </w:r>
          </w:p>
        </w:tc>
      </w:tr>
      <w:tr w:rsidR="00857A7C" w14:paraId="1B9D6DFD" w14:textId="77777777">
        <w:trPr>
          <w:jc w:val="center"/>
        </w:trPr>
        <w:tc>
          <w:tcPr>
            <w:tcW w:w="2088" w:type="dxa"/>
            <w:tcBorders>
              <w:top w:val="nil"/>
              <w:left w:val="nil"/>
              <w:bottom w:val="nil"/>
              <w:right w:val="nil"/>
            </w:tcBorders>
            <w:vAlign w:val="center"/>
          </w:tcPr>
          <w:p w14:paraId="046E5CDB" w14:textId="77777777" w:rsidR="00857A7C" w:rsidRDefault="00000000">
            <w:pPr>
              <w:pStyle w:val="BodyText"/>
              <w:widowControl w:val="0"/>
              <w:snapToGrid w:val="0"/>
              <w:jc w:val="both"/>
              <w:rPr>
                <w:rFonts w:cs="Times New Roman"/>
                <w:sz w:val="20"/>
                <w:szCs w:val="20"/>
              </w:rPr>
            </w:pPr>
            <w:r>
              <w:rPr>
                <w:rFonts w:eastAsia="SimSun" w:cs="Times New Roman"/>
                <w:color w:val="000000"/>
                <w:sz w:val="20"/>
                <w:szCs w:val="20"/>
              </w:rPr>
              <w:t>Udy AA</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{"citationID":"xjbyJeil","properties":{"unsorted":false,"formattedCitation":"\\super 12\\nosupersub{}","plainCitation":"12","noteIndex":0},"citationItems":[{"id":72,"uris":["http://zotero.org/users/local/5zxoZT6d/items/F4K7X2ZQ"],"itemData":{"id":72,"type":"article-journal","abstract":"Treatment of resistant bacteria such as meticillin-resistant Staphylococcus aureus (MRSA) relies on achieving adequate antibiotic concentrations at the site of infection. Strategies to attain such targets in septic critically ill patients receiving renal replacement therapy (RRT) are uncommon but could be useful for increasing the likelihood of therapeutic dosing. The aim of this study was to conduct a population pharmacokinetic (PK) analysis in septic patients undergoing continuous RRT and to determine which parameters were associated with inadequate vancomycin concentrations. In total, 81 patients with 199 blood samples were included in the study. All patients received vancomycin dosing according to the local protocol, which included a weight-based loading dose followed by continuous infusion. The vancomycin concentration–time points were adequately described with a one-compartment model with zero order input. The median population PK estimate for vancomycin clearance (CL) was 2.9 L/h [interquartile range (IQR) 2.4–3.4 L/h] and for volume of distribution (Vd) was 0.8 L/kg (IQR 0.6–1.1 L/kg). The goodness-of-ﬁt plots for the model were adequate. When covariates were tested, none were found to adequately explain changing vancomycin CL or Vd in the population PK model. In particular, the lack of correlation between CL and RRT settings was likely due to the multiple confounders known to inﬂuence antibiotic prescription in this setting. These data provide a cautionary tale of the challenges of describing pharmacokinetics in critically ill patients receiving RRT and highlights the need for a detailed, prospective, multicentre study to better inform dosing practice.","container-title":"International Journal of Antimicrobial Agents","DOI":"10.1016/j.ijantimicag.2013.01.018","ISSN":"09248579","issue":"6","journalAbbreviation":"Int. J. Antimicrob. Agents","language":"en","note":"TLDR: Data provide a cautionary tale of the challenges of describing pharmacokinetics in critically ill patients receiving RRT and highlights the need for a detailed, prospective, multicentre study to better inform dosing practice.\ntitleTranslation: </w:instrText>
            </w:r>
            <w:r>
              <w:rPr>
                <w:rFonts w:eastAsia="SimSun" w:cs="Times New Roman"/>
                <w:color w:val="000000"/>
                <w:sz w:val="20"/>
                <w:szCs w:val="20"/>
                <w:lang w:eastAsia="zh-CN"/>
              </w:rPr>
              <w:instrText>能否通过群体药代动力学模型指导重症患者连续性肾脏替代治疗期间万古霉素的给药。</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耐药菌如耐甲氧西林金黄色葡萄球菌</w:instrText>
            </w:r>
            <w:r>
              <w:rPr>
                <w:rFonts w:eastAsia="SimSun" w:cs="Times New Roman"/>
                <w:color w:val="000000"/>
                <w:sz w:val="20"/>
                <w:szCs w:val="20"/>
                <w:lang w:eastAsia="zh-CN"/>
              </w:rPr>
              <w:instrText>( MRSA )</w:instrText>
            </w:r>
            <w:r>
              <w:rPr>
                <w:rFonts w:eastAsia="SimSun" w:cs="Times New Roman"/>
                <w:color w:val="000000"/>
                <w:sz w:val="20"/>
                <w:szCs w:val="20"/>
                <w:lang w:eastAsia="zh-CN"/>
              </w:rPr>
              <w:instrText>的治疗依赖于在感染部位达到足够的抗生素浓度。在接受肾脏替代治疗</w:instrText>
            </w:r>
            <w:r>
              <w:rPr>
                <w:rFonts w:eastAsia="SimSun" w:cs="Times New Roman"/>
                <w:color w:val="000000"/>
                <w:sz w:val="20"/>
                <w:szCs w:val="20"/>
                <w:lang w:eastAsia="zh-CN"/>
              </w:rPr>
              <w:instrText>( RRT )</w:instrText>
            </w:r>
            <w:r>
              <w:rPr>
                <w:rFonts w:eastAsia="SimSun" w:cs="Times New Roman"/>
                <w:color w:val="000000"/>
                <w:sz w:val="20"/>
                <w:szCs w:val="20"/>
                <w:lang w:eastAsia="zh-CN"/>
              </w:rPr>
              <w:instrText>的脓毒症危重症患者中，实现这些目标的策略并不常见，但有助于增加治疗剂量的可能性。本研究的目的是对接受持续</w:instrText>
            </w:r>
            <w:r>
              <w:rPr>
                <w:rFonts w:eastAsia="SimSun" w:cs="Times New Roman"/>
                <w:color w:val="000000"/>
                <w:sz w:val="20"/>
                <w:szCs w:val="20"/>
                <w:lang w:eastAsia="zh-CN"/>
              </w:rPr>
              <w:instrText>RRT</w:instrText>
            </w:r>
            <w:r>
              <w:rPr>
                <w:rFonts w:eastAsia="SimSun" w:cs="Times New Roman"/>
                <w:color w:val="000000"/>
                <w:sz w:val="20"/>
                <w:szCs w:val="20"/>
                <w:lang w:eastAsia="zh-CN"/>
              </w:rPr>
              <w:instrText>的脓毒症患者进行群体药代动力学</w:instrText>
            </w:r>
            <w:r>
              <w:rPr>
                <w:rFonts w:eastAsia="SimSun" w:cs="Times New Roman"/>
                <w:color w:val="000000"/>
                <w:sz w:val="20"/>
                <w:szCs w:val="20"/>
                <w:lang w:eastAsia="zh-CN"/>
              </w:rPr>
              <w:instrText>( PK )</w:instrText>
            </w:r>
            <w:r>
              <w:rPr>
                <w:rFonts w:eastAsia="SimSun" w:cs="Times New Roman"/>
                <w:color w:val="000000"/>
                <w:sz w:val="20"/>
                <w:szCs w:val="20"/>
                <w:lang w:eastAsia="zh-CN"/>
              </w:rPr>
              <w:instrText>分析，并确定哪些参数与万古霉素浓度不足有关。共有</w:instrText>
            </w:r>
            <w:r>
              <w:rPr>
                <w:rFonts w:eastAsia="SimSun" w:cs="Times New Roman"/>
                <w:color w:val="000000"/>
                <w:sz w:val="20"/>
                <w:szCs w:val="20"/>
                <w:lang w:eastAsia="zh-CN"/>
              </w:rPr>
              <w:instrText>81</w:instrText>
            </w:r>
            <w:r>
              <w:rPr>
                <w:rFonts w:eastAsia="SimSun" w:cs="Times New Roman"/>
                <w:color w:val="000000"/>
                <w:sz w:val="20"/>
                <w:szCs w:val="20"/>
                <w:lang w:eastAsia="zh-CN"/>
              </w:rPr>
              <w:instrText>例患者的</w:instrText>
            </w:r>
            <w:r>
              <w:rPr>
                <w:rFonts w:eastAsia="SimSun" w:cs="Times New Roman"/>
                <w:color w:val="000000"/>
                <w:sz w:val="20"/>
                <w:szCs w:val="20"/>
                <w:lang w:eastAsia="zh-CN"/>
              </w:rPr>
              <w:instrText>199</w:instrText>
            </w:r>
            <w:r>
              <w:rPr>
                <w:rFonts w:eastAsia="SimSun" w:cs="Times New Roman"/>
                <w:color w:val="000000"/>
                <w:sz w:val="20"/>
                <w:szCs w:val="20"/>
                <w:lang w:eastAsia="zh-CN"/>
              </w:rPr>
              <w:instrText>份血液样本纳入研究。</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所有患者均按照局部给药方案进行万古霉素给药，包括以体重为基础的负荷剂量，随后持续输注。万古霉素的浓度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时间点用零级输入的单室模型进行了充分的描述。万古霉素清除率</w:instrText>
            </w:r>
            <w:r>
              <w:rPr>
                <w:rFonts w:eastAsia="SimSun" w:cs="Times New Roman"/>
                <w:color w:val="000000"/>
                <w:sz w:val="20"/>
                <w:szCs w:val="20"/>
                <w:lang w:eastAsia="zh-CN"/>
              </w:rPr>
              <w:instrText>( CL )</w:instrText>
            </w:r>
            <w:r>
              <w:rPr>
                <w:rFonts w:eastAsia="SimSun" w:cs="Times New Roman"/>
                <w:color w:val="000000"/>
                <w:sz w:val="20"/>
                <w:szCs w:val="20"/>
                <w:lang w:eastAsia="zh-CN"/>
              </w:rPr>
              <w:instrText>的群体</w:instrText>
            </w:r>
            <w:r>
              <w:rPr>
                <w:rFonts w:eastAsia="SimSun" w:cs="Times New Roman"/>
                <w:color w:val="000000"/>
                <w:sz w:val="20"/>
                <w:szCs w:val="20"/>
                <w:lang w:eastAsia="zh-CN"/>
              </w:rPr>
              <w:instrText>PK</w:instrText>
            </w:r>
            <w:r>
              <w:rPr>
                <w:rFonts w:eastAsia="SimSun" w:cs="Times New Roman"/>
                <w:color w:val="000000"/>
                <w:sz w:val="20"/>
                <w:szCs w:val="20"/>
                <w:lang w:eastAsia="zh-CN"/>
              </w:rPr>
              <w:instrText>估计值中位数为</w:instrText>
            </w:r>
            <w:r>
              <w:rPr>
                <w:rFonts w:eastAsia="SimSun" w:cs="Times New Roman"/>
                <w:color w:val="000000"/>
                <w:sz w:val="20"/>
                <w:szCs w:val="20"/>
                <w:lang w:eastAsia="zh-CN"/>
              </w:rPr>
              <w:instrText>2</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9 L / h</w:instrText>
            </w:r>
            <w:r>
              <w:rPr>
                <w:rFonts w:eastAsia="SimSun" w:cs="Times New Roman"/>
                <w:color w:val="000000"/>
                <w:sz w:val="20"/>
                <w:szCs w:val="20"/>
                <w:lang w:eastAsia="zh-CN"/>
              </w:rPr>
              <w:instrText>，表观分布容积</w:instrText>
            </w:r>
            <w:r>
              <w:rPr>
                <w:rFonts w:eastAsia="SimSun" w:cs="Times New Roman"/>
                <w:color w:val="000000"/>
                <w:sz w:val="20"/>
                <w:szCs w:val="20"/>
                <w:lang w:eastAsia="zh-CN"/>
              </w:rPr>
              <w:instrText>( Vd )</w:instrText>
            </w:r>
            <w:r>
              <w:rPr>
                <w:rFonts w:eastAsia="SimSun" w:cs="Times New Roman"/>
                <w:color w:val="000000"/>
                <w:sz w:val="20"/>
                <w:szCs w:val="20"/>
                <w:lang w:eastAsia="zh-CN"/>
              </w:rPr>
              <w:instrText>为</w:instrText>
            </w:r>
            <w:r>
              <w:rPr>
                <w:rFonts w:eastAsia="SimSun" w:cs="Times New Roman"/>
                <w:color w:val="000000"/>
                <w:sz w:val="20"/>
                <w:szCs w:val="20"/>
                <w:lang w:eastAsia="zh-CN"/>
              </w:rPr>
              <w:instrText>0 . 8 L / kg ( IQR</w:instrText>
            </w:r>
            <w:r>
              <w:rPr>
                <w:rFonts w:eastAsia="SimSun" w:cs="Times New Roman"/>
                <w:color w:val="000000"/>
                <w:sz w:val="20"/>
                <w:szCs w:val="20"/>
                <w:lang w:eastAsia="zh-CN"/>
              </w:rPr>
              <w:instrText>为</w:instrText>
            </w:r>
            <w:r>
              <w:rPr>
                <w:rFonts w:eastAsia="SimSun" w:cs="Times New Roman"/>
                <w:color w:val="000000"/>
                <w:sz w:val="20"/>
                <w:szCs w:val="20"/>
                <w:lang w:eastAsia="zh-CN"/>
              </w:rPr>
              <w:instrText>0 . 6 ~ 1 . 1 L / kg) .</w:instrText>
            </w:r>
            <w:r>
              <w:rPr>
                <w:rFonts w:eastAsia="SimSun" w:cs="Times New Roman"/>
                <w:color w:val="000000"/>
                <w:sz w:val="20"/>
                <w:szCs w:val="20"/>
                <w:lang w:eastAsia="zh-CN"/>
              </w:rPr>
              <w:instrText>模型的拟合优度图是足够的。在对协变量进行检验时，未发现协变量能充分解释群体</w:instrText>
            </w:r>
            <w:r>
              <w:rPr>
                <w:rFonts w:eastAsia="SimSun" w:cs="Times New Roman"/>
                <w:color w:val="000000"/>
                <w:sz w:val="20"/>
                <w:szCs w:val="20"/>
                <w:lang w:eastAsia="zh-CN"/>
              </w:rPr>
              <w:instrText>PK</w:instrText>
            </w:r>
            <w:r>
              <w:rPr>
                <w:rFonts w:eastAsia="SimSun" w:cs="Times New Roman"/>
                <w:color w:val="000000"/>
                <w:sz w:val="20"/>
                <w:szCs w:val="20"/>
                <w:lang w:eastAsia="zh-CN"/>
              </w:rPr>
              <w:instrText>模型中万古霉素</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或</w:instrText>
            </w:r>
            <w:r>
              <w:rPr>
                <w:rFonts w:eastAsia="SimSun" w:cs="Times New Roman"/>
                <w:color w:val="000000"/>
                <w:sz w:val="20"/>
                <w:szCs w:val="20"/>
                <w:lang w:eastAsia="zh-CN"/>
              </w:rPr>
              <w:instrText>Vd</w:instrText>
            </w:r>
            <w:r>
              <w:rPr>
                <w:rFonts w:eastAsia="SimSun" w:cs="Times New Roman"/>
                <w:color w:val="000000"/>
                <w:sz w:val="20"/>
                <w:szCs w:val="20"/>
                <w:lang w:eastAsia="zh-CN"/>
              </w:rPr>
              <w:instrText>的变化。</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特别地，</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和</w:instrText>
            </w:r>
            <w:r>
              <w:rPr>
                <w:rFonts w:eastAsia="SimSun" w:cs="Times New Roman"/>
                <w:color w:val="000000"/>
                <w:sz w:val="20"/>
                <w:szCs w:val="20"/>
                <w:lang w:eastAsia="zh-CN"/>
              </w:rPr>
              <w:instrText>RRT</w:instrText>
            </w:r>
            <w:r>
              <w:rPr>
                <w:rFonts w:eastAsia="SimSun" w:cs="Times New Roman"/>
                <w:color w:val="000000"/>
                <w:sz w:val="20"/>
                <w:szCs w:val="20"/>
                <w:lang w:eastAsia="zh-CN"/>
              </w:rPr>
              <w:instrText>设置之间缺乏相关性很可能是由于该设置中已知影响抗生素处方的多个混杂因素。这些数据为描述接受</w:instrText>
            </w:r>
            <w:r>
              <w:rPr>
                <w:rFonts w:eastAsia="SimSun" w:cs="Times New Roman"/>
                <w:color w:val="000000"/>
                <w:sz w:val="20"/>
                <w:szCs w:val="20"/>
                <w:lang w:eastAsia="zh-CN"/>
              </w:rPr>
              <w:instrText>RRT</w:instrText>
            </w:r>
            <w:r>
              <w:rPr>
                <w:rFonts w:eastAsia="SimSun" w:cs="Times New Roman"/>
                <w:color w:val="000000"/>
                <w:sz w:val="20"/>
                <w:szCs w:val="20"/>
                <w:lang w:eastAsia="zh-CN"/>
              </w:rPr>
              <w:instrText>的重症患者的药代动力学所面临的挑战提供了警示，并强调需要进行详细的、前瞻性的、多中心的研究，以更好地指导给药实践。</w:instrText>
            </w:r>
            <w:r>
              <w:rPr>
                <w:rFonts w:eastAsia="SimSun" w:cs="Times New Roman"/>
                <w:color w:val="000000"/>
                <w:sz w:val="20"/>
                <w:szCs w:val="20"/>
                <w:lang w:eastAsia="zh-CN"/>
              </w:rPr>
              <w:instrText xml:space="preserve">","page":"564-568","source":"DOI.org (Crossref)","title":"Can population pharmacokinetic modelling guide vancomycin dosing during continuous renal replacement therapy in critically ill patients?","volume":"41","author":[{"family":"Udy","given":"Andrew A."},{"family":"Covajes","given":"Cecilia"},{"family":"Taccone","given":"Fabio Silvio"},{"family":"Jacobs","given":"Frédérique"},{"family":"Vincent","given":"Jean-Louis"},{"family":"Lipman","given":"Jeffrey"},{"family":"Roberts","given":"Jason A."}],"issued":{"date-parts":[["2013",6]]}}}],"schema":"https://github.com/citation-style-language/schema/raw/master/csl-citation.json"}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12</w:t>
            </w:r>
            <w:r>
              <w:rPr>
                <w:rFonts w:eastAsia="SimSun" w:cs="Times New Roman"/>
                <w:color w:val="000000"/>
                <w:sz w:val="20"/>
                <w:szCs w:val="20"/>
              </w:rPr>
              <w:fldChar w:fldCharType="end"/>
            </w:r>
          </w:p>
        </w:tc>
        <w:tc>
          <w:tcPr>
            <w:tcW w:w="518" w:type="dxa"/>
            <w:tcBorders>
              <w:top w:val="nil"/>
              <w:left w:val="nil"/>
              <w:bottom w:val="nil"/>
              <w:right w:val="nil"/>
            </w:tcBorders>
            <w:vAlign w:val="center"/>
          </w:tcPr>
          <w:p w14:paraId="18ECDE3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216386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97E9F62"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49B555E2"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CAC8C6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2941CD3"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7227B5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0E32E72"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679A3D5"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038EE2BF" w14:textId="77777777" w:rsidR="00857A7C" w:rsidRDefault="00000000">
            <w:pPr>
              <w:spacing w:after="0" w:line="480" w:lineRule="auto"/>
              <w:jc w:val="center"/>
              <w:rPr>
                <w:sz w:val="20"/>
                <w:szCs w:val="28"/>
              </w:rPr>
            </w:pPr>
            <w:r>
              <w:rPr>
                <w:sz w:val="20"/>
                <w:szCs w:val="28"/>
              </w:rPr>
              <w:t>Fair</w:t>
            </w:r>
          </w:p>
        </w:tc>
      </w:tr>
      <w:tr w:rsidR="00857A7C" w14:paraId="4A38E8DA" w14:textId="77777777">
        <w:trPr>
          <w:jc w:val="center"/>
        </w:trPr>
        <w:tc>
          <w:tcPr>
            <w:tcW w:w="2088" w:type="dxa"/>
            <w:tcBorders>
              <w:top w:val="nil"/>
              <w:left w:val="nil"/>
              <w:bottom w:val="nil"/>
              <w:right w:val="nil"/>
            </w:tcBorders>
            <w:vAlign w:val="center"/>
          </w:tcPr>
          <w:p w14:paraId="01914A05" w14:textId="77777777" w:rsidR="00857A7C" w:rsidRDefault="00000000">
            <w:pPr>
              <w:widowControl w:val="0"/>
              <w:snapToGrid w:val="0"/>
              <w:spacing w:before="20" w:after="20"/>
              <w:jc w:val="both"/>
              <w:rPr>
                <w:rFonts w:cs="Times New Roman"/>
                <w:sz w:val="20"/>
                <w:szCs w:val="20"/>
              </w:rPr>
            </w:pPr>
            <w:r>
              <w:rPr>
                <w:rFonts w:eastAsia="SimSun" w:cs="Times New Roman"/>
                <w:color w:val="000000"/>
                <w:sz w:val="20"/>
                <w:szCs w:val="20"/>
              </w:rPr>
              <w:t>Revilla</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{"citationID":"Fnq3DA6e","properties":{"unsorted":false,"formattedCitation":"\\super 18\\nosupersub{}","plainCitation":"18","noteIndex":0},"citationItems":[{"id":415,"uris":["http://zotero.org/users/local/5zxoZT6d/items/5Z25IKSR"],"itemData":{"id":415,"type":"article-journal","abstract":"METHODS Five hundred and sixty-nine concentration–time data from 191 patients were analysed using a population pharmacokinetic approach (NONMEN™). External model evaluation was made in 46 additional patients. The 24 h area under the concentration–time curve (AUC(0,24 h)) was derived from the ﬁnal model. Minimum inhibitory concentration (MIC) values for S. aureus were obtained from the EUCAST database. AUC(0,24 h) : MIC 400 was considered as PK/PD efﬁcacy index. The probability of different dosages attaining the target considering different strains of S. aureus and patient subgroups was estimated with Monte Carlo simulation.\nRESULTS Vancomycin CL showed a signiﬁcant dependence on patient age and renal function whereas CrSe &gt; 1 mg dl-1 increased V more than twofold. For our representative ICU patient, 61 years, 73 kg, CrSe = 1.4 mg dl-1, measured CLCr = 74.7 ml min-1, the estimated values were CL = 1.06 ml min-1 kg-1 and V = 2.04 l kg-1. The cumulative fraction of response for a standard vancomycin dose (2 g day-1) was less than 25% for VISA strains, and 33% to 95% for susceptible S. aureus, depending on patient characteristics.\nCONCLUSIONS Simulations provide useful information regarding the initial assessment of vancomycin dosing, the conventional dosing regimen probably being suboptimal in adult ICU patients. A graphic approach provides the recommended dose for any selected probability of attaining the PK/PD efﬁcacy target or to evaluate the cumulative fraction of response for any dosing regimen in this population. British Journal of Clinical","container-title":"British Journal of Clinical Pharmacology","DOI":"10.1111/j.1365-2125.2010.03679.x","ISSN":"0306-5251, 1365-2125","issue":"2","journalAbbreviation":"Br. J. Clin. Pharmacol.","language":"en","license":"http://onlinelibrary.wiley.com/termsAndConditions#vor","note":"titleTranslation: </w:instrText>
            </w:r>
            <w:r>
              <w:rPr>
                <w:rFonts w:eastAsia="SimSun" w:cs="Times New Roman"/>
                <w:color w:val="000000"/>
                <w:sz w:val="20"/>
                <w:szCs w:val="20"/>
                <w:lang w:eastAsia="zh-CN"/>
              </w:rPr>
              <w:instrText>基于群体药代动力学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药效学模拟的重症监护室患者万古霉素剂量评估</w:instrText>
            </w:r>
            <w:r>
              <w:rPr>
                <w:rFonts w:eastAsia="SimSun" w:cs="Times New Roman"/>
                <w:color w:val="000000"/>
                <w:sz w:val="20"/>
                <w:szCs w:val="20"/>
                <w:lang w:eastAsia="zh-CN"/>
              </w:rPr>
              <w:instrText xml:space="preserve">","page":"201-212","source":"sci-hub.sg","title":"Vancomycin dosing assessment in intensive care unit patients based on a population pharmacokinetic/pharmacodynamic simulation","volume":"70","author":[{"family":"Revilla","given":"Natalia"},{"family":"Martín-Suárez","given":"Ana"},{"family":"Pérez","given":"Marta Paz"},{"family":"González","given":"Félix Martín"},{"family":"Et.","given":"Al"}],"issued":{"date-parts":[["2010"]]}}}],"schema":"https://github.com/citation-style-language/schema/raw/master/csl-citation.json"}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18</w:t>
            </w:r>
            <w:r>
              <w:rPr>
                <w:rFonts w:eastAsia="SimSun" w:cs="Times New Roman"/>
                <w:color w:val="000000"/>
                <w:sz w:val="20"/>
                <w:szCs w:val="20"/>
              </w:rPr>
              <w:fldChar w:fldCharType="end"/>
            </w:r>
          </w:p>
        </w:tc>
        <w:tc>
          <w:tcPr>
            <w:tcW w:w="518" w:type="dxa"/>
            <w:tcBorders>
              <w:top w:val="nil"/>
              <w:left w:val="nil"/>
              <w:bottom w:val="nil"/>
              <w:right w:val="nil"/>
            </w:tcBorders>
            <w:vAlign w:val="center"/>
          </w:tcPr>
          <w:p w14:paraId="3DD163C1"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4ECB6F6"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833C420"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64F7C169"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FC3C56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4795F6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F4DE1D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9DDAC68"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82BC735"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62860349" w14:textId="77777777" w:rsidR="00857A7C" w:rsidRDefault="00000000">
            <w:pPr>
              <w:spacing w:after="0" w:line="480" w:lineRule="auto"/>
              <w:jc w:val="center"/>
              <w:rPr>
                <w:sz w:val="20"/>
                <w:szCs w:val="28"/>
              </w:rPr>
            </w:pPr>
            <w:r>
              <w:rPr>
                <w:sz w:val="20"/>
                <w:szCs w:val="28"/>
              </w:rPr>
              <w:t>Good</w:t>
            </w:r>
          </w:p>
        </w:tc>
      </w:tr>
      <w:tr w:rsidR="00857A7C" w14:paraId="102B5FB9" w14:textId="77777777">
        <w:trPr>
          <w:jc w:val="center"/>
        </w:trPr>
        <w:tc>
          <w:tcPr>
            <w:tcW w:w="2088" w:type="dxa"/>
            <w:tcBorders>
              <w:top w:val="nil"/>
              <w:left w:val="nil"/>
              <w:bottom w:val="nil"/>
              <w:right w:val="nil"/>
            </w:tcBorders>
            <w:vAlign w:val="center"/>
          </w:tcPr>
          <w:p w14:paraId="0449CB2A" w14:textId="77777777" w:rsidR="00857A7C" w:rsidRDefault="00000000">
            <w:pPr>
              <w:widowControl w:val="0"/>
              <w:snapToGrid w:val="0"/>
              <w:spacing w:before="20" w:after="20"/>
              <w:jc w:val="both"/>
              <w:rPr>
                <w:rFonts w:cs="Times New Roman"/>
                <w:sz w:val="20"/>
                <w:szCs w:val="20"/>
              </w:rPr>
            </w:pPr>
            <w:r>
              <w:rPr>
                <w:rFonts w:eastAsia="SimSun" w:cs="Times New Roman"/>
                <w:color w:val="000000"/>
                <w:sz w:val="20"/>
                <w:szCs w:val="20"/>
              </w:rPr>
              <w:t>Donadello</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{"citationID":"pxmltT7o","properties":{"unsorted":false,"formattedCitation":"\\super 21\\nosupersub{}","plainCitation":"21","noteIndex":0},"citationItems":[{"id":433,"uris":["http://zotero.org/users/local/5zxoZT6d/items/GRP3ZV82"],"itemData":{"id":433,"type":"article-journal","abstract":"Introduction: The aim of this study was to describe the population pharmacokinetics of vancomycin in critically ill patients treated with and without extracorporeal membrane oxygenation (ECMO).\nMethods: We retrospectively reviewed data from critically ill patients treated with ECMO and matched controls who received a continuous infusion of vancomycin (35 mg/kg loading dose over 4 hours followed by a daily infusion adapted to creatinine clearance, CrCl)). The pharmacokinetics of vancomycin were described using non-linear mixed effects modeling.\nResults: We compared 11 patients treated with ECMO with 11 well-matched controls. Drug dosing was similar between groups. The median interquartile range (IQR) vancomycin concentrations in ECMO and non-ECMO patients were 51 (28 to 71) versus 45 (37 to 71) mg/L at 4 hours; 23 (16 to 38) versus 29 (21 to 35) mg/L at 12 hours; 20 (12 to 36) versus 23 (17–28) mg/L at 24 hours (ANOVA, P =0.53). Median (ranges) volume of distribution (Vd) was 99.3 (49.1 to 212.3) and 92.3 (22.4 to 149.4) L in ECMO and non-ECMO patients, respectively, and clearance 2.4 (1.7 to 4.9) versus 2.3 (1.8 to 3.6) L/h (not significant). Insufficient drug concentrations (that is drug levels &lt;20 mg/dL) were more common in the ECMO group. The pharmacokinetic model (non-linear mixed effects modeling) was prospectively validated in five additional ECMO-treated patients over a 6-month period. Linear regression analysis comparing the observed concentrations and those predicted using the model showed good correlation (r2 of 0.67; P &lt;0.001).\nConclusions: Vancomycin concentrations were similar between ECMO and non-ECMO patients in the early phase of therapy. ECMO treatment was not associated with significant changes in Vd and drug clearance compared with the control patients.","container-title":"Critical Care","DOI":"10.1186/s13054-014-0632-8","ISSN":"1364-8535","issue":"6","journalAbbreviation":"Crit. Care","language":"en","note":"titleTranslation: </w:instrText>
            </w:r>
            <w:r>
              <w:rPr>
                <w:rFonts w:eastAsia="SimSun" w:cs="Times New Roman"/>
                <w:color w:val="000000"/>
                <w:sz w:val="20"/>
                <w:szCs w:val="20"/>
                <w:lang w:eastAsia="zh-CN"/>
              </w:rPr>
              <w:instrText>体外膜氧合治疗期间万古霉素的群体药代动力学：一项匹配队列研究</w:instrText>
            </w:r>
            <w:r>
              <w:rPr>
                <w:rFonts w:eastAsia="SimSun" w:cs="Times New Roman"/>
                <w:color w:val="000000"/>
                <w:sz w:val="20"/>
                <w:szCs w:val="20"/>
                <w:lang w:eastAsia="zh-CN"/>
              </w:rPr>
              <w:instrText xml:space="preserve">","page":"632","source":"sci-hub.sg","title":"Vancomycin population pharmacokinetics during extracorporeal membrane oxygenation therapy: a matched cohort study","title-short":"Vancomycin population pharmacokinetics during extracorporeal membrane oxygenation therapy","volume":"18","author":[{"family":"Donadello","given":"Katia"},{"family":"Roberts","given":"Jason A."},{"family":"Cristallini","given":"Stefano"},{"family":"Beumier","given":"Marjorie"},{"family":"Et.","given":"Al"}],"issued":{"date-parts":[["2014"]]}}}],"schema":"https://github.com/citation-style-language/schema/raw/master/csl-citation.json"}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21</w:t>
            </w:r>
            <w:r>
              <w:rPr>
                <w:rFonts w:eastAsia="SimSun" w:cs="Times New Roman"/>
                <w:color w:val="000000"/>
                <w:sz w:val="20"/>
                <w:szCs w:val="20"/>
              </w:rPr>
              <w:fldChar w:fldCharType="end"/>
            </w:r>
          </w:p>
        </w:tc>
        <w:tc>
          <w:tcPr>
            <w:tcW w:w="518" w:type="dxa"/>
            <w:tcBorders>
              <w:top w:val="nil"/>
              <w:left w:val="nil"/>
              <w:bottom w:val="nil"/>
              <w:right w:val="nil"/>
            </w:tcBorders>
            <w:vAlign w:val="center"/>
          </w:tcPr>
          <w:p w14:paraId="1E03C72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1FCD6A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BC46FB5"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9FE49D2"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B62D9AE"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A459A44"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1B3BE312"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6382DE23"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2E90D230"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04DC3D61" w14:textId="77777777" w:rsidR="00857A7C" w:rsidRDefault="00000000">
            <w:pPr>
              <w:spacing w:after="0" w:line="480" w:lineRule="auto"/>
              <w:jc w:val="center"/>
              <w:rPr>
                <w:sz w:val="20"/>
                <w:szCs w:val="28"/>
              </w:rPr>
            </w:pPr>
            <w:r>
              <w:rPr>
                <w:sz w:val="20"/>
                <w:szCs w:val="28"/>
              </w:rPr>
              <w:t>Good</w:t>
            </w:r>
          </w:p>
        </w:tc>
      </w:tr>
      <w:tr w:rsidR="00857A7C" w14:paraId="08DB6DFD" w14:textId="77777777">
        <w:trPr>
          <w:jc w:val="center"/>
        </w:trPr>
        <w:tc>
          <w:tcPr>
            <w:tcW w:w="2088" w:type="dxa"/>
            <w:tcBorders>
              <w:top w:val="nil"/>
              <w:left w:val="nil"/>
              <w:bottom w:val="nil"/>
              <w:right w:val="nil"/>
            </w:tcBorders>
            <w:vAlign w:val="center"/>
          </w:tcPr>
          <w:p w14:paraId="6B03F97F" w14:textId="77777777" w:rsidR="00857A7C" w:rsidRDefault="00000000">
            <w:pPr>
              <w:widowControl w:val="0"/>
              <w:snapToGrid w:val="0"/>
              <w:spacing w:before="20" w:after="20"/>
              <w:jc w:val="both"/>
              <w:rPr>
                <w:rFonts w:cs="Times New Roman"/>
                <w:sz w:val="20"/>
                <w:szCs w:val="20"/>
              </w:rPr>
            </w:pPr>
            <w:r>
              <w:rPr>
                <w:rFonts w:eastAsia="SimSun" w:cs="Times New Roman"/>
                <w:color w:val="000000"/>
                <w:sz w:val="20"/>
                <w:szCs w:val="20"/>
              </w:rPr>
              <w:t>Jalusic</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{"citationID":"nMB4X9PP","properties":{"unsorted":false,"formattedCitation":"\\super 27\\nosupersub{}","plainCitation":"27","noteIndex":0},"citationItems":[{"id":419,"uris":["http://zotero.org/users/local/5zxoZT6d/items/2VDYN95L"],"itemData":{"id":419,"type":"article-journal","abstract":"BACKGROUND: To determine the distribution of vancomycin into the cerebrospinal fluid (CSF) in patients with external ventricular drain (EVD)-associated ventriculitis, the pharmacokinetics of vancomycin were evaluated, and covariate relationships explored.\nMETHODS: For the population pharmacokinetic model patients were recruited in a neuro-critical care unit at the University Hospital of Muenster in the period between January 2014 and June 2015. All patients had a clinical evidence of (EVD)-associated ventriculitis. Population pharmacokinetic analysis of vancomycin was performed using NONMEM®.\nRESULTS: A total of 184 blood and 133 CSF samples were collected from 29 patients. The final population pharmacokinetic model is a three-compartment model with linear elimination. Creatinine clearance (ClCr) and CSF-lactate were detected as significant covariates, showing that the total vancomycin plasma clearance (Cl) depends on ClCr and furthermore, the clearance (Cldif) between the central and CSF compartment correlates with CSF lactate concentration. Based on the final model, the following values were estimated by NONMEM®: Cl = 5.15 L/h, Q (intercompartmental clearance) =3.31L/h, Cldif = 0.0031 L/h, Vcentral = 42.1 L, VCSF = 0.32 L and the value of Vperipheral was fixed to 86.2 L. With the developed pharmacokinetic model, AUC (area under the curve) values as well as CSF trough levels were simulated.\nCONCLUSION: Based on our analysis, the dosing of vancomycin should be referred to the degree of inflammation (derived from the CSF lactate concentration) and renal function (derived from ClCr).","container-title":"British Journal of Clinical Pharmacology","DOI":"10.1111/bcp.14657","ISSN":"0306-5251, 1365-2125","issue":"6","journalAbbreviation":"Br. J. Clin. Pharmacol.","language":"en","license":"http://creativecommons.org/licenses/by-nc/4.0/","note":"titleTranslation: </w:instrText>
            </w:r>
            <w:r>
              <w:rPr>
                <w:rFonts w:eastAsia="SimSun" w:cs="Times New Roman"/>
                <w:color w:val="000000"/>
                <w:sz w:val="20"/>
                <w:szCs w:val="20"/>
                <w:lang w:eastAsia="zh-CN"/>
              </w:rPr>
              <w:instrText>心室外引流管相关性脑室炎患者体内万古霉素的群体药代动力学</w:instrText>
            </w:r>
            <w:r>
              <w:rPr>
                <w:rFonts w:eastAsia="SimSun" w:cs="Times New Roman"/>
                <w:color w:val="000000"/>
                <w:sz w:val="20"/>
                <w:szCs w:val="20"/>
                <w:lang w:eastAsia="zh-CN"/>
              </w:rPr>
              <w:instrText xml:space="preserve">","page":"2502-2510","source":"sci-hub.sg","title":"Population pharmacokinetics of vancomycin in patients with external ventricular drain-associated ventriculitis","volume":"87","author":[{"family":"Jalusic","given":"Kris Oliver"},{"family":"Hempel","given":"Georg"},{"family":"Arnemann","given":"Philip-Helge"},{"family":"Spiekermann","given":"Christina"},{"family":"Et.","given":"Al"}],"issued":{"date-parts":[["2020"]]}}}],"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27</w:t>
            </w:r>
            <w:r>
              <w:rPr>
                <w:rFonts w:eastAsia="SimSun" w:cs="Times New Roman"/>
                <w:color w:val="000000"/>
                <w:sz w:val="20"/>
                <w:szCs w:val="20"/>
              </w:rPr>
              <w:fldChar w:fldCharType="end"/>
            </w:r>
          </w:p>
        </w:tc>
        <w:tc>
          <w:tcPr>
            <w:tcW w:w="518" w:type="dxa"/>
            <w:tcBorders>
              <w:top w:val="nil"/>
              <w:left w:val="nil"/>
              <w:bottom w:val="nil"/>
              <w:right w:val="nil"/>
            </w:tcBorders>
            <w:vAlign w:val="center"/>
          </w:tcPr>
          <w:p w14:paraId="12876D4F"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0792006"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1CE8C73"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nil"/>
              <w:right w:val="nil"/>
            </w:tcBorders>
            <w:vAlign w:val="center"/>
          </w:tcPr>
          <w:p w14:paraId="1BEF04C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3B97EB0A"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4E20ABCF"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566C017C"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0881D15C"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nil"/>
              <w:right w:val="nil"/>
            </w:tcBorders>
            <w:vAlign w:val="center"/>
          </w:tcPr>
          <w:p w14:paraId="77496BB1"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nil"/>
              <w:right w:val="nil"/>
            </w:tcBorders>
            <w:vAlign w:val="center"/>
          </w:tcPr>
          <w:p w14:paraId="56B56B1F" w14:textId="77777777" w:rsidR="00857A7C" w:rsidRDefault="00000000">
            <w:pPr>
              <w:spacing w:after="0" w:line="480" w:lineRule="auto"/>
              <w:jc w:val="center"/>
              <w:rPr>
                <w:sz w:val="20"/>
                <w:szCs w:val="28"/>
              </w:rPr>
            </w:pPr>
            <w:r>
              <w:rPr>
                <w:sz w:val="20"/>
                <w:szCs w:val="28"/>
              </w:rPr>
              <w:t>Good</w:t>
            </w:r>
          </w:p>
        </w:tc>
      </w:tr>
      <w:tr w:rsidR="00857A7C" w14:paraId="6AFF8F91" w14:textId="77777777">
        <w:trPr>
          <w:jc w:val="center"/>
        </w:trPr>
        <w:tc>
          <w:tcPr>
            <w:tcW w:w="2088" w:type="dxa"/>
            <w:tcBorders>
              <w:top w:val="nil"/>
              <w:left w:val="nil"/>
              <w:bottom w:val="single" w:sz="8" w:space="0" w:color="000000"/>
              <w:right w:val="nil"/>
            </w:tcBorders>
            <w:vAlign w:val="center"/>
          </w:tcPr>
          <w:p w14:paraId="651741B3" w14:textId="77777777" w:rsidR="00857A7C" w:rsidRDefault="00000000">
            <w:pPr>
              <w:widowControl w:val="0"/>
              <w:snapToGrid w:val="0"/>
              <w:spacing w:before="20" w:after="20"/>
              <w:jc w:val="both"/>
              <w:rPr>
                <w:rFonts w:cs="Times New Roman"/>
                <w:sz w:val="20"/>
                <w:szCs w:val="20"/>
              </w:rPr>
            </w:pPr>
            <w:r>
              <w:rPr>
                <w:rFonts w:eastAsia="SimSun" w:cs="Times New Roman"/>
                <w:color w:val="000000"/>
                <w:sz w:val="20"/>
                <w:szCs w:val="20"/>
              </w:rPr>
              <w:t>Yu</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{"citationID":"tF54wniz","properties":{"unsorted":false,"formattedCitation":"\\super 26\\nosupersub{}","plainCitation":"26","noteIndex":0},"citationItems":[{"id":238,"uris":["http://zotero.org/users/local/5zxoZT6d/items/FZBMT3E4"],"itemData":{"id":238,"type":"article-journal","abstract":"Background: Vancomycin dosing is difficult in critically ill patients receiving continuous renal replacement therapy (CRRT). Previous population pharmacokinetic (PopPK) models seldom consider the effect of residual diuresis, a significant factor of elimination, and thus have poor external utility. This study aimed to build a PopPK model of vancomycin that incorporates daily urine volume to better describe the elimination of vancomycin in these patients., \nMethods: We performed a multicenter retrospective study that included critically ill patients who received intermittent intravenous vancomycin and CRRT. The PopPK model was developed using the NONMEM program. Goodness-of-fit plots and bootstrap analysis were employed to evaluate the final model. Monte Carlo simulation was performed to explore the optimal dosage regimen with a target area under the curve of ≥400 mg/L h and 400–600 mg/L h., \nResults: Overall, 113 observations available from 71 patients were included in the PopPK model. The pharmacokinetics could be well illustrated by a one-compartment model with first-order elimination, with the 24-h urine volume as a significant covariate of clearance. The final typical clearance was 1.05 L/h, and the mean volume of distribution was 69.0 L. For patients with anuria or oliguria, a maintenance dosage regimen of 750 mg q12h is recommended., \nConclusion: Vancomycin pharmacokinetics in critically ill patients receiving CRRT were well described by the developed PopPK model, which incorporates 24-h urine volume as a covariate. This study will help to better understand vancomycin elimination and benefit precision dosing in these patients.","container-title":"Frontiers in Pharmacology","DOI":"10.3389/fphar.2023.1298397","ISSN":"1663-9812","journalAbbreviation":"Front Pharmacol","language":"en","note":"TLDR: A PopPK model of vancomycin that incorporates daily urine volume to better describe the elimination of vancomycin in critically ill patients receiving continuous renal replacement therapy (CRRT) is built, which incorporates 24-h urine volume as a covariate.\ntitleTranslation: </w:instrText>
            </w:r>
            <w:r>
              <w:rPr>
                <w:rFonts w:eastAsia="SimSun" w:cs="Times New Roman"/>
                <w:color w:val="000000"/>
                <w:sz w:val="20"/>
                <w:szCs w:val="20"/>
                <w:lang w:eastAsia="zh-CN"/>
              </w:rPr>
              <w:instrText>接受连续性肾脏替代治疗的危重症患者万古霉素的群体药代动力学和个体化给药：残余利尿的作用。</w:instrText>
            </w:r>
            <w:r>
              <w:rPr>
                <w:rFonts w:eastAsia="SimSun" w:cs="Times New Roman"/>
                <w:color w:val="000000"/>
                <w:sz w:val="20"/>
                <w:szCs w:val="20"/>
                <w:lang w:eastAsia="zh-CN"/>
              </w:rPr>
              <w:instrText xml:space="preserve">","page":"1298397","PMID":"38223197","PMCID":"PMC10785304","source":"PubMed Central","title":"Population pharmacokinetics and individualized dosing of vancomycin for critically ill patients receiving continuous renal replacement therapy: the role of residual diuresis","title-short":"Population pharmacokinetics and individualized dosing of vancomycin for critically ill patients receiving continuous renal replacement therapy","volume":"14","author":[{"family":"Yu","given":"Zhenwei"},{"family":"Liu","given":"Jieqiong"},{"family":"Yu","given":"Haitao"},{"family":"Zhou","given":"Ling"},{"family":"Zhu","given":"Jianping"},{"family":"Liang","given":"Gang"},{"family":"Yang","given":"Yi"},{"family":"Zheng","given":"Ying"},{"family":"Han","given":"Yun"},{"family":"Xu","given":"Junjun"},{"family":"Han","given":"Gang"},{"family":"Yu","given":"Lingyan"},{"family":"Zhao","given":"Yuhua"}],"issued":{"date-parts":[["2023",12,29]]}}}],"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26</w:t>
            </w:r>
            <w:r>
              <w:rPr>
                <w:rFonts w:eastAsia="SimSun" w:cs="Times New Roman"/>
                <w:color w:val="000000"/>
                <w:sz w:val="20"/>
                <w:szCs w:val="20"/>
              </w:rPr>
              <w:fldChar w:fldCharType="end"/>
            </w:r>
          </w:p>
        </w:tc>
        <w:tc>
          <w:tcPr>
            <w:tcW w:w="518" w:type="dxa"/>
            <w:tcBorders>
              <w:top w:val="nil"/>
              <w:left w:val="nil"/>
              <w:bottom w:val="single" w:sz="8" w:space="0" w:color="000000"/>
              <w:right w:val="nil"/>
            </w:tcBorders>
            <w:vAlign w:val="center"/>
          </w:tcPr>
          <w:p w14:paraId="4840521C"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669ACD18"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5BBAF226" w14:textId="77777777" w:rsidR="00857A7C" w:rsidRDefault="00000000">
            <w:pPr>
              <w:spacing w:after="0" w:line="480" w:lineRule="auto"/>
              <w:jc w:val="center"/>
              <w:rPr>
                <w:sz w:val="20"/>
                <w:szCs w:val="28"/>
              </w:rPr>
            </w:pPr>
            <w:r>
              <w:rPr>
                <w:sz w:val="20"/>
                <w:szCs w:val="28"/>
              </w:rPr>
              <w:t>CD</w:t>
            </w:r>
          </w:p>
        </w:tc>
        <w:tc>
          <w:tcPr>
            <w:tcW w:w="518" w:type="dxa"/>
            <w:tcBorders>
              <w:top w:val="nil"/>
              <w:left w:val="nil"/>
              <w:bottom w:val="single" w:sz="8" w:space="0" w:color="000000"/>
              <w:right w:val="nil"/>
            </w:tcBorders>
            <w:vAlign w:val="center"/>
          </w:tcPr>
          <w:p w14:paraId="2DE8933E"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4E657987"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25F41F3D"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215F2FEB"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5BBE0C28" w14:textId="77777777" w:rsidR="00857A7C" w:rsidRDefault="00000000">
            <w:pPr>
              <w:spacing w:after="0" w:line="480" w:lineRule="auto"/>
              <w:jc w:val="center"/>
              <w:rPr>
                <w:sz w:val="20"/>
                <w:szCs w:val="28"/>
              </w:rPr>
            </w:pPr>
            <w:r>
              <w:rPr>
                <w:sz w:val="20"/>
                <w:szCs w:val="28"/>
              </w:rPr>
              <w:t>Yes</w:t>
            </w:r>
          </w:p>
        </w:tc>
        <w:tc>
          <w:tcPr>
            <w:tcW w:w="518" w:type="dxa"/>
            <w:tcBorders>
              <w:top w:val="nil"/>
              <w:left w:val="nil"/>
              <w:bottom w:val="single" w:sz="8" w:space="0" w:color="000000"/>
              <w:right w:val="nil"/>
            </w:tcBorders>
            <w:vAlign w:val="center"/>
          </w:tcPr>
          <w:p w14:paraId="24E546CE" w14:textId="77777777" w:rsidR="00857A7C" w:rsidRDefault="00000000">
            <w:pPr>
              <w:spacing w:after="0" w:line="480" w:lineRule="auto"/>
              <w:jc w:val="center"/>
              <w:rPr>
                <w:sz w:val="20"/>
                <w:szCs w:val="28"/>
              </w:rPr>
            </w:pPr>
            <w:r>
              <w:rPr>
                <w:sz w:val="20"/>
                <w:szCs w:val="28"/>
              </w:rPr>
              <w:t>Yes</w:t>
            </w:r>
          </w:p>
        </w:tc>
        <w:tc>
          <w:tcPr>
            <w:tcW w:w="1296" w:type="dxa"/>
            <w:tcBorders>
              <w:top w:val="nil"/>
              <w:left w:val="nil"/>
              <w:bottom w:val="single" w:sz="8" w:space="0" w:color="000000"/>
              <w:right w:val="nil"/>
            </w:tcBorders>
            <w:vAlign w:val="center"/>
          </w:tcPr>
          <w:p w14:paraId="0ADA125F" w14:textId="77777777" w:rsidR="00857A7C" w:rsidRDefault="00000000">
            <w:pPr>
              <w:spacing w:after="0" w:line="480" w:lineRule="auto"/>
              <w:jc w:val="center"/>
              <w:rPr>
                <w:sz w:val="20"/>
                <w:szCs w:val="28"/>
              </w:rPr>
            </w:pPr>
            <w:r>
              <w:rPr>
                <w:sz w:val="20"/>
                <w:szCs w:val="28"/>
              </w:rPr>
              <w:t>Good</w:t>
            </w:r>
          </w:p>
        </w:tc>
      </w:tr>
    </w:tbl>
    <w:p w14:paraId="69338B55" w14:textId="77777777" w:rsidR="00857A7C" w:rsidRDefault="00000000">
      <w:pPr>
        <w:spacing w:after="0" w:line="480" w:lineRule="auto"/>
        <w:rPr>
          <w:sz w:val="20"/>
          <w:szCs w:val="28"/>
        </w:rPr>
      </w:pPr>
      <w:r>
        <w:rPr>
          <w:sz w:val="20"/>
          <w:szCs w:val="28"/>
        </w:rPr>
        <w:t>Q1, Was the study question or objective clearly stated?</w:t>
      </w:r>
    </w:p>
    <w:p w14:paraId="79753E2D" w14:textId="77777777" w:rsidR="00857A7C" w:rsidRDefault="00000000">
      <w:pPr>
        <w:spacing w:after="0" w:line="480" w:lineRule="auto"/>
        <w:rPr>
          <w:sz w:val="20"/>
          <w:szCs w:val="28"/>
        </w:rPr>
      </w:pPr>
      <w:r>
        <w:rPr>
          <w:sz w:val="20"/>
          <w:szCs w:val="28"/>
        </w:rPr>
        <w:t>Q2, Was the study population clearly and fully described, including a case definition?</w:t>
      </w:r>
    </w:p>
    <w:p w14:paraId="21DF3FAF" w14:textId="77777777" w:rsidR="00857A7C" w:rsidRDefault="00000000">
      <w:pPr>
        <w:spacing w:after="0" w:line="480" w:lineRule="auto"/>
        <w:rPr>
          <w:sz w:val="20"/>
          <w:szCs w:val="28"/>
        </w:rPr>
      </w:pPr>
      <w:r>
        <w:rPr>
          <w:sz w:val="20"/>
          <w:szCs w:val="28"/>
        </w:rPr>
        <w:t>Q3, Were the cases consecutive?</w:t>
      </w:r>
    </w:p>
    <w:p w14:paraId="0C9ACF74" w14:textId="77777777" w:rsidR="00857A7C" w:rsidRDefault="00000000">
      <w:pPr>
        <w:spacing w:after="0" w:line="480" w:lineRule="auto"/>
        <w:rPr>
          <w:sz w:val="20"/>
          <w:szCs w:val="28"/>
        </w:rPr>
      </w:pPr>
      <w:r>
        <w:rPr>
          <w:sz w:val="20"/>
          <w:szCs w:val="28"/>
        </w:rPr>
        <w:t>Q4, Were the subjects comparable?</w:t>
      </w:r>
    </w:p>
    <w:p w14:paraId="2A15556E" w14:textId="77777777" w:rsidR="00857A7C" w:rsidRDefault="00000000">
      <w:pPr>
        <w:spacing w:after="0" w:line="480" w:lineRule="auto"/>
        <w:rPr>
          <w:sz w:val="20"/>
          <w:szCs w:val="28"/>
        </w:rPr>
      </w:pPr>
      <w:r>
        <w:rPr>
          <w:sz w:val="20"/>
          <w:szCs w:val="28"/>
        </w:rPr>
        <w:t>Q5, Was the intervention clearly described?</w:t>
      </w:r>
    </w:p>
    <w:p w14:paraId="0F7B30F5" w14:textId="77777777" w:rsidR="00857A7C" w:rsidRDefault="00000000">
      <w:pPr>
        <w:spacing w:after="0" w:line="480" w:lineRule="auto"/>
        <w:rPr>
          <w:sz w:val="20"/>
          <w:szCs w:val="28"/>
        </w:rPr>
      </w:pPr>
      <w:r>
        <w:rPr>
          <w:sz w:val="20"/>
          <w:szCs w:val="28"/>
        </w:rPr>
        <w:t>Q6, Were the outcome measures clearly defined, valid, reliable, and implemented consistently across all study participants?</w:t>
      </w:r>
    </w:p>
    <w:p w14:paraId="0411F23C" w14:textId="77777777" w:rsidR="00857A7C" w:rsidRDefault="00000000">
      <w:pPr>
        <w:spacing w:after="0" w:line="480" w:lineRule="auto"/>
        <w:rPr>
          <w:sz w:val="20"/>
          <w:szCs w:val="28"/>
        </w:rPr>
      </w:pPr>
      <w:r>
        <w:rPr>
          <w:sz w:val="20"/>
          <w:szCs w:val="28"/>
        </w:rPr>
        <w:t>Q7, Was the length of follow-up adequate?</w:t>
      </w:r>
    </w:p>
    <w:p w14:paraId="3F86A95C" w14:textId="77777777" w:rsidR="00857A7C" w:rsidRDefault="00000000">
      <w:pPr>
        <w:spacing w:after="0" w:line="480" w:lineRule="auto"/>
        <w:rPr>
          <w:sz w:val="20"/>
          <w:szCs w:val="28"/>
        </w:rPr>
      </w:pPr>
      <w:r>
        <w:rPr>
          <w:sz w:val="20"/>
          <w:szCs w:val="28"/>
        </w:rPr>
        <w:t>Q8, Were the statistical methods well-described?</w:t>
      </w:r>
    </w:p>
    <w:p w14:paraId="2C1C05CA" w14:textId="77777777" w:rsidR="00857A7C" w:rsidRDefault="00000000">
      <w:pPr>
        <w:spacing w:after="0" w:line="480" w:lineRule="auto"/>
        <w:rPr>
          <w:sz w:val="20"/>
          <w:szCs w:val="28"/>
        </w:rPr>
      </w:pPr>
      <w:r>
        <w:rPr>
          <w:sz w:val="20"/>
          <w:szCs w:val="28"/>
        </w:rPr>
        <w:t>Q9, Were the results well-described?</w:t>
      </w:r>
    </w:p>
    <w:p w14:paraId="4A16E847" w14:textId="77777777" w:rsidR="00857A7C" w:rsidRDefault="00000000">
      <w:pPr>
        <w:spacing w:after="0" w:line="480" w:lineRule="auto"/>
        <w:rPr>
          <w:sz w:val="20"/>
          <w:szCs w:val="28"/>
        </w:rPr>
      </w:pPr>
      <w:r>
        <w:rPr>
          <w:sz w:val="20"/>
          <w:szCs w:val="28"/>
        </w:rPr>
        <w:lastRenderedPageBreak/>
        <w:t xml:space="preserve">Response options: Yes, </w:t>
      </w:r>
      <w:proofErr w:type="gramStart"/>
      <w:r>
        <w:rPr>
          <w:sz w:val="20"/>
          <w:szCs w:val="28"/>
        </w:rPr>
        <w:t>No</w:t>
      </w:r>
      <w:proofErr w:type="gramEnd"/>
      <w:r>
        <w:rPr>
          <w:sz w:val="20"/>
          <w:szCs w:val="28"/>
        </w:rPr>
        <w:t>, Cannot Determine (CD), Not Reported (NR), or Not Applicable (NA).</w:t>
      </w:r>
    </w:p>
    <w:p w14:paraId="6BD9DA16" w14:textId="77777777" w:rsidR="00857A7C" w:rsidRDefault="00000000">
      <w:pPr>
        <w:spacing w:after="0" w:line="480" w:lineRule="auto"/>
        <w:rPr>
          <w:sz w:val="20"/>
          <w:szCs w:val="28"/>
        </w:rPr>
      </w:pPr>
      <w:r>
        <w:rPr>
          <w:sz w:val="20"/>
          <w:szCs w:val="28"/>
        </w:rPr>
        <w:t>Overall rating: Studies were judged as good, fair, or poor according to the overall methodological quality of the publication; this overall rating was based on qualitative judgment rather than a simple arithmetic sum of item responses.</w:t>
      </w:r>
    </w:p>
    <w:p w14:paraId="1F906638" w14:textId="77777777" w:rsidR="00857A7C" w:rsidRDefault="00000000">
      <w:pPr>
        <w:spacing w:after="0" w:line="480" w:lineRule="auto"/>
        <w:rPr>
          <w:sz w:val="20"/>
          <w:szCs w:val="28"/>
        </w:rPr>
      </w:pPr>
      <w:r>
        <w:rPr>
          <w:sz w:val="20"/>
          <w:szCs w:val="28"/>
        </w:rPr>
        <w:t>Note: Because the included studies were observational population pharmacokinetic analyses rather than randomized comparative trials, the NIH Study Quality Assessment Tool for Case Series Studies was applied as a pragmatic framework. Items not directly applicable to population pharmacokinetic model-development studies were recorded as NA where appropriate.</w:t>
      </w:r>
    </w:p>
    <w:p w14:paraId="01AE3F4D" w14:textId="77777777" w:rsidR="00857A7C" w:rsidRDefault="00857A7C">
      <w:pPr>
        <w:spacing w:after="80" w:line="480" w:lineRule="auto"/>
        <w:jc w:val="both"/>
        <w:rPr>
          <w:b/>
          <w:sz w:val="21"/>
          <w:szCs w:val="32"/>
        </w:rPr>
      </w:pPr>
    </w:p>
    <w:p w14:paraId="14BF0EFE" w14:textId="77777777" w:rsidR="00857A7C" w:rsidRDefault="00000000">
      <w:pPr>
        <w:spacing w:after="80" w:line="480" w:lineRule="auto"/>
        <w:jc w:val="both"/>
        <w:rPr>
          <w:sz w:val="21"/>
          <w:szCs w:val="32"/>
        </w:rPr>
      </w:pPr>
      <w:r>
        <w:rPr>
          <w:b/>
          <w:sz w:val="21"/>
          <w:szCs w:val="32"/>
        </w:rPr>
        <w:t>Table S</w:t>
      </w:r>
      <w:r>
        <w:rPr>
          <w:rFonts w:eastAsia="SimSun" w:hint="eastAsia"/>
          <w:b/>
          <w:sz w:val="21"/>
          <w:szCs w:val="32"/>
          <w:lang w:eastAsia="zh-CN"/>
        </w:rPr>
        <w:t>2</w:t>
      </w:r>
      <w:r>
        <w:rPr>
          <w:b/>
          <w:sz w:val="21"/>
          <w:szCs w:val="32"/>
        </w:rPr>
        <w:t>. Verified predefined covariate contrasts used for modeled relative intervals of clearance-related covariates.</w:t>
      </w:r>
    </w:p>
    <w:tbl>
      <w:tblPr>
        <w:tblStyle w:val="TableGrid"/>
        <w:tblW w:w="0" w:type="auto"/>
        <w:jc w:val="center"/>
        <w:tblLook w:val="04A0" w:firstRow="1" w:lastRow="0" w:firstColumn="1" w:lastColumn="0" w:noHBand="0" w:noVBand="1"/>
      </w:tblPr>
      <w:tblGrid>
        <w:gridCol w:w="1328"/>
        <w:gridCol w:w="1061"/>
        <w:gridCol w:w="1139"/>
        <w:gridCol w:w="1271"/>
        <w:gridCol w:w="1266"/>
        <w:gridCol w:w="1266"/>
        <w:gridCol w:w="1266"/>
        <w:gridCol w:w="979"/>
      </w:tblGrid>
      <w:tr w:rsidR="00857A7C" w14:paraId="46C3B623" w14:textId="77777777">
        <w:trPr>
          <w:jc w:val="center"/>
        </w:trPr>
        <w:tc>
          <w:tcPr>
            <w:tcW w:w="1381" w:type="dxa"/>
            <w:tcBorders>
              <w:top w:val="single" w:sz="8" w:space="0" w:color="000000"/>
              <w:left w:val="nil"/>
              <w:bottom w:val="single" w:sz="6" w:space="0" w:color="000000"/>
              <w:right w:val="nil"/>
            </w:tcBorders>
            <w:vAlign w:val="center"/>
          </w:tcPr>
          <w:p w14:paraId="00AEEB97" w14:textId="77777777" w:rsidR="00857A7C" w:rsidRDefault="00000000">
            <w:pPr>
              <w:spacing w:after="0" w:line="480" w:lineRule="auto"/>
              <w:jc w:val="center"/>
              <w:rPr>
                <w:sz w:val="20"/>
                <w:szCs w:val="28"/>
              </w:rPr>
            </w:pPr>
            <w:r>
              <w:rPr>
                <w:b/>
                <w:sz w:val="20"/>
                <w:szCs w:val="28"/>
              </w:rPr>
              <w:t>Study</w:t>
            </w:r>
          </w:p>
        </w:tc>
        <w:tc>
          <w:tcPr>
            <w:tcW w:w="1050" w:type="dxa"/>
            <w:tcBorders>
              <w:top w:val="single" w:sz="8" w:space="0" w:color="000000"/>
              <w:left w:val="nil"/>
              <w:bottom w:val="single" w:sz="6" w:space="0" w:color="000000"/>
              <w:right w:val="nil"/>
            </w:tcBorders>
            <w:vAlign w:val="center"/>
          </w:tcPr>
          <w:p w14:paraId="5190A4A5" w14:textId="77777777" w:rsidR="00857A7C" w:rsidRDefault="00000000">
            <w:pPr>
              <w:spacing w:after="0" w:line="480" w:lineRule="auto"/>
              <w:jc w:val="center"/>
              <w:rPr>
                <w:sz w:val="20"/>
                <w:szCs w:val="28"/>
              </w:rPr>
            </w:pPr>
            <w:r>
              <w:rPr>
                <w:b/>
                <w:sz w:val="20"/>
                <w:szCs w:val="28"/>
              </w:rPr>
              <w:t>Covariate shown in Figure 2</w:t>
            </w:r>
          </w:p>
        </w:tc>
        <w:tc>
          <w:tcPr>
            <w:tcW w:w="1127" w:type="dxa"/>
            <w:tcBorders>
              <w:top w:val="single" w:sz="8" w:space="0" w:color="000000"/>
              <w:left w:val="nil"/>
              <w:bottom w:val="single" w:sz="6" w:space="0" w:color="000000"/>
              <w:right w:val="nil"/>
            </w:tcBorders>
            <w:vAlign w:val="center"/>
          </w:tcPr>
          <w:p w14:paraId="35092EE7" w14:textId="77777777" w:rsidR="00857A7C" w:rsidRDefault="00000000">
            <w:pPr>
              <w:spacing w:after="0" w:line="480" w:lineRule="auto"/>
              <w:jc w:val="center"/>
              <w:rPr>
                <w:sz w:val="20"/>
                <w:szCs w:val="28"/>
              </w:rPr>
            </w:pPr>
            <w:r>
              <w:rPr>
                <w:b/>
                <w:sz w:val="20"/>
                <w:szCs w:val="28"/>
              </w:rPr>
              <w:t>Covariate type</w:t>
            </w:r>
          </w:p>
        </w:tc>
        <w:tc>
          <w:tcPr>
            <w:tcW w:w="1257" w:type="dxa"/>
            <w:tcBorders>
              <w:top w:val="single" w:sz="8" w:space="0" w:color="000000"/>
              <w:left w:val="nil"/>
              <w:bottom w:val="single" w:sz="6" w:space="0" w:color="000000"/>
              <w:right w:val="nil"/>
            </w:tcBorders>
            <w:vAlign w:val="center"/>
          </w:tcPr>
          <w:p w14:paraId="3C591482" w14:textId="77777777" w:rsidR="00857A7C" w:rsidRDefault="00000000">
            <w:pPr>
              <w:spacing w:after="0" w:line="480" w:lineRule="auto"/>
              <w:jc w:val="center"/>
              <w:rPr>
                <w:sz w:val="20"/>
                <w:szCs w:val="28"/>
              </w:rPr>
            </w:pPr>
            <w:r>
              <w:rPr>
                <w:b/>
                <w:sz w:val="20"/>
                <w:szCs w:val="28"/>
              </w:rPr>
              <w:t>Population note</w:t>
            </w:r>
          </w:p>
        </w:tc>
        <w:tc>
          <w:tcPr>
            <w:tcW w:w="1252" w:type="dxa"/>
            <w:tcBorders>
              <w:top w:val="single" w:sz="8" w:space="0" w:color="000000"/>
              <w:left w:val="nil"/>
              <w:bottom w:val="single" w:sz="6" w:space="0" w:color="000000"/>
              <w:right w:val="nil"/>
            </w:tcBorders>
            <w:vAlign w:val="center"/>
          </w:tcPr>
          <w:p w14:paraId="407488BB" w14:textId="77777777" w:rsidR="00857A7C" w:rsidRDefault="00000000">
            <w:pPr>
              <w:spacing w:after="0" w:line="480" w:lineRule="auto"/>
              <w:jc w:val="center"/>
              <w:rPr>
                <w:sz w:val="20"/>
                <w:szCs w:val="28"/>
              </w:rPr>
            </w:pPr>
            <w:r>
              <w:rPr>
                <w:b/>
                <w:sz w:val="20"/>
                <w:szCs w:val="28"/>
              </w:rPr>
              <w:t>Reference contrast</w:t>
            </w:r>
          </w:p>
        </w:tc>
        <w:tc>
          <w:tcPr>
            <w:tcW w:w="1252" w:type="dxa"/>
            <w:tcBorders>
              <w:top w:val="single" w:sz="8" w:space="0" w:color="000000"/>
              <w:left w:val="nil"/>
              <w:bottom w:val="single" w:sz="6" w:space="0" w:color="000000"/>
              <w:right w:val="nil"/>
            </w:tcBorders>
            <w:vAlign w:val="center"/>
          </w:tcPr>
          <w:p w14:paraId="51AE4F0A" w14:textId="77777777" w:rsidR="00857A7C" w:rsidRDefault="00000000">
            <w:pPr>
              <w:spacing w:after="0" w:line="480" w:lineRule="auto"/>
              <w:jc w:val="center"/>
              <w:rPr>
                <w:sz w:val="20"/>
                <w:szCs w:val="28"/>
              </w:rPr>
            </w:pPr>
            <w:r>
              <w:rPr>
                <w:b/>
                <w:sz w:val="20"/>
                <w:szCs w:val="28"/>
              </w:rPr>
              <w:t>Lower contrast</w:t>
            </w:r>
          </w:p>
        </w:tc>
        <w:tc>
          <w:tcPr>
            <w:tcW w:w="1252" w:type="dxa"/>
            <w:tcBorders>
              <w:top w:val="single" w:sz="8" w:space="0" w:color="000000"/>
              <w:left w:val="nil"/>
              <w:bottom w:val="single" w:sz="6" w:space="0" w:color="000000"/>
              <w:right w:val="nil"/>
            </w:tcBorders>
            <w:vAlign w:val="center"/>
          </w:tcPr>
          <w:p w14:paraId="271B1C0F" w14:textId="77777777" w:rsidR="00857A7C" w:rsidRDefault="00000000">
            <w:pPr>
              <w:spacing w:after="0" w:line="480" w:lineRule="auto"/>
              <w:jc w:val="center"/>
              <w:rPr>
                <w:sz w:val="20"/>
                <w:szCs w:val="28"/>
              </w:rPr>
            </w:pPr>
            <w:r>
              <w:rPr>
                <w:b/>
                <w:sz w:val="20"/>
                <w:szCs w:val="28"/>
              </w:rPr>
              <w:t>Upper contrast</w:t>
            </w:r>
          </w:p>
        </w:tc>
        <w:tc>
          <w:tcPr>
            <w:tcW w:w="1005" w:type="dxa"/>
            <w:tcBorders>
              <w:top w:val="single" w:sz="8" w:space="0" w:color="000000"/>
              <w:left w:val="nil"/>
              <w:bottom w:val="single" w:sz="6" w:space="0" w:color="000000"/>
              <w:right w:val="nil"/>
            </w:tcBorders>
            <w:vAlign w:val="center"/>
          </w:tcPr>
          <w:p w14:paraId="561034BA" w14:textId="77777777" w:rsidR="00857A7C" w:rsidRDefault="00000000">
            <w:pPr>
              <w:spacing w:after="0" w:line="480" w:lineRule="auto"/>
              <w:jc w:val="center"/>
              <w:rPr>
                <w:sz w:val="20"/>
                <w:szCs w:val="28"/>
              </w:rPr>
            </w:pPr>
            <w:r>
              <w:rPr>
                <w:b/>
                <w:sz w:val="20"/>
                <w:szCs w:val="28"/>
              </w:rPr>
              <w:t>Relative interval shown</w:t>
            </w:r>
          </w:p>
        </w:tc>
      </w:tr>
      <w:tr w:rsidR="00857A7C" w14:paraId="6890F34F" w14:textId="77777777">
        <w:trPr>
          <w:jc w:val="center"/>
        </w:trPr>
        <w:tc>
          <w:tcPr>
            <w:tcW w:w="1381" w:type="dxa"/>
            <w:tcBorders>
              <w:top w:val="nil"/>
              <w:left w:val="nil"/>
              <w:bottom w:val="nil"/>
              <w:right w:val="nil"/>
            </w:tcBorders>
            <w:vAlign w:val="center"/>
          </w:tcPr>
          <w:p w14:paraId="5D2F2C23" w14:textId="77777777" w:rsidR="00857A7C" w:rsidRDefault="00000000">
            <w:pPr>
              <w:spacing w:after="0" w:line="480" w:lineRule="auto"/>
              <w:rPr>
                <w:rFonts w:cs="Times New Roman"/>
                <w:sz w:val="20"/>
                <w:szCs w:val="20"/>
              </w:rPr>
            </w:pPr>
            <w:r>
              <w:rPr>
                <w:rFonts w:eastAsia="SimSun" w:cs="Times New Roman"/>
                <w:color w:val="000000"/>
                <w:sz w:val="20"/>
                <w:szCs w:val="20"/>
                <w:lang w:eastAsia="zh-CN"/>
              </w:rPr>
              <w:t>T. Kovacevic</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{"citationID":"0QpAeSqo","properties":{"unsorted":false,"formattedCitation":"\\super 13\\nosupersub{}","plainCitation":"13","noteIndex":0},"citationItems":[{"id":58,"uris":["http://zotero.org/users/local/5zxoZT6d/items/SZG4RGXP"],"itemData":{"id":58,"type":"article-journal","abstract":"Purpose: The present study aimed to establish a population pharmacokinetic model of vancomycin, including adult critically ill septic patients, with normal and impaired renal function. Materials and Methods: A prospective analysis of 146 concentrations from 73 adult critically ill septic patients treated with 1-h intravenous infusion of vancomycin were included in the study. A nonlinear mixed effects modelling (NONMEM) approach was applied for data analysis and evaluation of the final model. The influence of creatinine clearance calculated by the Cockcroft-Gault equation (CrCl), and other potential covariates on vancomycin clearance (CL) were evaluated.\nResults: The final one-compartment pharmacokinetic model includes the effect of CrCl on CL. Population pharmacokinetic values for a typical subject were estimated at 0.024 l/h for CL dependent on renal function (CLCrCl), 1.93 l/h for residual portion of CL (not dependent on renal function), and 0.511 l/kg for volume of distribution (V). According to the final model, for patients with CrCl=120 ml/min, the median vancomycin total CL is 4.81 l/h, while CrCldependent fraction accounts for approximately 60% of CL.\nConclusions: The developed population vancomycin model may be used in estimating individual CL for adult critically ill septic patients, and could be applied for individualizing dosage regimens taking into account the continuous effect of CrCl.","container-title":"Journal of Critical Care","DOI":"10.1016/j.jcrc.2019.10.012","ISSN":"08839441","journalAbbreviation":"J. Crit. Care","language":"en","note":"TLDR: The developed population vancomycin model may be used in estimating individual CL for adult critically ill septic patients, and could be applied for individualizing dosage regimens taking into account the continuous effect of CrCl.\ntitleTranslation: </w:instrText>
            </w:r>
            <w:r>
              <w:rPr>
                <w:rFonts w:eastAsia="SimSun" w:cs="Times New Roman"/>
                <w:color w:val="000000"/>
                <w:sz w:val="20"/>
                <w:szCs w:val="20"/>
                <w:lang w:eastAsia="zh-CN"/>
              </w:rPr>
              <w:instrText>基于治疗药物监测数据的重症脓毒症患者万古霉素群体药代动力学模型。</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目的：本研究旨在建立万古霉素的群体药动学模型，包括肾功能正常和受损的成年危重脓毒症患者。材料与方法：本研究前瞻性分析了</w:instrText>
            </w:r>
            <w:r>
              <w:rPr>
                <w:rFonts w:eastAsia="SimSun" w:cs="Times New Roman"/>
                <w:color w:val="000000"/>
                <w:sz w:val="20"/>
                <w:szCs w:val="20"/>
                <w:lang w:eastAsia="zh-CN"/>
              </w:rPr>
              <w:instrText>73</w:instrText>
            </w:r>
            <w:r>
              <w:rPr>
                <w:rFonts w:eastAsia="SimSun" w:cs="Times New Roman"/>
                <w:color w:val="000000"/>
                <w:sz w:val="20"/>
                <w:szCs w:val="20"/>
                <w:lang w:eastAsia="zh-CN"/>
              </w:rPr>
              <w:instrText>例静脉输注万古霉素</w:instrText>
            </w:r>
            <w:r>
              <w:rPr>
                <w:rFonts w:eastAsia="SimSun" w:cs="Times New Roman"/>
                <w:color w:val="000000"/>
                <w:sz w:val="20"/>
                <w:szCs w:val="20"/>
                <w:lang w:eastAsia="zh-CN"/>
              </w:rPr>
              <w:instrText>1 h</w:instrText>
            </w:r>
            <w:r>
              <w:rPr>
                <w:rFonts w:eastAsia="SimSun" w:cs="Times New Roman"/>
                <w:color w:val="000000"/>
                <w:sz w:val="20"/>
                <w:szCs w:val="20"/>
                <w:lang w:eastAsia="zh-CN"/>
              </w:rPr>
              <w:instrText>的成人危重症脓毒症患者的</w:instrText>
            </w:r>
            <w:r>
              <w:rPr>
                <w:rFonts w:eastAsia="SimSun" w:cs="Times New Roman"/>
                <w:color w:val="000000"/>
                <w:sz w:val="20"/>
                <w:szCs w:val="20"/>
                <w:lang w:eastAsia="zh-CN"/>
              </w:rPr>
              <w:instrText>146</w:instrText>
            </w:r>
            <w:r>
              <w:rPr>
                <w:rFonts w:eastAsia="SimSun" w:cs="Times New Roman"/>
                <w:color w:val="000000"/>
                <w:sz w:val="20"/>
                <w:szCs w:val="20"/>
                <w:lang w:eastAsia="zh-CN"/>
              </w:rPr>
              <w:instrText>个浓度。采用非线性混合效应模型</w:instrText>
            </w:r>
            <w:r>
              <w:rPr>
                <w:rFonts w:eastAsia="SimSun" w:cs="Times New Roman"/>
                <w:color w:val="000000"/>
                <w:sz w:val="20"/>
                <w:szCs w:val="20"/>
                <w:lang w:eastAsia="zh-CN"/>
              </w:rPr>
              <w:instrText>( NONMEM )</w:instrText>
            </w:r>
            <w:r>
              <w:rPr>
                <w:rFonts w:eastAsia="SimSun" w:cs="Times New Roman"/>
                <w:color w:val="000000"/>
                <w:sz w:val="20"/>
                <w:szCs w:val="20"/>
                <w:lang w:eastAsia="zh-CN"/>
              </w:rPr>
              <w:instrText>方法对最终模型进行数据分析和评价。评估科克罗夫特</w:instrText>
            </w:r>
            <w:r>
              <w:rPr>
                <w:rFonts w:eastAsia="SimSun" w:cs="Times New Roman"/>
                <w:color w:val="000000"/>
                <w:sz w:val="20"/>
                <w:szCs w:val="20"/>
                <w:lang w:eastAsia="zh-CN"/>
              </w:rPr>
              <w:instrText>- Gault</w:instrText>
            </w:r>
            <w:r>
              <w:rPr>
                <w:rFonts w:eastAsia="SimSun" w:cs="Times New Roman"/>
                <w:color w:val="000000"/>
                <w:sz w:val="20"/>
                <w:szCs w:val="20"/>
                <w:lang w:eastAsia="zh-CN"/>
              </w:rPr>
              <w:instrText>方程计算的肌酐清除率</w:instrText>
            </w:r>
            <w:r>
              <w:rPr>
                <w:rFonts w:eastAsia="SimSun" w:cs="Times New Roman"/>
                <w:color w:val="000000"/>
                <w:sz w:val="20"/>
                <w:szCs w:val="20"/>
                <w:lang w:eastAsia="zh-CN"/>
              </w:rPr>
              <w:instrText>( CrCl )</w:instrText>
            </w:r>
            <w:r>
              <w:rPr>
                <w:rFonts w:eastAsia="SimSun" w:cs="Times New Roman"/>
                <w:color w:val="000000"/>
                <w:sz w:val="20"/>
                <w:szCs w:val="20"/>
                <w:lang w:eastAsia="zh-CN"/>
              </w:rPr>
              <w:instrText>和其他潜在协变量对万古霉素清除率</w:instrText>
            </w:r>
            <w:r>
              <w:rPr>
                <w:rFonts w:eastAsia="SimSun" w:cs="Times New Roman"/>
                <w:color w:val="000000"/>
                <w:sz w:val="20"/>
                <w:szCs w:val="20"/>
                <w:lang w:eastAsia="zh-CN"/>
              </w:rPr>
              <w:instrText>( CL )</w:instrText>
            </w:r>
            <w:r>
              <w:rPr>
                <w:rFonts w:eastAsia="SimSun" w:cs="Times New Roman"/>
                <w:color w:val="000000"/>
                <w:sz w:val="20"/>
                <w:szCs w:val="20"/>
                <w:lang w:eastAsia="zh-CN"/>
              </w:rPr>
              <w:instrText>的影响。结果：最终的一室药动学模型包含了</w:instrText>
            </w:r>
            <w:r>
              <w:rPr>
                <w:rFonts w:eastAsia="SimSun" w:cs="Times New Roman"/>
                <w:color w:val="000000"/>
                <w:sz w:val="20"/>
                <w:szCs w:val="20"/>
                <w:lang w:eastAsia="zh-CN"/>
              </w:rPr>
              <w:instrText>Cr Cl</w:instrText>
            </w:r>
            <w:r>
              <w:rPr>
                <w:rFonts w:eastAsia="SimSun" w:cs="Times New Roman"/>
                <w:color w:val="000000"/>
                <w:sz w:val="20"/>
                <w:szCs w:val="20"/>
                <w:lang w:eastAsia="zh-CN"/>
              </w:rPr>
              <w:instrText>对</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的影响。</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估算了典型受试者的群体药动学参数为</w:instrText>
            </w:r>
            <w:r>
              <w:rPr>
                <w:rFonts w:eastAsia="SimSun" w:cs="Times New Roman"/>
                <w:color w:val="000000"/>
                <w:sz w:val="20"/>
                <w:szCs w:val="20"/>
                <w:lang w:eastAsia="zh-CN"/>
              </w:rPr>
              <w:instrText>0 . 024 l / h</w:instrText>
            </w:r>
            <w:r>
              <w:rPr>
                <w:rFonts w:eastAsia="SimSun" w:cs="Times New Roman"/>
                <w:color w:val="000000"/>
                <w:sz w:val="20"/>
                <w:szCs w:val="20"/>
                <w:lang w:eastAsia="zh-CN"/>
              </w:rPr>
              <w:instrText>为肾功能依赖</w:instrText>
            </w:r>
            <w:r>
              <w:rPr>
                <w:rFonts w:eastAsia="SimSun" w:cs="Times New Roman"/>
                <w:color w:val="000000"/>
                <w:sz w:val="20"/>
                <w:szCs w:val="20"/>
                <w:lang w:eastAsia="zh-CN"/>
              </w:rPr>
              <w:instrText>CL ( CLCrCl )</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93 L / h</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CL (</w:instrText>
            </w:r>
            <w:r>
              <w:rPr>
                <w:rFonts w:eastAsia="SimSun" w:cs="Times New Roman"/>
                <w:color w:val="000000"/>
                <w:sz w:val="20"/>
                <w:szCs w:val="20"/>
                <w:lang w:eastAsia="zh-CN"/>
              </w:rPr>
              <w:instrText>不依赖于肾功能</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残留部分为</w:instrText>
            </w:r>
            <w:r>
              <w:rPr>
                <w:rFonts w:eastAsia="SimSun" w:cs="Times New Roman"/>
                <w:color w:val="000000"/>
                <w:sz w:val="20"/>
                <w:szCs w:val="20"/>
                <w:lang w:eastAsia="zh-CN"/>
              </w:rPr>
              <w:instrText>0 .</w:instrText>
            </w:r>
            <w:r>
              <w:rPr>
                <w:rFonts w:eastAsia="SimSun" w:cs="Times New Roman"/>
                <w:color w:val="000000"/>
                <w:sz w:val="20"/>
                <w:szCs w:val="20"/>
                <w:lang w:eastAsia="zh-CN"/>
              </w:rPr>
              <w:instrText>分配体积</w:instrText>
            </w:r>
            <w:r>
              <w:rPr>
                <w:rFonts w:eastAsia="SimSun" w:cs="Times New Roman"/>
                <w:color w:val="000000"/>
                <w:sz w:val="20"/>
                <w:szCs w:val="20"/>
                <w:lang w:eastAsia="zh-CN"/>
              </w:rPr>
              <w:instrText>( V )</w:instrText>
            </w:r>
            <w:r>
              <w:rPr>
                <w:rFonts w:eastAsia="SimSun" w:cs="Times New Roman"/>
                <w:color w:val="000000"/>
                <w:sz w:val="20"/>
                <w:szCs w:val="20"/>
                <w:lang w:eastAsia="zh-CN"/>
              </w:rPr>
              <w:instrText>为</w:instrText>
            </w:r>
            <w:r>
              <w:rPr>
                <w:rFonts w:eastAsia="SimSun" w:cs="Times New Roman"/>
                <w:color w:val="000000"/>
                <w:sz w:val="20"/>
                <w:szCs w:val="20"/>
                <w:lang w:eastAsia="zh-CN"/>
              </w:rPr>
              <w:instrText>511 l / kg</w:instrText>
            </w:r>
            <w:r>
              <w:rPr>
                <w:rFonts w:eastAsia="SimSun" w:cs="Times New Roman"/>
                <w:color w:val="000000"/>
                <w:sz w:val="20"/>
                <w:szCs w:val="20"/>
                <w:lang w:eastAsia="zh-CN"/>
              </w:rPr>
              <w:instrText>。根据最终模型，对于</w:instrText>
            </w:r>
            <w:r>
              <w:rPr>
                <w:rFonts w:eastAsia="SimSun" w:cs="Times New Roman"/>
                <w:color w:val="000000"/>
                <w:sz w:val="20"/>
                <w:szCs w:val="20"/>
                <w:lang w:eastAsia="zh-CN"/>
              </w:rPr>
              <w:instrText>CrCl = 120 ml / min</w:instrText>
            </w:r>
            <w:r>
              <w:rPr>
                <w:rFonts w:eastAsia="SimSun" w:cs="Times New Roman"/>
                <w:color w:val="000000"/>
                <w:sz w:val="20"/>
                <w:szCs w:val="20"/>
                <w:lang w:eastAsia="zh-CN"/>
              </w:rPr>
              <w:instrText>的患者，万古霉素总</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的中位数为</w:instrText>
            </w:r>
            <w:r>
              <w:rPr>
                <w:rFonts w:eastAsia="SimSun" w:cs="Times New Roman"/>
                <w:color w:val="000000"/>
                <w:sz w:val="20"/>
                <w:szCs w:val="20"/>
                <w:lang w:eastAsia="zh-CN"/>
              </w:rPr>
              <w:instrText>4 . 81 l / h</w:instrText>
            </w:r>
            <w:r>
              <w:rPr>
                <w:rFonts w:eastAsia="SimSun" w:cs="Times New Roman"/>
                <w:color w:val="000000"/>
                <w:sz w:val="20"/>
                <w:szCs w:val="20"/>
                <w:lang w:eastAsia="zh-CN"/>
              </w:rPr>
              <w:instrText>，而</w:instrText>
            </w:r>
            <w:r>
              <w:rPr>
                <w:rFonts w:eastAsia="SimSun" w:cs="Times New Roman"/>
                <w:color w:val="000000"/>
                <w:sz w:val="20"/>
                <w:szCs w:val="20"/>
                <w:lang w:eastAsia="zh-CN"/>
              </w:rPr>
              <w:instrText>CrCl</w:instrText>
            </w:r>
            <w:r>
              <w:rPr>
                <w:rFonts w:eastAsia="SimSun" w:cs="Times New Roman"/>
                <w:color w:val="000000"/>
                <w:sz w:val="20"/>
                <w:szCs w:val="20"/>
                <w:lang w:eastAsia="zh-CN"/>
              </w:rPr>
              <w:instrText>依赖部分约占</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w:instrText>
            </w:r>
            <w:r>
              <w:rPr>
                <w:rFonts w:eastAsia="SimSun" w:cs="Times New Roman"/>
                <w:color w:val="000000"/>
                <w:sz w:val="20"/>
                <w:szCs w:val="20"/>
                <w:lang w:eastAsia="zh-CN"/>
              </w:rPr>
              <w:instrText>60 %</w:instrText>
            </w:r>
            <w:r>
              <w:rPr>
                <w:rFonts w:eastAsia="SimSun" w:cs="Times New Roman"/>
                <w:color w:val="000000"/>
                <w:sz w:val="20"/>
                <w:szCs w:val="20"/>
                <w:lang w:eastAsia="zh-CN"/>
              </w:rPr>
              <w:instrText>。结论：本研究建立的群体万古霉素模型可用于成人危重症脓毒症患者个体</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的估算，并可用于考虑</w:instrText>
            </w:r>
            <w:r>
              <w:rPr>
                <w:rFonts w:eastAsia="SimSun" w:cs="Times New Roman"/>
                <w:color w:val="000000"/>
                <w:sz w:val="20"/>
                <w:szCs w:val="20"/>
                <w:lang w:eastAsia="zh-CN"/>
              </w:rPr>
              <w:instrText>CrCl</w:instrText>
            </w:r>
            <w:r>
              <w:rPr>
                <w:rFonts w:eastAsia="SimSun" w:cs="Times New Roman"/>
                <w:color w:val="000000"/>
                <w:sz w:val="20"/>
                <w:szCs w:val="20"/>
                <w:lang w:eastAsia="zh-CN"/>
              </w:rPr>
              <w:instrText>持续效应的个体化给药方案的制定。</w:instrText>
            </w:r>
            <w:r>
              <w:rPr>
                <w:rFonts w:eastAsia="SimSun" w:cs="Times New Roman"/>
                <w:color w:val="000000"/>
                <w:sz w:val="20"/>
                <w:szCs w:val="20"/>
                <w:lang w:eastAsia="zh-CN"/>
              </w:rPr>
              <w:instrText xml:space="preserve">","page":"116-121","source":"DOI.org (Crossref)","title":"Population pharmacokinetic model of vancomycin based on therapeutic drug monitoring data in critically ill septic patients","volume":"55","author":[{"family":"Kovacevic","given":"Tijana"},{"family":"Miljkovic","given":"Branislava"},{"family":"Kovacevic","given":"Pedja"},{"family":"Dragic","given":"Sasa"},{"family":"Momcicevic","given":"Danica"},{"family":"Avram","given":"Sanja"},{"family":"Jovanovic","given":"Marija"},{"family":"Vucicevic","given":"Katarina"}],"issued":{"date-parts":[["2020",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13</w:t>
            </w:r>
            <w:r>
              <w:rPr>
                <w:rFonts w:eastAsia="SimSun" w:cs="Times New Roman"/>
                <w:color w:val="000000"/>
                <w:sz w:val="20"/>
                <w:szCs w:val="20"/>
                <w:lang w:eastAsia="zh-CN"/>
              </w:rPr>
              <w:fldChar w:fldCharType="end"/>
            </w:r>
          </w:p>
        </w:tc>
        <w:tc>
          <w:tcPr>
            <w:tcW w:w="1050" w:type="dxa"/>
            <w:tcBorders>
              <w:top w:val="nil"/>
              <w:left w:val="nil"/>
              <w:bottom w:val="nil"/>
              <w:right w:val="nil"/>
            </w:tcBorders>
            <w:vAlign w:val="center"/>
          </w:tcPr>
          <w:p w14:paraId="75BD293B" w14:textId="77777777" w:rsidR="00857A7C" w:rsidRDefault="00000000">
            <w:pPr>
              <w:spacing w:after="0" w:line="480" w:lineRule="auto"/>
              <w:rPr>
                <w:sz w:val="20"/>
                <w:szCs w:val="28"/>
              </w:rPr>
            </w:pPr>
            <w:r>
              <w:rPr>
                <w:sz w:val="20"/>
                <w:szCs w:val="28"/>
              </w:rPr>
              <w:t>CrCl</w:t>
            </w:r>
          </w:p>
        </w:tc>
        <w:tc>
          <w:tcPr>
            <w:tcW w:w="1127" w:type="dxa"/>
            <w:tcBorders>
              <w:top w:val="nil"/>
              <w:left w:val="nil"/>
              <w:bottom w:val="nil"/>
              <w:right w:val="nil"/>
            </w:tcBorders>
            <w:vAlign w:val="center"/>
          </w:tcPr>
          <w:p w14:paraId="74E3B990"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5F52B056" w14:textId="77777777" w:rsidR="00857A7C" w:rsidRDefault="00000000">
            <w:pPr>
              <w:spacing w:after="0" w:line="480" w:lineRule="auto"/>
              <w:rPr>
                <w:sz w:val="20"/>
                <w:szCs w:val="28"/>
              </w:rPr>
            </w:pPr>
            <w:r>
              <w:rPr>
                <w:sz w:val="20"/>
                <w:szCs w:val="28"/>
              </w:rPr>
              <w:t>General ICU adults</w:t>
            </w:r>
          </w:p>
        </w:tc>
        <w:tc>
          <w:tcPr>
            <w:tcW w:w="1252" w:type="dxa"/>
            <w:tcBorders>
              <w:top w:val="nil"/>
              <w:left w:val="nil"/>
              <w:bottom w:val="nil"/>
              <w:right w:val="nil"/>
            </w:tcBorders>
            <w:vAlign w:val="center"/>
          </w:tcPr>
          <w:p w14:paraId="0243CA28" w14:textId="77777777" w:rsidR="00857A7C" w:rsidRDefault="00000000">
            <w:pPr>
              <w:spacing w:after="0" w:line="480" w:lineRule="auto"/>
              <w:rPr>
                <w:sz w:val="20"/>
                <w:szCs w:val="28"/>
              </w:rPr>
            </w:pPr>
            <w:r>
              <w:rPr>
                <w:sz w:val="20"/>
                <w:szCs w:val="28"/>
              </w:rPr>
              <w:t>90 mL/min</w:t>
            </w:r>
          </w:p>
        </w:tc>
        <w:tc>
          <w:tcPr>
            <w:tcW w:w="1252" w:type="dxa"/>
            <w:tcBorders>
              <w:top w:val="nil"/>
              <w:left w:val="nil"/>
              <w:bottom w:val="nil"/>
              <w:right w:val="nil"/>
            </w:tcBorders>
            <w:vAlign w:val="center"/>
          </w:tcPr>
          <w:p w14:paraId="7DAF1E1E" w14:textId="77777777" w:rsidR="00857A7C" w:rsidRDefault="00000000">
            <w:pPr>
              <w:spacing w:after="0" w:line="480" w:lineRule="auto"/>
              <w:rPr>
                <w:sz w:val="20"/>
                <w:szCs w:val="28"/>
              </w:rPr>
            </w:pPr>
            <w:r>
              <w:rPr>
                <w:sz w:val="20"/>
                <w:szCs w:val="28"/>
              </w:rPr>
              <w:t>30 mL/min</w:t>
            </w:r>
          </w:p>
        </w:tc>
        <w:tc>
          <w:tcPr>
            <w:tcW w:w="1252" w:type="dxa"/>
            <w:tcBorders>
              <w:top w:val="nil"/>
              <w:left w:val="nil"/>
              <w:bottom w:val="nil"/>
              <w:right w:val="nil"/>
            </w:tcBorders>
            <w:vAlign w:val="center"/>
          </w:tcPr>
          <w:p w14:paraId="422370F1" w14:textId="77777777" w:rsidR="00857A7C" w:rsidRDefault="00000000">
            <w:pPr>
              <w:spacing w:after="0" w:line="480" w:lineRule="auto"/>
              <w:rPr>
                <w:sz w:val="20"/>
                <w:szCs w:val="28"/>
              </w:rPr>
            </w:pPr>
            <w:r>
              <w:rPr>
                <w:sz w:val="20"/>
                <w:szCs w:val="28"/>
              </w:rPr>
              <w:t>120 mL/min</w:t>
            </w:r>
          </w:p>
        </w:tc>
        <w:tc>
          <w:tcPr>
            <w:tcW w:w="1005" w:type="dxa"/>
            <w:tcBorders>
              <w:top w:val="nil"/>
              <w:left w:val="nil"/>
              <w:bottom w:val="nil"/>
              <w:right w:val="nil"/>
            </w:tcBorders>
            <w:vAlign w:val="center"/>
          </w:tcPr>
          <w:p w14:paraId="64B0AAAF" w14:textId="77777777" w:rsidR="00857A7C" w:rsidRDefault="00000000">
            <w:pPr>
              <w:spacing w:after="0" w:line="480" w:lineRule="auto"/>
              <w:jc w:val="center"/>
              <w:rPr>
                <w:sz w:val="20"/>
                <w:szCs w:val="28"/>
              </w:rPr>
            </w:pPr>
            <w:r>
              <w:rPr>
                <w:sz w:val="20"/>
                <w:szCs w:val="28"/>
              </w:rPr>
              <w:t>0.65–1.18</w:t>
            </w:r>
          </w:p>
        </w:tc>
      </w:tr>
      <w:tr w:rsidR="00857A7C" w14:paraId="777B7B52" w14:textId="77777777">
        <w:trPr>
          <w:jc w:val="center"/>
        </w:trPr>
        <w:tc>
          <w:tcPr>
            <w:tcW w:w="1381" w:type="dxa"/>
            <w:tcBorders>
              <w:top w:val="nil"/>
              <w:left w:val="nil"/>
              <w:bottom w:val="nil"/>
              <w:right w:val="nil"/>
            </w:tcBorders>
            <w:vAlign w:val="center"/>
          </w:tcPr>
          <w:p w14:paraId="1BD30195" w14:textId="77777777" w:rsidR="00857A7C" w:rsidRDefault="00000000">
            <w:pPr>
              <w:spacing w:after="0" w:line="480" w:lineRule="auto"/>
              <w:rPr>
                <w:rFonts w:cs="Times New Roman"/>
                <w:sz w:val="20"/>
                <w:szCs w:val="20"/>
              </w:rPr>
            </w:pPr>
            <w:r>
              <w:rPr>
                <w:rFonts w:eastAsia="SimSun" w:cs="Times New Roman"/>
                <w:color w:val="000000"/>
                <w:sz w:val="20"/>
                <w:szCs w:val="20"/>
              </w:rPr>
              <w:t>Roberts</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{"citationID":"m9VS6Pqu","properties":{"unsorted":false,"formattedCitation":"\\super 11\\nosupersub{}","plainCitation":"11","noteIndex":0},"citationItems":[{"id":272,"uris":["http://zotero.org/users/local/5zxoZT6d/items/KDQ5IZE9"],"itemData":{"id":272,"type":"article-journal","abstract":"ABSTRACT\n            \n              Despite the development of novel antibiotics active against Gram-positive bacteria, vancomycin generally remains the first treatment, although rapidly achieving concentrations associated with maximal efficacy provides an unresolved challenge. The objective of this study was to conduct a population pharmacokinetic analysis of vancomycin in a large population of critically ill patients. This was a retrospective data collection of 206 adult septic critically ill patients who were administered vancomycin as a loading dose followed by continuous infusion. The concentration-versus-time data for vancomycin in serum was analyzed by a nonlinear mixed-effects modeling approach using NONMEM. Monte Carlo simulations were performed using the final covariate model. We found that the best population pharmacokinetic model consisted of a one-compartment linear model with combined proportional and additive residual unknown variability. The volume of distribution of vancomycin (1.5 liters/kg) was described by total body weight and clearance (4.6 liters/h) by 24-hour urinary creatinine clearance (CrCl), normalized to body surface area. Simulation data showed that a 35-mg/kg loading dose was necessary to rapidly achieve vancomycin concentrations of 20 mg/liter. Daily vancomycin requirements were dependent on CrCl, such that a patient with a CrCl of 100 ml/min/1.73 m\n              2\n              would require at least 35 mg/kg per day by continuous infusion to maintain target concentrations. In conclusion, we have found that higher-than-recommended loading and daily doses of vancomycin seem to be necessary to rapidly achieve therapeutic serum concentrations in these patients.","container-title":"Antimicrobial Agents and Chemotherapy","DOI":"10.1128/AAC.01708-10","ISSN":"0066-4804, 1098-6596","issue":"6","journalAbbreviation":"Antimicrob. Agents Chemother.","language":"en","note":"TLDR: It is found that higher-than-recommended loading and daily doses of vancomycin seem to be necessary to rapidly achieve therapeutic serum concentrations in these patients.\ntitleTranslation: </w:instrText>
            </w:r>
            <w:r>
              <w:rPr>
                <w:rFonts w:eastAsia="SimSun" w:cs="Times New Roman"/>
                <w:color w:val="000000"/>
                <w:sz w:val="20"/>
                <w:szCs w:val="20"/>
                <w:lang w:eastAsia="zh-CN"/>
              </w:rPr>
              <w:instrText>重症患者万古霉素给药：改良持续输注方案的稳健方法。</w:instrText>
            </w:r>
            <w:r>
              <w:rPr>
                <w:rFonts w:eastAsia="SimSun" w:cs="Times New Roman"/>
                <w:color w:val="000000"/>
                <w:sz w:val="20"/>
                <w:szCs w:val="20"/>
                <w:lang w:eastAsia="zh-CN"/>
              </w:rPr>
              <w:instrText xml:space="preserve">","page":"2704-2709","source":"DOI.org (Crossref)","title":"Vancomycin dosing in critically ill patients: Robust methods for improved continuous-infusion regimens","title-short":"Vancomycin Dosing in Critically Ill Patients","volume":"55","author":[{"family":"Roberts","given":"Jason A."},{"family":"Taccone","given":"Fabio Silvio"},{"family":"Udy","given":"Andrew A."},{"family":"Vincent","given":"Jean-Louis"},{"family":"Jacobs","given":"Frédérique"},{"family":"Lipman","given":"Jeffrey"}],"issued":{"date-parts":[["2011",6]]}}}],"schema":"https://github.com/citation-style-language/schema/raw/master/csl-citation.json"}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11</w:t>
            </w:r>
            <w:r>
              <w:rPr>
                <w:rFonts w:eastAsia="SimSun" w:cs="Times New Roman"/>
                <w:color w:val="000000"/>
                <w:sz w:val="20"/>
                <w:szCs w:val="20"/>
              </w:rPr>
              <w:fldChar w:fldCharType="end"/>
            </w:r>
          </w:p>
        </w:tc>
        <w:tc>
          <w:tcPr>
            <w:tcW w:w="1050" w:type="dxa"/>
            <w:tcBorders>
              <w:top w:val="nil"/>
              <w:left w:val="nil"/>
              <w:bottom w:val="nil"/>
              <w:right w:val="nil"/>
            </w:tcBorders>
            <w:vAlign w:val="center"/>
          </w:tcPr>
          <w:p w14:paraId="08F0697B" w14:textId="77777777" w:rsidR="00857A7C" w:rsidRDefault="00000000">
            <w:pPr>
              <w:spacing w:after="0" w:line="480" w:lineRule="auto"/>
              <w:rPr>
                <w:sz w:val="20"/>
                <w:szCs w:val="28"/>
              </w:rPr>
            </w:pPr>
            <w:r>
              <w:rPr>
                <w:sz w:val="20"/>
                <w:szCs w:val="28"/>
              </w:rPr>
              <w:t>CrCl</w:t>
            </w:r>
          </w:p>
        </w:tc>
        <w:tc>
          <w:tcPr>
            <w:tcW w:w="1127" w:type="dxa"/>
            <w:tcBorders>
              <w:top w:val="nil"/>
              <w:left w:val="nil"/>
              <w:bottom w:val="nil"/>
              <w:right w:val="nil"/>
            </w:tcBorders>
            <w:vAlign w:val="center"/>
          </w:tcPr>
          <w:p w14:paraId="0A0B3794"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6B5FDC77" w14:textId="77777777" w:rsidR="00857A7C" w:rsidRDefault="00000000">
            <w:pPr>
              <w:spacing w:after="0" w:line="480" w:lineRule="auto"/>
              <w:rPr>
                <w:sz w:val="20"/>
                <w:szCs w:val="28"/>
              </w:rPr>
            </w:pPr>
            <w:r>
              <w:rPr>
                <w:sz w:val="20"/>
                <w:szCs w:val="28"/>
              </w:rPr>
              <w:t>General ICU adults</w:t>
            </w:r>
          </w:p>
        </w:tc>
        <w:tc>
          <w:tcPr>
            <w:tcW w:w="1252" w:type="dxa"/>
            <w:tcBorders>
              <w:top w:val="nil"/>
              <w:left w:val="nil"/>
              <w:bottom w:val="nil"/>
              <w:right w:val="nil"/>
            </w:tcBorders>
            <w:vAlign w:val="center"/>
          </w:tcPr>
          <w:p w14:paraId="5799A7CE" w14:textId="77777777" w:rsidR="00857A7C" w:rsidRDefault="00000000">
            <w:pPr>
              <w:spacing w:after="0" w:line="480" w:lineRule="auto"/>
              <w:rPr>
                <w:sz w:val="20"/>
                <w:szCs w:val="28"/>
              </w:rPr>
            </w:pPr>
            <w:r>
              <w:rPr>
                <w:sz w:val="20"/>
                <w:szCs w:val="28"/>
              </w:rPr>
              <w:t>90 mL/min</w:t>
            </w:r>
          </w:p>
        </w:tc>
        <w:tc>
          <w:tcPr>
            <w:tcW w:w="1252" w:type="dxa"/>
            <w:tcBorders>
              <w:top w:val="nil"/>
              <w:left w:val="nil"/>
              <w:bottom w:val="nil"/>
              <w:right w:val="nil"/>
            </w:tcBorders>
            <w:vAlign w:val="center"/>
          </w:tcPr>
          <w:p w14:paraId="3CC77D4D" w14:textId="77777777" w:rsidR="00857A7C" w:rsidRDefault="00000000">
            <w:pPr>
              <w:spacing w:after="0" w:line="480" w:lineRule="auto"/>
              <w:rPr>
                <w:sz w:val="20"/>
                <w:szCs w:val="28"/>
              </w:rPr>
            </w:pPr>
            <w:r>
              <w:rPr>
                <w:sz w:val="20"/>
                <w:szCs w:val="28"/>
              </w:rPr>
              <w:t>30 mL/min</w:t>
            </w:r>
          </w:p>
        </w:tc>
        <w:tc>
          <w:tcPr>
            <w:tcW w:w="1252" w:type="dxa"/>
            <w:tcBorders>
              <w:top w:val="nil"/>
              <w:left w:val="nil"/>
              <w:bottom w:val="nil"/>
              <w:right w:val="nil"/>
            </w:tcBorders>
            <w:vAlign w:val="center"/>
          </w:tcPr>
          <w:p w14:paraId="4C1EC94A" w14:textId="77777777" w:rsidR="00857A7C" w:rsidRDefault="00000000">
            <w:pPr>
              <w:spacing w:after="0" w:line="480" w:lineRule="auto"/>
              <w:rPr>
                <w:sz w:val="20"/>
                <w:szCs w:val="28"/>
              </w:rPr>
            </w:pPr>
            <w:r>
              <w:rPr>
                <w:sz w:val="20"/>
                <w:szCs w:val="28"/>
              </w:rPr>
              <w:t>120 mL/min</w:t>
            </w:r>
          </w:p>
        </w:tc>
        <w:tc>
          <w:tcPr>
            <w:tcW w:w="1005" w:type="dxa"/>
            <w:tcBorders>
              <w:top w:val="nil"/>
              <w:left w:val="nil"/>
              <w:bottom w:val="nil"/>
              <w:right w:val="nil"/>
            </w:tcBorders>
            <w:vAlign w:val="center"/>
          </w:tcPr>
          <w:p w14:paraId="541CFF50" w14:textId="77777777" w:rsidR="00857A7C" w:rsidRDefault="00000000">
            <w:pPr>
              <w:spacing w:after="0" w:line="480" w:lineRule="auto"/>
              <w:jc w:val="center"/>
              <w:rPr>
                <w:sz w:val="20"/>
                <w:szCs w:val="28"/>
              </w:rPr>
            </w:pPr>
            <w:r>
              <w:rPr>
                <w:sz w:val="20"/>
                <w:szCs w:val="28"/>
              </w:rPr>
              <w:t>0.33–1.33</w:t>
            </w:r>
          </w:p>
        </w:tc>
      </w:tr>
      <w:tr w:rsidR="00857A7C" w14:paraId="6356DC6C" w14:textId="77777777">
        <w:trPr>
          <w:jc w:val="center"/>
        </w:trPr>
        <w:tc>
          <w:tcPr>
            <w:tcW w:w="1381" w:type="dxa"/>
            <w:tcBorders>
              <w:top w:val="nil"/>
              <w:left w:val="nil"/>
              <w:bottom w:val="nil"/>
              <w:right w:val="nil"/>
            </w:tcBorders>
            <w:vAlign w:val="center"/>
          </w:tcPr>
          <w:p w14:paraId="57370222" w14:textId="77777777" w:rsidR="00857A7C" w:rsidRDefault="00000000">
            <w:pPr>
              <w:spacing w:after="0" w:line="480" w:lineRule="auto"/>
              <w:rPr>
                <w:rFonts w:cs="Times New Roman"/>
                <w:sz w:val="20"/>
                <w:szCs w:val="20"/>
              </w:rPr>
            </w:pPr>
            <w:r>
              <w:rPr>
                <w:rFonts w:eastAsia="SimSun" w:cs="Times New Roman"/>
                <w:color w:val="000000"/>
                <w:sz w:val="20"/>
                <w:szCs w:val="20"/>
              </w:rPr>
              <w:t>Medellín-Garibay</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{"citationID":"xxZcXlpG","properties":{"unsorted":false,"formattedCitation":"\\super 9\\nosupersub{}","plainCitation":"9","noteIndex":0},"citationItems":[{"id":64,"uris":["http://zotero.org/users/local/5zxoZT6d/items/9WWVZ64X"],"itemData":{"id":64,"type":"article-journal","abstract":"Pathophysiological changes involved in drug disposition in critically ill patients should be considered in order to optimize the dosing of vancomycin administered by continuous infusion, and certain strategies must be applied to reach therapeutic targets on the ﬁrst day of treatment. The aim of this study was to develop a population pharmacokinetic model of vancomycin to determine clinical covariates, including mechanical ventilation, that inﬂuence the wide variability of this antimicrobial. Plasma vancomycin concentrations from 54 critically ill patients were analyzed simultaneously by a population pharmacokinetic approach. A nomogram for dosing recommendations was developed and was internally evaluated through stochastic simulations. The plasma vancomycin concentration-versus-time data were best described by a one-compartment open model with exponential interindividual variability associated with vancomycin clearance and the volume of distribution. Residual error followed a homoscedastic trend. Creatinine clearance and body weight signiﬁcantly dropped the objective function value, showing their inﬂuence on vancomycin clearance and the volume of distribution, respectively. Characterization based on the presence of mechanical ventilation demonstrated a 20% decrease in vancomycin clearance. External validation (n 18) was performed to evaluate the predictive ability of the model; median bias and precision values were 0.7 mg/liter (95% conﬁdence interval [CI], 0.4, 1.7) and 5.9 mg/liter (95% CI, 5.4, 6.4), respectively. A population pharmacokinetic model was developed for the administration of vancomycin by continuous infusion to critically ill patients, demonstrating the inﬂuence of creatinine clearance and mechanical ventilation on vancomycin clearance, as well as the implications for targeting dosing rates to reach the therapeutic range (20 to 30 mg/liter).","container-title":"Antimicrobial Agents and Chemotherapy","DOI":"10.1128/AAC.01249-17","ISSN":"0066-4804, 1098-6596","issue":"12","journalAbbreviation":"Antimicrob. Agents Chemother.","language":"en","note":"TLDR: A population pharmacokinetic model was developed for the administration of vancomycin by continuous infusion to critically ill patients, demonstrating the influence of creatinine clearance and mechanical ventilation on vancomYcin clearance, as well as the implications for targeting dosing rates to reach the therapeutic range.\ntitleTranslation: </w:instrText>
            </w:r>
            <w:r>
              <w:rPr>
                <w:rFonts w:eastAsia="SimSun" w:cs="Times New Roman"/>
                <w:color w:val="000000"/>
                <w:sz w:val="20"/>
                <w:szCs w:val="20"/>
                <w:lang w:eastAsia="zh-CN"/>
              </w:rPr>
              <w:instrText>机械通气对危重症患者持续输注万古霉素药动学的影响。</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为了优化持续输注万古霉素的给药剂量，应考虑危重症患者药物处置中涉及的病理生理变化，并在治疗的第一天应用一定的策略以达到治疗目标。本研究的目的是建立万古霉素的群体药代动力学模型，以确定包括机械通气在内的影响该抗菌药物广泛变异性的临床协变量。采用群体药代动力学方法同时测定</w:instrText>
            </w:r>
            <w:r>
              <w:rPr>
                <w:rFonts w:eastAsia="SimSun" w:cs="Times New Roman"/>
                <w:color w:val="000000"/>
                <w:sz w:val="20"/>
                <w:szCs w:val="20"/>
                <w:lang w:eastAsia="zh-CN"/>
              </w:rPr>
              <w:instrText>54</w:instrText>
            </w:r>
            <w:r>
              <w:rPr>
                <w:rFonts w:eastAsia="SimSun" w:cs="Times New Roman"/>
                <w:color w:val="000000"/>
                <w:sz w:val="20"/>
                <w:szCs w:val="20"/>
                <w:lang w:eastAsia="zh-CN"/>
              </w:rPr>
              <w:instrText>例重症患者的万古霉素血药浓度。开发了用于剂量推荐的列线图，并通过随机模拟进行了内部评估。</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万古霉素血浆浓度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时间数据用一室开放模型描述最佳，其个体差异与万古霉素清除率和分布容积有关。残差遵循同方差的趋势。肌酐清除率和体重显著降低了目标函数值，分别显示了它们对万古霉素清除率和分布容积的影响。基于机械通气的表征显示万古霉素清除率下降了</w:instrText>
            </w:r>
            <w:r>
              <w:rPr>
                <w:rFonts w:eastAsia="SimSun" w:cs="Times New Roman"/>
                <w:color w:val="000000"/>
                <w:sz w:val="20"/>
                <w:szCs w:val="20"/>
                <w:lang w:eastAsia="zh-CN"/>
              </w:rPr>
              <w:instrText>20 %</w:instrText>
            </w:r>
            <w:r>
              <w:rPr>
                <w:rFonts w:eastAsia="SimSun" w:cs="Times New Roman"/>
                <w:color w:val="000000"/>
                <w:sz w:val="20"/>
                <w:szCs w:val="20"/>
                <w:lang w:eastAsia="zh-CN"/>
              </w:rPr>
              <w:instrText>。进行外部验证</w:instrText>
            </w:r>
            <w:r>
              <w:rPr>
                <w:rFonts w:eastAsia="SimSun" w:cs="Times New Roman"/>
                <w:color w:val="000000"/>
                <w:sz w:val="20"/>
                <w:szCs w:val="20"/>
                <w:lang w:eastAsia="zh-CN"/>
              </w:rPr>
              <w:instrText>( n 18 )</w:instrText>
            </w:r>
            <w:r>
              <w:rPr>
                <w:rFonts w:eastAsia="SimSun" w:cs="Times New Roman"/>
                <w:color w:val="000000"/>
                <w:sz w:val="20"/>
                <w:szCs w:val="20"/>
                <w:lang w:eastAsia="zh-CN"/>
              </w:rPr>
              <w:instrText>以评估模型的预测能力；中位数偏倚和精确值均为</w:instrText>
            </w:r>
            <w:r>
              <w:rPr>
                <w:rFonts w:eastAsia="SimSun" w:cs="Times New Roman"/>
                <w:color w:val="000000"/>
                <w:sz w:val="20"/>
                <w:szCs w:val="20"/>
                <w:lang w:eastAsia="zh-CN"/>
              </w:rPr>
              <w:instrText>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7 Mg / Liter ( 95 %</w:instrText>
            </w:r>
            <w:r>
              <w:rPr>
                <w:rFonts w:eastAsia="SimSun" w:cs="Times New Roman"/>
                <w:color w:val="000000"/>
                <w:sz w:val="20"/>
                <w:szCs w:val="20"/>
                <w:lang w:eastAsia="zh-CN"/>
              </w:rPr>
              <w:instrText>置信区间</w:instrText>
            </w:r>
            <w:r>
              <w:rPr>
                <w:rFonts w:eastAsia="SimSun" w:cs="Times New Roman"/>
                <w:color w:val="000000"/>
                <w:sz w:val="20"/>
                <w:szCs w:val="20"/>
                <w:lang w:eastAsia="zh-CN"/>
              </w:rPr>
              <w:instrText>[ CI ] , 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1 . 7 )</w:instrText>
            </w:r>
            <w:r>
              <w:rPr>
                <w:rFonts w:eastAsia="SimSun" w:cs="Times New Roman"/>
                <w:color w:val="000000"/>
                <w:sz w:val="20"/>
                <w:szCs w:val="20"/>
                <w:lang w:eastAsia="zh-CN"/>
              </w:rPr>
              <w:instrText>和</w:instrText>
            </w:r>
            <w:r>
              <w:rPr>
                <w:rFonts w:eastAsia="SimSun" w:cs="Times New Roman"/>
                <w:color w:val="000000"/>
                <w:sz w:val="20"/>
                <w:szCs w:val="20"/>
                <w:lang w:eastAsia="zh-CN"/>
              </w:rPr>
              <w:instrText>5 . 9 Mg / Liter ( 95 % Ci</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5 . 4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6 . 4 )</w:instrText>
            </w:r>
            <w:r>
              <w:rPr>
                <w:rFonts w:eastAsia="SimSun" w:cs="Times New Roman"/>
                <w:color w:val="000000"/>
                <w:sz w:val="20"/>
                <w:szCs w:val="20"/>
                <w:lang w:eastAsia="zh-CN"/>
              </w:rPr>
              <w:instrText>。建立了重症患者持续输注万古霉素的群体药代动力学模型，阐明了肌酐清除率和机械通气对万古霉素清除率的影响，以及达到治疗范围</w:instrText>
            </w:r>
            <w:r>
              <w:rPr>
                <w:rFonts w:eastAsia="SimSun" w:cs="Times New Roman"/>
                <w:color w:val="000000"/>
                <w:sz w:val="20"/>
                <w:szCs w:val="20"/>
                <w:lang w:eastAsia="zh-CN"/>
              </w:rPr>
              <w:instrText>( 20 ~ 30 mg / L)</w:instrText>
            </w:r>
            <w:r>
              <w:rPr>
                <w:rFonts w:eastAsia="SimSun" w:cs="Times New Roman"/>
                <w:color w:val="000000"/>
                <w:sz w:val="20"/>
                <w:szCs w:val="20"/>
                <w:lang w:eastAsia="zh-CN"/>
              </w:rPr>
              <w:instrText>的目标给药速率的意义。</w:instrText>
            </w:r>
            <w:r>
              <w:rPr>
                <w:rFonts w:eastAsia="SimSun" w:cs="Times New Roman"/>
                <w:color w:val="000000"/>
                <w:sz w:val="20"/>
                <w:szCs w:val="20"/>
                <w:lang w:eastAsia="zh-CN"/>
              </w:rPr>
              <w:instrText xml:space="preserve">","page":"e01249-17","source":"DOI.org (Crossref)","title":"Influence of mechanical ventilation on the pharmacokinetics of vancomycin administered by continuous infusion in critically ill patients","volume":"61","author":[{"family":"Medellín-Garibay","given":"Susanna Edith"},{"family":"Romano-Moreno","given":"Silvia"},{"family":"Tejedor-Prado","given":"Pilar"},{"family":"Rubio-Álvaro","given":"Noelia"},{"family":"Rueda-Naharro","given":"Aida"},{"family":"Blasco-Navalpotro","given":"Miguel Angel"},{"family":"García","given":"Benito"},{"family":"Barcia","given":"Emilia"}],"issued":{"date-parts":[["2017",12]]}}}],"schema":"https://github.com/citation-style-language/schema/raw/master/csl-citation.json"}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shd w:val="clear" w:color="auto" w:fill="D9D9D9"/>
                <w:vertAlign w:val="superscript"/>
              </w:rPr>
              <w:t>9</w:t>
            </w:r>
            <w:r>
              <w:rPr>
                <w:rFonts w:eastAsia="SimSun" w:cs="Times New Roman"/>
                <w:color w:val="000000"/>
                <w:sz w:val="20"/>
                <w:szCs w:val="20"/>
                <w:lang w:eastAsia="zh-CN"/>
              </w:rPr>
              <w:fldChar w:fldCharType="end"/>
            </w:r>
          </w:p>
        </w:tc>
        <w:tc>
          <w:tcPr>
            <w:tcW w:w="1050" w:type="dxa"/>
            <w:tcBorders>
              <w:top w:val="nil"/>
              <w:left w:val="nil"/>
              <w:bottom w:val="nil"/>
              <w:right w:val="nil"/>
            </w:tcBorders>
            <w:vAlign w:val="center"/>
          </w:tcPr>
          <w:p w14:paraId="7459AA3D" w14:textId="77777777" w:rsidR="00857A7C" w:rsidRDefault="00000000">
            <w:pPr>
              <w:spacing w:after="0" w:line="480" w:lineRule="auto"/>
              <w:rPr>
                <w:sz w:val="20"/>
                <w:szCs w:val="28"/>
              </w:rPr>
            </w:pPr>
            <w:r>
              <w:rPr>
                <w:sz w:val="20"/>
                <w:szCs w:val="28"/>
              </w:rPr>
              <w:t>CrCl</w:t>
            </w:r>
          </w:p>
        </w:tc>
        <w:tc>
          <w:tcPr>
            <w:tcW w:w="1127" w:type="dxa"/>
            <w:tcBorders>
              <w:top w:val="nil"/>
              <w:left w:val="nil"/>
              <w:bottom w:val="nil"/>
              <w:right w:val="nil"/>
            </w:tcBorders>
            <w:vAlign w:val="center"/>
          </w:tcPr>
          <w:p w14:paraId="2EE4E8D6"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1EC52B31" w14:textId="77777777" w:rsidR="00857A7C" w:rsidRDefault="00000000">
            <w:pPr>
              <w:spacing w:after="0" w:line="480" w:lineRule="auto"/>
              <w:rPr>
                <w:sz w:val="20"/>
                <w:szCs w:val="28"/>
              </w:rPr>
            </w:pPr>
            <w:r>
              <w:rPr>
                <w:sz w:val="20"/>
                <w:szCs w:val="28"/>
              </w:rPr>
              <w:t>General ICU adults</w:t>
            </w:r>
          </w:p>
        </w:tc>
        <w:tc>
          <w:tcPr>
            <w:tcW w:w="1252" w:type="dxa"/>
            <w:tcBorders>
              <w:top w:val="nil"/>
              <w:left w:val="nil"/>
              <w:bottom w:val="nil"/>
              <w:right w:val="nil"/>
            </w:tcBorders>
            <w:vAlign w:val="center"/>
          </w:tcPr>
          <w:p w14:paraId="0D16BB4A" w14:textId="77777777" w:rsidR="00857A7C" w:rsidRDefault="00000000">
            <w:pPr>
              <w:spacing w:after="0" w:line="480" w:lineRule="auto"/>
              <w:rPr>
                <w:sz w:val="20"/>
                <w:szCs w:val="28"/>
              </w:rPr>
            </w:pPr>
            <w:r>
              <w:rPr>
                <w:sz w:val="20"/>
                <w:szCs w:val="28"/>
              </w:rPr>
              <w:t>90 mL/min</w:t>
            </w:r>
          </w:p>
        </w:tc>
        <w:tc>
          <w:tcPr>
            <w:tcW w:w="1252" w:type="dxa"/>
            <w:tcBorders>
              <w:top w:val="nil"/>
              <w:left w:val="nil"/>
              <w:bottom w:val="nil"/>
              <w:right w:val="nil"/>
            </w:tcBorders>
            <w:vAlign w:val="center"/>
          </w:tcPr>
          <w:p w14:paraId="3C1BBA1C" w14:textId="77777777" w:rsidR="00857A7C" w:rsidRDefault="00000000">
            <w:pPr>
              <w:spacing w:after="0" w:line="480" w:lineRule="auto"/>
              <w:rPr>
                <w:sz w:val="20"/>
                <w:szCs w:val="28"/>
              </w:rPr>
            </w:pPr>
            <w:r>
              <w:rPr>
                <w:sz w:val="20"/>
                <w:szCs w:val="28"/>
              </w:rPr>
              <w:t>30 mL/min</w:t>
            </w:r>
          </w:p>
        </w:tc>
        <w:tc>
          <w:tcPr>
            <w:tcW w:w="1252" w:type="dxa"/>
            <w:tcBorders>
              <w:top w:val="nil"/>
              <w:left w:val="nil"/>
              <w:bottom w:val="nil"/>
              <w:right w:val="nil"/>
            </w:tcBorders>
            <w:vAlign w:val="center"/>
          </w:tcPr>
          <w:p w14:paraId="0EBF8ECE" w14:textId="77777777" w:rsidR="00857A7C" w:rsidRDefault="00000000">
            <w:pPr>
              <w:spacing w:after="0" w:line="480" w:lineRule="auto"/>
              <w:rPr>
                <w:sz w:val="20"/>
                <w:szCs w:val="28"/>
              </w:rPr>
            </w:pPr>
            <w:r>
              <w:rPr>
                <w:sz w:val="20"/>
                <w:szCs w:val="28"/>
              </w:rPr>
              <w:t>120 mL/min</w:t>
            </w:r>
          </w:p>
        </w:tc>
        <w:tc>
          <w:tcPr>
            <w:tcW w:w="1005" w:type="dxa"/>
            <w:tcBorders>
              <w:top w:val="nil"/>
              <w:left w:val="nil"/>
              <w:bottom w:val="nil"/>
              <w:right w:val="nil"/>
            </w:tcBorders>
            <w:vAlign w:val="center"/>
          </w:tcPr>
          <w:p w14:paraId="65D62503" w14:textId="77777777" w:rsidR="00857A7C" w:rsidRDefault="00000000">
            <w:pPr>
              <w:spacing w:after="0" w:line="480" w:lineRule="auto"/>
              <w:jc w:val="center"/>
              <w:rPr>
                <w:sz w:val="20"/>
                <w:szCs w:val="28"/>
              </w:rPr>
            </w:pPr>
            <w:r>
              <w:rPr>
                <w:sz w:val="20"/>
                <w:szCs w:val="28"/>
              </w:rPr>
              <w:t>0.36–1.31</w:t>
            </w:r>
          </w:p>
        </w:tc>
      </w:tr>
      <w:tr w:rsidR="00857A7C" w14:paraId="1928D803" w14:textId="77777777">
        <w:trPr>
          <w:jc w:val="center"/>
        </w:trPr>
        <w:tc>
          <w:tcPr>
            <w:tcW w:w="1381" w:type="dxa"/>
            <w:tcBorders>
              <w:top w:val="nil"/>
              <w:left w:val="nil"/>
              <w:bottom w:val="nil"/>
              <w:right w:val="nil"/>
            </w:tcBorders>
            <w:vAlign w:val="center"/>
          </w:tcPr>
          <w:p w14:paraId="2E02D1C6" w14:textId="77777777" w:rsidR="00857A7C" w:rsidRDefault="00000000">
            <w:pPr>
              <w:spacing w:after="0" w:line="480" w:lineRule="auto"/>
              <w:rPr>
                <w:rFonts w:eastAsia="SimSun" w:cs="Times New Roman"/>
                <w:color w:val="000000"/>
                <w:sz w:val="20"/>
                <w:szCs w:val="20"/>
              </w:rPr>
            </w:pPr>
            <w:r>
              <w:rPr>
                <w:rFonts w:eastAsia="SimSun" w:cs="Times New Roman"/>
                <w:color w:val="000000"/>
                <w:sz w:val="20"/>
                <w:szCs w:val="20"/>
              </w:rPr>
              <w:t>Medellín-Garibay</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{"citationID":"xxZcXlpG","properties":{"unsorted":false,"formattedCitation":"\\super 9\\nosupersub{}","plainCitation":"9","noteIndex":0},"citationItems":[{"id":64,"uris":["http://zotero.org/users/local/5zxoZT6d/items/9WWVZ64X"],"itemData":{"id":64,"type":"article-journal","abstract":"Pathophysiological changes involved in drug disposition in critically ill patients should be considered in order to optimize the dosing of vancomycin administered by continuous infusion, and certain strategies must be applied to reach therapeutic targets on the ﬁrst day of treatment. The aim of this study was to develop a population pharmacokinetic model of vancomycin to determine clinical covariates, including mechanical ventilation, that inﬂuence the wide variability of this antimicrobial. Plasma vancomycin concentrations from 54 critically ill patients were analyzed simultaneously by a population pharmacokinetic approach. A nomogram for dosing recommendations was developed and was internally evaluated through stochastic simulations. The plasma vancomycin concentration-versus-time data were best described by a one-compartment open model with exponential interindividual variability associated with vancomycin clearance and the volume of distribution. Residual error followed a homoscedastic trend. Creatinine clearance and body weight signiﬁcantly dropped the objective function value, showing their inﬂuence on vancomycin clearance and the volume of distribution, respectively. Characterization based on the presence of mechanical ventilation demonstrated a 20% decrease in vancomycin clearance. External validation (n 18) was performed to evaluate the predictive ability of the model; median bias and precision values were 0.7 mg/liter (95% conﬁdence interval [CI], 0.4, 1.7) and 5.9 mg/liter (95% CI, 5.4, 6.4), respectively. A population pharmacokinetic model was developed for the administration of vancomycin by continuous infusion to critically ill patients, demonstrating the inﬂuence of creatinine clearance and mechanical ventilation on vancomycin clearance, as well as the implications for targeting dosing rates to reach the therapeutic range (20 to 30 mg/liter).","container-title":"Antimicrobial Agents and Chemotherapy","DOI":"10.1128/AAC.01249-17","ISSN":"0066-4804, 1098-6596","issue":"12","journalAbbreviation":"Antimicrob. Agents Chemother.","language":"en","note":"TLDR: A population pharmacokinetic model was developed for the administration of vancomycin by continuous infusion to critically ill patients, demonstrating the influence of creatinine clearance and mechanical ventilation on vancomYcin clearance, as well as the implications for targeting dosing rates to reach the therapeutic range.\ntitleTranslation: </w:instrText>
            </w:r>
            <w:r>
              <w:rPr>
                <w:rFonts w:eastAsia="SimSun" w:cs="Times New Roman"/>
                <w:color w:val="000000"/>
                <w:sz w:val="20"/>
                <w:szCs w:val="20"/>
                <w:lang w:eastAsia="zh-CN"/>
              </w:rPr>
              <w:instrText>机械通气对危重症患者持续输注万古霉素药动学的影响。</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为了优化持续输注万古霉素的给药剂量，应考虑危重症患者药物处置中涉及的病理生理变化，并在治疗的第一天应用一定的策略以达到治疗目标。本研究的目的是建立万古霉素的群体药代动力学模型，以确定包括机械通气在内的影响该抗菌药物广泛变异性的临床协变量。采用群体药代动力学方法同时测定</w:instrText>
            </w:r>
            <w:r>
              <w:rPr>
                <w:rFonts w:eastAsia="SimSun" w:cs="Times New Roman"/>
                <w:color w:val="000000"/>
                <w:sz w:val="20"/>
                <w:szCs w:val="20"/>
                <w:lang w:eastAsia="zh-CN"/>
              </w:rPr>
              <w:instrText>54</w:instrText>
            </w:r>
            <w:r>
              <w:rPr>
                <w:rFonts w:eastAsia="SimSun" w:cs="Times New Roman"/>
                <w:color w:val="000000"/>
                <w:sz w:val="20"/>
                <w:szCs w:val="20"/>
                <w:lang w:eastAsia="zh-CN"/>
              </w:rPr>
              <w:instrText>例重症患者的万古霉素血药浓度。开发了用于剂量推荐的列线图，并通过随机模拟进行了内部评估。</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万古霉素血浆浓度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时间数据用一室开放模型描述最佳，其个体差异与万古霉素清除率和分布容积有关。残差遵循同方差的趋势。肌酐清除率和体重显著降低了目标函数值，分别显示了它们对万古霉素清除率和分布容积的影响。基于机械通气的表征显示万古霉素清除率下降了</w:instrText>
            </w:r>
            <w:r>
              <w:rPr>
                <w:rFonts w:eastAsia="SimSun" w:cs="Times New Roman"/>
                <w:color w:val="000000"/>
                <w:sz w:val="20"/>
                <w:szCs w:val="20"/>
                <w:lang w:eastAsia="zh-CN"/>
              </w:rPr>
              <w:instrText>20 %</w:instrText>
            </w:r>
            <w:r>
              <w:rPr>
                <w:rFonts w:eastAsia="SimSun" w:cs="Times New Roman"/>
                <w:color w:val="000000"/>
                <w:sz w:val="20"/>
                <w:szCs w:val="20"/>
                <w:lang w:eastAsia="zh-CN"/>
              </w:rPr>
              <w:instrText>。进行外部验证</w:instrText>
            </w:r>
            <w:r>
              <w:rPr>
                <w:rFonts w:eastAsia="SimSun" w:cs="Times New Roman"/>
                <w:color w:val="000000"/>
                <w:sz w:val="20"/>
                <w:szCs w:val="20"/>
                <w:lang w:eastAsia="zh-CN"/>
              </w:rPr>
              <w:instrText>( n 18 )</w:instrText>
            </w:r>
            <w:r>
              <w:rPr>
                <w:rFonts w:eastAsia="SimSun" w:cs="Times New Roman"/>
                <w:color w:val="000000"/>
                <w:sz w:val="20"/>
                <w:szCs w:val="20"/>
                <w:lang w:eastAsia="zh-CN"/>
              </w:rPr>
              <w:instrText>以评估模型的预测能力；中位数偏倚和精确值均为</w:instrText>
            </w:r>
            <w:r>
              <w:rPr>
                <w:rFonts w:eastAsia="SimSun" w:cs="Times New Roman"/>
                <w:color w:val="000000"/>
                <w:sz w:val="20"/>
                <w:szCs w:val="20"/>
                <w:lang w:eastAsia="zh-CN"/>
              </w:rPr>
              <w:instrText>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7 Mg / Liter ( 95 %</w:instrText>
            </w:r>
            <w:r>
              <w:rPr>
                <w:rFonts w:eastAsia="SimSun" w:cs="Times New Roman"/>
                <w:color w:val="000000"/>
                <w:sz w:val="20"/>
                <w:szCs w:val="20"/>
                <w:lang w:eastAsia="zh-CN"/>
              </w:rPr>
              <w:instrText>置信区间</w:instrText>
            </w:r>
            <w:r>
              <w:rPr>
                <w:rFonts w:eastAsia="SimSun" w:cs="Times New Roman"/>
                <w:color w:val="000000"/>
                <w:sz w:val="20"/>
                <w:szCs w:val="20"/>
                <w:lang w:eastAsia="zh-CN"/>
              </w:rPr>
              <w:instrText>[ CI ] , 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1 . 7 )</w:instrText>
            </w:r>
            <w:r>
              <w:rPr>
                <w:rFonts w:eastAsia="SimSun" w:cs="Times New Roman"/>
                <w:color w:val="000000"/>
                <w:sz w:val="20"/>
                <w:szCs w:val="20"/>
                <w:lang w:eastAsia="zh-CN"/>
              </w:rPr>
              <w:instrText>和</w:instrText>
            </w:r>
            <w:r>
              <w:rPr>
                <w:rFonts w:eastAsia="SimSun" w:cs="Times New Roman"/>
                <w:color w:val="000000"/>
                <w:sz w:val="20"/>
                <w:szCs w:val="20"/>
                <w:lang w:eastAsia="zh-CN"/>
              </w:rPr>
              <w:instrText>5 . 9 Mg / Liter ( 95 % Ci</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5 . 4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6 . 4 )</w:instrText>
            </w:r>
            <w:r>
              <w:rPr>
                <w:rFonts w:eastAsia="SimSun" w:cs="Times New Roman"/>
                <w:color w:val="000000"/>
                <w:sz w:val="20"/>
                <w:szCs w:val="20"/>
                <w:lang w:eastAsia="zh-CN"/>
              </w:rPr>
              <w:instrText>。建立了重症患者持续输注万古霉素的群体药代动力学模型，阐明了肌酐清除率和机械通气对万古霉素清除率的影响，以及达到治疗范围</w:instrText>
            </w:r>
            <w:r>
              <w:rPr>
                <w:rFonts w:eastAsia="SimSun" w:cs="Times New Roman"/>
                <w:color w:val="000000"/>
                <w:sz w:val="20"/>
                <w:szCs w:val="20"/>
                <w:lang w:eastAsia="zh-CN"/>
              </w:rPr>
              <w:instrText>( 20 ~ 30 mg / L)</w:instrText>
            </w:r>
            <w:r>
              <w:rPr>
                <w:rFonts w:eastAsia="SimSun" w:cs="Times New Roman"/>
                <w:color w:val="000000"/>
                <w:sz w:val="20"/>
                <w:szCs w:val="20"/>
                <w:lang w:eastAsia="zh-CN"/>
              </w:rPr>
              <w:instrText>的目标给药速率的意义。</w:instrText>
            </w:r>
            <w:r>
              <w:rPr>
                <w:rFonts w:eastAsia="SimSun" w:cs="Times New Roman"/>
                <w:color w:val="000000"/>
                <w:sz w:val="20"/>
                <w:szCs w:val="20"/>
                <w:lang w:eastAsia="zh-CN"/>
              </w:rPr>
              <w:instrText xml:space="preserve">","page":"e01249-17","source":"DOI.org (Crossref)","title":"Influence of mechanical ventilation on the pharmacokinetics of vancomycin administered by continuous infusion in critically ill patients","volume":"61","author":[{"family":"Medellín-Garibay","given":"Susanna Edith"},{"family":"Romano-Moreno","given":"Silvia"},{"family":"Tejedor-Prado","given":"Pilar"},{"family":"Rubio-Álvaro","given":"Noelia"},{"family":"Rueda-Naharro","given":"Aida"},{"family":"Blasco-Navalpotro","given":"Miguel Angel"},{"family":"García","given":"Benito"},{"family":"Barcia","given":"Emilia"}],"issued":{"date-parts":[["2017",12]]}}}],"schema":"https://github.com/citation-style-language/schema/raw/master/csl-citation.json"}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9</w:t>
            </w:r>
            <w:r>
              <w:rPr>
                <w:rFonts w:eastAsia="SimSun" w:cs="Times New Roman"/>
                <w:color w:val="000000"/>
                <w:sz w:val="20"/>
                <w:szCs w:val="20"/>
                <w:lang w:eastAsia="zh-CN"/>
              </w:rPr>
              <w:fldChar w:fldCharType="end"/>
            </w:r>
          </w:p>
        </w:tc>
        <w:tc>
          <w:tcPr>
            <w:tcW w:w="1050" w:type="dxa"/>
            <w:tcBorders>
              <w:top w:val="nil"/>
              <w:left w:val="nil"/>
              <w:bottom w:val="nil"/>
              <w:right w:val="nil"/>
            </w:tcBorders>
            <w:vAlign w:val="center"/>
          </w:tcPr>
          <w:p w14:paraId="0086AB82" w14:textId="77777777" w:rsidR="00857A7C" w:rsidRDefault="00000000">
            <w:pPr>
              <w:spacing w:after="0" w:line="480" w:lineRule="auto"/>
              <w:rPr>
                <w:sz w:val="20"/>
                <w:szCs w:val="28"/>
              </w:rPr>
            </w:pPr>
            <w:r>
              <w:rPr>
                <w:sz w:val="20"/>
                <w:szCs w:val="28"/>
              </w:rPr>
              <w:t>MV</w:t>
            </w:r>
          </w:p>
        </w:tc>
        <w:tc>
          <w:tcPr>
            <w:tcW w:w="1127" w:type="dxa"/>
            <w:tcBorders>
              <w:top w:val="nil"/>
              <w:left w:val="nil"/>
              <w:bottom w:val="nil"/>
              <w:right w:val="nil"/>
            </w:tcBorders>
            <w:vAlign w:val="center"/>
          </w:tcPr>
          <w:p w14:paraId="77FC0A4E" w14:textId="77777777" w:rsidR="00857A7C" w:rsidRDefault="00000000">
            <w:pPr>
              <w:spacing w:after="0" w:line="480" w:lineRule="auto"/>
              <w:rPr>
                <w:sz w:val="20"/>
                <w:szCs w:val="28"/>
              </w:rPr>
            </w:pPr>
            <w:r>
              <w:rPr>
                <w:sz w:val="20"/>
                <w:szCs w:val="28"/>
              </w:rPr>
              <w:t>Binary categorical</w:t>
            </w:r>
          </w:p>
        </w:tc>
        <w:tc>
          <w:tcPr>
            <w:tcW w:w="1257" w:type="dxa"/>
            <w:tcBorders>
              <w:top w:val="nil"/>
              <w:left w:val="nil"/>
              <w:bottom w:val="nil"/>
              <w:right w:val="nil"/>
            </w:tcBorders>
            <w:vAlign w:val="center"/>
          </w:tcPr>
          <w:p w14:paraId="530D0A76" w14:textId="77777777" w:rsidR="00857A7C" w:rsidRDefault="00000000">
            <w:pPr>
              <w:spacing w:after="0" w:line="480" w:lineRule="auto"/>
              <w:rPr>
                <w:sz w:val="20"/>
                <w:szCs w:val="28"/>
              </w:rPr>
            </w:pPr>
            <w:r>
              <w:rPr>
                <w:sz w:val="20"/>
                <w:szCs w:val="28"/>
              </w:rPr>
              <w:t>General ICU adults</w:t>
            </w:r>
          </w:p>
        </w:tc>
        <w:tc>
          <w:tcPr>
            <w:tcW w:w="1252" w:type="dxa"/>
            <w:tcBorders>
              <w:top w:val="nil"/>
              <w:left w:val="nil"/>
              <w:bottom w:val="nil"/>
              <w:right w:val="nil"/>
            </w:tcBorders>
            <w:vAlign w:val="center"/>
          </w:tcPr>
          <w:p w14:paraId="59DC0B18" w14:textId="77777777" w:rsidR="00857A7C" w:rsidRDefault="00000000">
            <w:pPr>
              <w:spacing w:after="0" w:line="480" w:lineRule="auto"/>
              <w:rPr>
                <w:sz w:val="20"/>
                <w:szCs w:val="28"/>
              </w:rPr>
            </w:pPr>
            <w:r>
              <w:rPr>
                <w:sz w:val="20"/>
                <w:szCs w:val="28"/>
              </w:rPr>
              <w:t>No mechanical ventilation</w:t>
            </w:r>
          </w:p>
        </w:tc>
        <w:tc>
          <w:tcPr>
            <w:tcW w:w="1252" w:type="dxa"/>
            <w:tcBorders>
              <w:top w:val="nil"/>
              <w:left w:val="nil"/>
              <w:bottom w:val="nil"/>
              <w:right w:val="nil"/>
            </w:tcBorders>
            <w:vAlign w:val="center"/>
          </w:tcPr>
          <w:p w14:paraId="7167EB86" w14:textId="77777777" w:rsidR="00857A7C" w:rsidRDefault="00000000">
            <w:pPr>
              <w:spacing w:after="0" w:line="480" w:lineRule="auto"/>
              <w:rPr>
                <w:sz w:val="20"/>
                <w:szCs w:val="28"/>
              </w:rPr>
            </w:pPr>
            <w:r>
              <w:rPr>
                <w:sz w:val="20"/>
                <w:szCs w:val="28"/>
              </w:rPr>
              <w:t>Mechanical ventilation present</w:t>
            </w:r>
          </w:p>
        </w:tc>
        <w:tc>
          <w:tcPr>
            <w:tcW w:w="1252" w:type="dxa"/>
            <w:tcBorders>
              <w:top w:val="nil"/>
              <w:left w:val="nil"/>
              <w:bottom w:val="nil"/>
              <w:right w:val="nil"/>
            </w:tcBorders>
            <w:vAlign w:val="center"/>
          </w:tcPr>
          <w:p w14:paraId="79D425A5" w14:textId="77777777" w:rsidR="00857A7C" w:rsidRDefault="00000000">
            <w:pPr>
              <w:spacing w:after="0" w:line="480" w:lineRule="auto"/>
              <w:rPr>
                <w:sz w:val="20"/>
                <w:szCs w:val="28"/>
              </w:rPr>
            </w:pPr>
            <w:r>
              <w:rPr>
                <w:sz w:val="20"/>
                <w:szCs w:val="28"/>
              </w:rPr>
              <w:t>—</w:t>
            </w:r>
          </w:p>
        </w:tc>
        <w:tc>
          <w:tcPr>
            <w:tcW w:w="1005" w:type="dxa"/>
            <w:tcBorders>
              <w:top w:val="nil"/>
              <w:left w:val="nil"/>
              <w:bottom w:val="nil"/>
              <w:right w:val="nil"/>
            </w:tcBorders>
            <w:vAlign w:val="center"/>
          </w:tcPr>
          <w:p w14:paraId="64DC1194" w14:textId="77777777" w:rsidR="00857A7C" w:rsidRDefault="00000000">
            <w:pPr>
              <w:spacing w:after="0" w:line="480" w:lineRule="auto"/>
              <w:jc w:val="center"/>
              <w:rPr>
                <w:sz w:val="20"/>
                <w:szCs w:val="28"/>
              </w:rPr>
            </w:pPr>
            <w:r>
              <w:rPr>
                <w:sz w:val="20"/>
                <w:szCs w:val="28"/>
              </w:rPr>
              <w:t>0.80–1.00</w:t>
            </w:r>
          </w:p>
        </w:tc>
      </w:tr>
      <w:tr w:rsidR="00857A7C" w14:paraId="59AC261E" w14:textId="77777777">
        <w:trPr>
          <w:jc w:val="center"/>
        </w:trPr>
        <w:tc>
          <w:tcPr>
            <w:tcW w:w="1381" w:type="dxa"/>
            <w:tcBorders>
              <w:top w:val="nil"/>
              <w:left w:val="nil"/>
              <w:bottom w:val="nil"/>
              <w:right w:val="nil"/>
            </w:tcBorders>
            <w:vAlign w:val="center"/>
          </w:tcPr>
          <w:p w14:paraId="16531080" w14:textId="77777777" w:rsidR="00857A7C" w:rsidRDefault="00000000">
            <w:pPr>
              <w:spacing w:after="0" w:line="480" w:lineRule="auto"/>
              <w:rPr>
                <w:rFonts w:cs="Times New Roman"/>
                <w:sz w:val="20"/>
                <w:szCs w:val="20"/>
              </w:rPr>
            </w:pPr>
            <w:r>
              <w:rPr>
                <w:rFonts w:eastAsia="SimSun" w:cs="Times New Roman"/>
                <w:color w:val="000000"/>
                <w:sz w:val="20"/>
                <w:szCs w:val="20"/>
              </w:rPr>
              <w:t>Yu</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{"citationID":"tF54wniz","properties":{"unsorted":false,"formattedCitation":"\\super 26\\nosupersub{}","plainCitation":"26","noteIndex":0},"citationItems":[{"id":238,"uris":["http://zotero.org/users/local/5zxoZT6d/items/FZBMT3E4"],"itemData":{"id":238,"type":"article-journal","abstract":"Background: Vancomycin dosing is difficult in critically ill patients receiving continuous renal replacement therapy (CRRT). Previous population pharmacokinetic (PopPK) models seldom consider the effect of residual diuresis, a significant factor of elimination, and thus have poor external utility. This study aimed to build a PopPK model of vancomycin that incorporates daily urine volume to better describe the elimination of vancomycin in these patients., \nMethods: We performed a multicenter retrospective study that included critically ill patients who received intermittent intravenous vancomycin and CRRT. The PopPK model was developed using the NONMEM program. Goodness-of-fit plots and bootstrap analysis were employed to evaluate the final model. Monte Carlo simulation was performed to explore the optimal dosage regimen with a target area under the curve of ≥400 mg/L h and 400–600 mg/L h., \nResults: Overall, 113 observations available from 71 patients were included in the PopPK model. The pharmacokinetics could be well illustrated by a one-compartment model with first-order elimination, with the 24-h urine volume as a significant covariate of clearance. The final typical clearance was 1.05 L/h, and the mean volume of distribution was 69.0 L. For patients with anuria or oliguria, a maintenance dosage regimen of 750 mg q12h is recommended., \nConclusion: Vancomycin pharmacokinetics in critically ill patients receiving CRRT were well described by the developed PopPK model, which incorporates 24-h urine volume as a covariate. This study will help to better understand vancomycin elimination and benefit precision dosing in these patients.","container-title":"Frontiers in Pharmacology","DOI":"10.3389/fphar.2023.1298397","ISSN":"1663-9812","journalAbbreviation":"Front Pharmacol","language":"en","note":"TLDR: A PopPK model of vancomycin that incorporates daily urine volume to better describe the elimination of vancomycin in critically ill patients receiving continuous renal replacement therapy (CRRT) is built, which incorporates 24-h urine volume as a covariate.\ntitleTranslation: </w:instrText>
            </w:r>
            <w:r>
              <w:rPr>
                <w:rFonts w:eastAsia="SimSun" w:cs="Times New Roman"/>
                <w:color w:val="000000"/>
                <w:sz w:val="20"/>
                <w:szCs w:val="20"/>
                <w:lang w:eastAsia="zh-CN"/>
              </w:rPr>
              <w:instrText>接受连续性肾脏替代治疗的危重症患者万古霉素的群体药代动力学和个体化给药：残余利尿的作用。</w:instrText>
            </w:r>
            <w:r>
              <w:rPr>
                <w:rFonts w:eastAsia="SimSun" w:cs="Times New Roman"/>
                <w:color w:val="000000"/>
                <w:sz w:val="20"/>
                <w:szCs w:val="20"/>
                <w:lang w:eastAsia="zh-CN"/>
              </w:rPr>
              <w:instrText xml:space="preserve">","page":"1298397","PMID":"38223197","PMCID":"PMC10785304","source":"PubMed Central","title":"Population pharmacokinetics and individualized dosing of vancomycin for critically ill patients receiving continuous renal replacement therapy: the role of residual diuresis","title-short":"Population pharmacokinetics and individualized dosing of vancomycin for critically ill patients receiving continuous renal replacement therapy","volume":"14","author":[{"family":"Yu","given":"Zhenwei"},{"family":"Liu","given":"Jieqiong"},{"family":"Yu","given":"Haitao"},{"family":"Zhou","given":"Ling"},{"family":"Zhu","given":"Jianping"},{"family":"Liang","given":"Gang"},{"family":"Yang","given":"Yi"},{"family":"Zheng","given":"Ying"},{"family":"Han","given":"Yun"},{"family":"Xu","given":"Junjun"},{"family":"Han","given":"Gang"},{"family":"Yu","given":"Lingyan"},{"family":"Zhao","given":"Yuhua"}],"issued":{"date-parts":[["2023",12,29]]}}}],"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shd w:val="clear" w:color="auto" w:fill="D9D9D9"/>
                <w:vertAlign w:val="superscript"/>
              </w:rPr>
              <w:t>26</w:t>
            </w:r>
            <w:r>
              <w:rPr>
                <w:rFonts w:eastAsia="SimSun" w:cs="Times New Roman"/>
                <w:color w:val="000000"/>
                <w:sz w:val="20"/>
                <w:szCs w:val="20"/>
              </w:rPr>
              <w:fldChar w:fldCharType="end"/>
            </w:r>
          </w:p>
        </w:tc>
        <w:tc>
          <w:tcPr>
            <w:tcW w:w="1050" w:type="dxa"/>
            <w:tcBorders>
              <w:top w:val="nil"/>
              <w:left w:val="nil"/>
              <w:bottom w:val="nil"/>
              <w:right w:val="nil"/>
            </w:tcBorders>
            <w:vAlign w:val="center"/>
          </w:tcPr>
          <w:p w14:paraId="0BACBC3F" w14:textId="77777777" w:rsidR="00857A7C" w:rsidRDefault="00000000">
            <w:pPr>
              <w:spacing w:after="0" w:line="480" w:lineRule="auto"/>
              <w:rPr>
                <w:sz w:val="20"/>
                <w:szCs w:val="28"/>
              </w:rPr>
            </w:pPr>
            <w:r>
              <w:rPr>
                <w:sz w:val="20"/>
                <w:szCs w:val="28"/>
              </w:rPr>
              <w:t>24-h UV</w:t>
            </w:r>
          </w:p>
        </w:tc>
        <w:tc>
          <w:tcPr>
            <w:tcW w:w="1127" w:type="dxa"/>
            <w:tcBorders>
              <w:top w:val="nil"/>
              <w:left w:val="nil"/>
              <w:bottom w:val="nil"/>
              <w:right w:val="nil"/>
            </w:tcBorders>
            <w:vAlign w:val="center"/>
          </w:tcPr>
          <w:p w14:paraId="7CBE63C5"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2F06872F" w14:textId="77777777" w:rsidR="00857A7C" w:rsidRDefault="00000000">
            <w:pPr>
              <w:spacing w:after="0" w:line="480" w:lineRule="auto"/>
              <w:rPr>
                <w:sz w:val="20"/>
                <w:szCs w:val="28"/>
              </w:rPr>
            </w:pPr>
            <w:r>
              <w:rPr>
                <w:sz w:val="20"/>
                <w:szCs w:val="28"/>
              </w:rPr>
              <w:t>Critically ill adults receiving CRRT</w:t>
            </w:r>
          </w:p>
        </w:tc>
        <w:tc>
          <w:tcPr>
            <w:tcW w:w="1252" w:type="dxa"/>
            <w:tcBorders>
              <w:top w:val="nil"/>
              <w:left w:val="nil"/>
              <w:bottom w:val="nil"/>
              <w:right w:val="nil"/>
            </w:tcBorders>
            <w:vAlign w:val="center"/>
          </w:tcPr>
          <w:p w14:paraId="287CF16A" w14:textId="77777777" w:rsidR="00857A7C" w:rsidRDefault="00000000">
            <w:pPr>
              <w:spacing w:after="0" w:line="480" w:lineRule="auto"/>
              <w:rPr>
                <w:sz w:val="20"/>
                <w:szCs w:val="28"/>
              </w:rPr>
            </w:pPr>
            <w:r>
              <w:rPr>
                <w:sz w:val="20"/>
                <w:szCs w:val="28"/>
              </w:rPr>
              <w:t>160 mL/day</w:t>
            </w:r>
          </w:p>
        </w:tc>
        <w:tc>
          <w:tcPr>
            <w:tcW w:w="1252" w:type="dxa"/>
            <w:tcBorders>
              <w:top w:val="nil"/>
              <w:left w:val="nil"/>
              <w:bottom w:val="nil"/>
              <w:right w:val="nil"/>
            </w:tcBorders>
            <w:vAlign w:val="center"/>
          </w:tcPr>
          <w:p w14:paraId="5C463317" w14:textId="77777777" w:rsidR="00857A7C" w:rsidRDefault="00000000">
            <w:pPr>
              <w:spacing w:after="0" w:line="480" w:lineRule="auto"/>
              <w:rPr>
                <w:sz w:val="20"/>
                <w:szCs w:val="28"/>
              </w:rPr>
            </w:pPr>
            <w:r>
              <w:rPr>
                <w:sz w:val="20"/>
                <w:szCs w:val="28"/>
              </w:rPr>
              <w:t>0 mL/day</w:t>
            </w:r>
          </w:p>
        </w:tc>
        <w:tc>
          <w:tcPr>
            <w:tcW w:w="1252" w:type="dxa"/>
            <w:tcBorders>
              <w:top w:val="nil"/>
              <w:left w:val="nil"/>
              <w:bottom w:val="nil"/>
              <w:right w:val="nil"/>
            </w:tcBorders>
            <w:vAlign w:val="center"/>
          </w:tcPr>
          <w:p w14:paraId="0C22F36B" w14:textId="77777777" w:rsidR="00857A7C" w:rsidRDefault="00000000">
            <w:pPr>
              <w:spacing w:after="0" w:line="480" w:lineRule="auto"/>
              <w:rPr>
                <w:sz w:val="20"/>
                <w:szCs w:val="28"/>
              </w:rPr>
            </w:pPr>
            <w:r>
              <w:rPr>
                <w:sz w:val="20"/>
                <w:szCs w:val="28"/>
              </w:rPr>
              <w:t>780 mL/day</w:t>
            </w:r>
          </w:p>
        </w:tc>
        <w:tc>
          <w:tcPr>
            <w:tcW w:w="1005" w:type="dxa"/>
            <w:tcBorders>
              <w:top w:val="nil"/>
              <w:left w:val="nil"/>
              <w:bottom w:val="nil"/>
              <w:right w:val="nil"/>
            </w:tcBorders>
            <w:vAlign w:val="center"/>
          </w:tcPr>
          <w:p w14:paraId="33E0FF3A" w14:textId="77777777" w:rsidR="00857A7C" w:rsidRDefault="00000000">
            <w:pPr>
              <w:spacing w:after="0" w:line="480" w:lineRule="auto"/>
              <w:jc w:val="center"/>
              <w:rPr>
                <w:sz w:val="20"/>
                <w:szCs w:val="28"/>
              </w:rPr>
            </w:pPr>
            <w:r>
              <w:rPr>
                <w:sz w:val="20"/>
                <w:szCs w:val="28"/>
              </w:rPr>
              <w:t>0.45–1.54</w:t>
            </w:r>
          </w:p>
        </w:tc>
      </w:tr>
      <w:tr w:rsidR="00857A7C" w14:paraId="7083A668" w14:textId="77777777">
        <w:trPr>
          <w:jc w:val="center"/>
        </w:trPr>
        <w:tc>
          <w:tcPr>
            <w:tcW w:w="1381" w:type="dxa"/>
            <w:tcBorders>
              <w:top w:val="nil"/>
              <w:left w:val="nil"/>
              <w:bottom w:val="nil"/>
              <w:right w:val="nil"/>
            </w:tcBorders>
            <w:vAlign w:val="center"/>
          </w:tcPr>
          <w:p w14:paraId="3C3F22C4" w14:textId="77777777" w:rsidR="00857A7C" w:rsidRDefault="00000000">
            <w:pPr>
              <w:spacing w:after="0" w:line="480" w:lineRule="auto"/>
              <w:rPr>
                <w:rFonts w:cs="Times New Roman"/>
                <w:sz w:val="20"/>
                <w:szCs w:val="20"/>
              </w:rPr>
            </w:pPr>
            <w:r>
              <w:rPr>
                <w:rFonts w:eastAsia="SimSun" w:cs="Times New Roman"/>
                <w:color w:val="000000"/>
                <w:sz w:val="20"/>
                <w:szCs w:val="20"/>
                <w:lang w:eastAsia="zh-CN"/>
              </w:rPr>
              <w:lastRenderedPageBreak/>
              <w:t>Wang</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{"citationID":"o3eW5fxe","properties":{"unsorted":false,"formattedCitation":"\\super 15\\nosupersub{}","plainCitation":"15","noteIndex":0},"citationItems":[{"id":117,"uris":["http://zotero.org/users/local/5zxoZT6d/items/8ATQ9Q6U"],"itemData":{"id":117,"type":"article-journal","abstract":"STUDY OBJECTIVE: Few studies have been conducted to quantify the exposure target of vancomycin in intensive care unit (ICU) patients undergoing continuous renal replacement therapy (CRRT) and provide optimized dosage regimens. We aimed to determine vancomycin exposure target and dosing recommendations using data from an open database in critically ill patients undergoing CRRT.\nDESIGN: A retrospective observational cohort study.\nDATA SOURCE: A large public database.\nPATIENTS: The adult patients who received intravenous vancomycin and CRRT treatment in the database between 2017 and 2019 were reviewed to determine eligibility. A total of 180 patients with 1186 observations were included in the population pharmacokinetic (PPK) model development. The clinical efficacy of vancomycin was analyzed in 159 eligible patients.\nMETHODS: A PPK model was developed to estimate individual pharmacokinetic (PK) parameters. The area under the concentration-time curve (AUC) was estimated by a Bayesian approach based on individual vancomycin concentrations. Multivariate logistic regression analyses were performed to identify the factors of clinical outcomes. Threshold of vancomycin exposure in predicting efficacy was identified via receiver operating characteristic (ROC) curve. Dosing recommendations were designed using Monte Carlo Simulations (MCS) based on the optimized exposure target.\nMEASUREMENTS AND MAIN RESULTS: On covariate analysis, CRRT intensity significantly affected vancomycin PK. The AUC above 427 mg*h/L was the only significant predictor of clinical efficacy (adjusted odds ratio (aOR): 1.008, 95% confidence interval (CI): 1.004-1.011, p = 0.000). MCS indicated that vancomycin dosage regimens of 5 mg/kg q12h or 7.5 mg/kg q12h were recommended for patients with CRRT intensities of 20-25 mL/kg/h or 25.1-45 mL/kg/h, respectively.\nCONCLUSIONS: An AUC threshold of 427 mg*h/L (assuming the minimal inhibitory concentration (MIC) = 1 mg/L) was a recommended efficacy exposure target of vancomycin for critically ill patients undergoing CRRT. Vancomycin 5-7.5 mg/kg q12h is recommended as the initial dosage regimens for ICU patients undergoing CRRT.","container-title":"Pharmacotherapy","DOI":"10.1002/phar.2771","ISSN":"1875-9114","issue":"3","journalAbbreviation":"Pharmacotherapy","language":"en","note":"TLDR: The exposure target of vancomycin in intensive care unit (ICU) patients undergoing continuous renal replacement therapy (CRRT) is determined using data from an open database in critically ill patients undergoing CRRT.\ntitleTranslation: </w:instrText>
            </w:r>
            <w:r>
              <w:rPr>
                <w:rFonts w:eastAsia="SimSun" w:cs="Times New Roman"/>
                <w:color w:val="000000"/>
                <w:sz w:val="20"/>
                <w:szCs w:val="20"/>
                <w:lang w:eastAsia="zh-CN"/>
              </w:rPr>
              <w:instrText>重症患者连续性肾脏替代治疗万古霉素暴露目标的确定及个体化给药建议。</w:instrText>
            </w:r>
            <w:r>
              <w:rPr>
                <w:rFonts w:eastAsia="SimSun" w:cs="Times New Roman"/>
                <w:color w:val="000000"/>
                <w:sz w:val="20"/>
                <w:szCs w:val="20"/>
                <w:lang w:eastAsia="zh-CN"/>
              </w:rPr>
              <w:instrText xml:space="preserve">","page":"180-188","PMID":"36714991","source":"PubMed","title":"Determination of vancomycin exposure target and individualized dosing recommendations for critically ill patients undergoing continuous renal replacement therapy","volume":"43","author":[{"family":"Wang","given":"Chuhui"},{"family":"Chen","given":"Jiaojiao"},{"family":"Yang","given":"Bo"},{"family":"Li","given":"Sihan"},{"family":"Zhang","given":"Yiran"},{"family":"Chen","given":"Lei"},{"family":"Wang","given":"Taotao"},{"family":"Dong","given":"Yalin"}],"issued":{"date-parts":[["2023",3]]}}}],"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shd w:val="clear" w:color="auto" w:fill="D9D9D9"/>
                <w:vertAlign w:val="superscript"/>
              </w:rPr>
              <w:t>15</w:t>
            </w:r>
            <w:r>
              <w:rPr>
                <w:rFonts w:eastAsia="SimSun" w:cs="Times New Roman"/>
                <w:color w:val="000000"/>
                <w:sz w:val="20"/>
                <w:szCs w:val="20"/>
                <w:lang w:eastAsia="zh-CN"/>
              </w:rPr>
              <w:fldChar w:fldCharType="end"/>
            </w:r>
          </w:p>
        </w:tc>
        <w:tc>
          <w:tcPr>
            <w:tcW w:w="1050" w:type="dxa"/>
            <w:tcBorders>
              <w:top w:val="nil"/>
              <w:left w:val="nil"/>
              <w:bottom w:val="nil"/>
              <w:right w:val="nil"/>
            </w:tcBorders>
            <w:vAlign w:val="center"/>
          </w:tcPr>
          <w:p w14:paraId="5D25992F" w14:textId="77777777" w:rsidR="00857A7C" w:rsidRDefault="00000000">
            <w:pPr>
              <w:spacing w:after="0" w:line="480" w:lineRule="auto"/>
              <w:rPr>
                <w:sz w:val="20"/>
                <w:szCs w:val="28"/>
              </w:rPr>
            </w:pPr>
            <w:r>
              <w:rPr>
                <w:sz w:val="20"/>
                <w:szCs w:val="28"/>
              </w:rPr>
              <w:t>Weight</w:t>
            </w:r>
          </w:p>
        </w:tc>
        <w:tc>
          <w:tcPr>
            <w:tcW w:w="1127" w:type="dxa"/>
            <w:tcBorders>
              <w:top w:val="nil"/>
              <w:left w:val="nil"/>
              <w:bottom w:val="nil"/>
              <w:right w:val="nil"/>
            </w:tcBorders>
            <w:vAlign w:val="center"/>
          </w:tcPr>
          <w:p w14:paraId="06729411"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74A70A8B" w14:textId="77777777" w:rsidR="00857A7C" w:rsidRDefault="00000000">
            <w:pPr>
              <w:spacing w:after="0" w:line="480" w:lineRule="auto"/>
              <w:rPr>
                <w:sz w:val="20"/>
                <w:szCs w:val="28"/>
              </w:rPr>
            </w:pPr>
            <w:r>
              <w:rPr>
                <w:sz w:val="20"/>
                <w:szCs w:val="28"/>
              </w:rPr>
              <w:t>ICU patients receiving CRRT</w:t>
            </w:r>
          </w:p>
        </w:tc>
        <w:tc>
          <w:tcPr>
            <w:tcW w:w="1252" w:type="dxa"/>
            <w:tcBorders>
              <w:top w:val="nil"/>
              <w:left w:val="nil"/>
              <w:bottom w:val="nil"/>
              <w:right w:val="nil"/>
            </w:tcBorders>
            <w:vAlign w:val="center"/>
          </w:tcPr>
          <w:p w14:paraId="474C6371" w14:textId="77777777" w:rsidR="00857A7C" w:rsidRDefault="00000000">
            <w:pPr>
              <w:spacing w:after="0" w:line="480" w:lineRule="auto"/>
              <w:rPr>
                <w:sz w:val="20"/>
                <w:szCs w:val="28"/>
              </w:rPr>
            </w:pPr>
            <w:r>
              <w:rPr>
                <w:sz w:val="20"/>
                <w:szCs w:val="28"/>
              </w:rPr>
              <w:t>70 kg</w:t>
            </w:r>
          </w:p>
        </w:tc>
        <w:tc>
          <w:tcPr>
            <w:tcW w:w="1252" w:type="dxa"/>
            <w:tcBorders>
              <w:top w:val="nil"/>
              <w:left w:val="nil"/>
              <w:bottom w:val="nil"/>
              <w:right w:val="nil"/>
            </w:tcBorders>
            <w:vAlign w:val="center"/>
          </w:tcPr>
          <w:p w14:paraId="588FC416" w14:textId="77777777" w:rsidR="00857A7C" w:rsidRDefault="00000000">
            <w:pPr>
              <w:spacing w:after="0" w:line="480" w:lineRule="auto"/>
              <w:rPr>
                <w:sz w:val="20"/>
                <w:szCs w:val="28"/>
              </w:rPr>
            </w:pPr>
            <w:r>
              <w:rPr>
                <w:sz w:val="20"/>
                <w:szCs w:val="28"/>
              </w:rPr>
              <w:t>50 kg</w:t>
            </w:r>
          </w:p>
        </w:tc>
        <w:tc>
          <w:tcPr>
            <w:tcW w:w="1252" w:type="dxa"/>
            <w:tcBorders>
              <w:top w:val="nil"/>
              <w:left w:val="nil"/>
              <w:bottom w:val="nil"/>
              <w:right w:val="nil"/>
            </w:tcBorders>
            <w:vAlign w:val="center"/>
          </w:tcPr>
          <w:p w14:paraId="1E625843" w14:textId="77777777" w:rsidR="00857A7C" w:rsidRDefault="00000000">
            <w:pPr>
              <w:spacing w:after="0" w:line="480" w:lineRule="auto"/>
              <w:rPr>
                <w:sz w:val="20"/>
                <w:szCs w:val="28"/>
              </w:rPr>
            </w:pPr>
            <w:r>
              <w:rPr>
                <w:sz w:val="20"/>
                <w:szCs w:val="28"/>
              </w:rPr>
              <w:t>100 kg</w:t>
            </w:r>
          </w:p>
        </w:tc>
        <w:tc>
          <w:tcPr>
            <w:tcW w:w="1005" w:type="dxa"/>
            <w:tcBorders>
              <w:top w:val="nil"/>
              <w:left w:val="nil"/>
              <w:bottom w:val="nil"/>
              <w:right w:val="nil"/>
            </w:tcBorders>
            <w:vAlign w:val="center"/>
          </w:tcPr>
          <w:p w14:paraId="3DE0B4C4" w14:textId="77777777" w:rsidR="00857A7C" w:rsidRDefault="00000000">
            <w:pPr>
              <w:spacing w:after="0" w:line="480" w:lineRule="auto"/>
              <w:jc w:val="center"/>
              <w:rPr>
                <w:sz w:val="20"/>
                <w:szCs w:val="28"/>
              </w:rPr>
            </w:pPr>
            <w:r>
              <w:rPr>
                <w:sz w:val="20"/>
                <w:szCs w:val="28"/>
              </w:rPr>
              <w:t>0.76–1.33</w:t>
            </w:r>
          </w:p>
        </w:tc>
      </w:tr>
      <w:tr w:rsidR="00857A7C" w14:paraId="125CE6C5" w14:textId="77777777">
        <w:trPr>
          <w:jc w:val="center"/>
        </w:trPr>
        <w:tc>
          <w:tcPr>
            <w:tcW w:w="1381" w:type="dxa"/>
            <w:tcBorders>
              <w:top w:val="nil"/>
              <w:left w:val="nil"/>
              <w:bottom w:val="nil"/>
              <w:right w:val="nil"/>
            </w:tcBorders>
            <w:vAlign w:val="center"/>
          </w:tcPr>
          <w:p w14:paraId="0593D082" w14:textId="77777777" w:rsidR="00857A7C" w:rsidRDefault="00000000">
            <w:pPr>
              <w:spacing w:after="0" w:line="480" w:lineRule="auto"/>
              <w:rPr>
                <w:rFonts w:cs="Times New Roman"/>
                <w:sz w:val="20"/>
                <w:szCs w:val="20"/>
              </w:rPr>
            </w:pPr>
            <w:r>
              <w:rPr>
                <w:rFonts w:eastAsia="SimSun" w:cs="Times New Roman"/>
                <w:color w:val="000000"/>
                <w:sz w:val="20"/>
                <w:szCs w:val="20"/>
                <w:lang w:eastAsia="zh-CN"/>
              </w:rPr>
              <w:t>Bang JY</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{"citationID":"MBbr3oyv","properties":{"unsorted":false,"formattedCitation":"\\super 14\\nosupersub{}","plainCitation":"14","noteIndex":0},"citationItems":[{"id":85,"uris":["http://zotero.org/users/local/5zxoZT6d/items/WF7WYAZM"],"itemData":{"id":85,"type":"article-journal","abstract":"The aim of this prospective study was to construct a new pharmacokinetic model of vancomycin for target-concentration controlled infusion (TCI). As the first loading dose, 25 mg/kg of vancomycin was administered during 60–90 min. Arterial blood samples were obtained at pre-set intervals to measure the serum concentrations of vancomycin. Population pharmacokinetic analysis was performed using the NONMEM software (ICON Development Solutions). In total, 197 serum concentration measurements from 22 patients were used to characterise the pharmacokinetics of vancomycin. A three-compartment mammillary model best described the pharmacokinetics of vancomycin in critically ill patients. The ideal body weight was a significant covariate for the central and slow peripheral volume of distribution. The weight and age converted to categorical variables at a cut-off of 65 years were a significant covariate for the clearance. Based on the results of stochastic simulation, the TCI method maintained the therapeutic concentration range for the longest duration. In addition, assuming that vancomycin was administered by the TCI method for 7 days, the dose was reduced by about 15% compared with the standard administration methods. The daily area under the curve values were maintained between 500 mg·h/L and 600 mg·h/L. TCI has the potential to become a new infusion method for patient- tailored dosing in critically ill patients. To administer vancomycin via TCI in clinical practice, the newly constructed pharmacokinetic model should undergo proper external validation.","container-title":"Clinical and Experimental Pharmacology and Physiology","DOI":"10.1111/1440-1681.13597","ISSN":"0305-1870, 1440-1681","issue":"2","journalAbbreviation":"Clin. Exp. Pharmacol. Physiol.","language":"en","note":"TLDR: TCI has the potential to become a new infusion method for patient‐tailored dosing in critically ill patients and to administer vancomycin via TCI in clinical practice, the newly constructed pharmacokinetic model should undergo proper external validation.\ntitleTranslation: </w:instrText>
            </w:r>
            <w:r>
              <w:rPr>
                <w:rFonts w:eastAsia="SimSun" w:cs="Times New Roman"/>
                <w:color w:val="000000"/>
                <w:sz w:val="20"/>
                <w:szCs w:val="20"/>
                <w:lang w:eastAsia="zh-CN"/>
              </w:rPr>
              <w:instrText>重症患者万古霉素靶浓度控制输注药动学新模型的建立。</w:instrText>
            </w:r>
            <w:r>
              <w:rPr>
                <w:rFonts w:eastAsia="SimSun" w:cs="Times New Roman"/>
                <w:color w:val="000000"/>
                <w:sz w:val="20"/>
                <w:szCs w:val="20"/>
                <w:lang w:eastAsia="zh-CN"/>
              </w:rPr>
              <w:instrText xml:space="preserve">","page":"202-211","source":"DOI.org (Crossref)","title":"Development of a new pharmacokinetic model for target-concentration controlled infusion of vancomycin in critically ill patients","volume":"49","author":[{"family":"Bang","given":"Ji-Yeon"},{"family":"Kang","given":"Hyun Il"},{"family":"Lee","given":"Hak-Jae"},{"family":"Chong","given":"Yong Pil"},{"family":"Hong","given":"Suk-Kyung"},{"family":"Lee","given":"Eun-Kyung"},{"family":"Choi","given":"Byung-Moon"},{"family":"Noh","given":"Gyu-Jeong"}],"issued":{"date-parts":[["2022",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shd w:val="clear" w:color="auto" w:fill="D9D9D9"/>
                <w:vertAlign w:val="superscript"/>
              </w:rPr>
              <w:t>14</w:t>
            </w:r>
            <w:r>
              <w:rPr>
                <w:rFonts w:eastAsia="SimSun" w:cs="Times New Roman"/>
                <w:color w:val="000000"/>
                <w:sz w:val="20"/>
                <w:szCs w:val="20"/>
                <w:lang w:eastAsia="zh-CN"/>
              </w:rPr>
              <w:fldChar w:fldCharType="end"/>
            </w:r>
          </w:p>
        </w:tc>
        <w:tc>
          <w:tcPr>
            <w:tcW w:w="1050" w:type="dxa"/>
            <w:tcBorders>
              <w:top w:val="nil"/>
              <w:left w:val="nil"/>
              <w:bottom w:val="nil"/>
              <w:right w:val="nil"/>
            </w:tcBorders>
            <w:vAlign w:val="center"/>
          </w:tcPr>
          <w:p w14:paraId="12B2ADEC" w14:textId="77777777" w:rsidR="00857A7C" w:rsidRDefault="00000000">
            <w:pPr>
              <w:spacing w:after="0" w:line="480" w:lineRule="auto"/>
              <w:rPr>
                <w:sz w:val="20"/>
                <w:szCs w:val="28"/>
              </w:rPr>
            </w:pPr>
            <w:r>
              <w:rPr>
                <w:sz w:val="20"/>
                <w:szCs w:val="28"/>
              </w:rPr>
              <w:t>Age</w:t>
            </w:r>
          </w:p>
        </w:tc>
        <w:tc>
          <w:tcPr>
            <w:tcW w:w="1127" w:type="dxa"/>
            <w:tcBorders>
              <w:top w:val="nil"/>
              <w:left w:val="nil"/>
              <w:bottom w:val="nil"/>
              <w:right w:val="nil"/>
            </w:tcBorders>
            <w:vAlign w:val="center"/>
          </w:tcPr>
          <w:p w14:paraId="6BC6EE07" w14:textId="77777777" w:rsidR="00857A7C" w:rsidRDefault="00000000">
            <w:pPr>
              <w:spacing w:after="0" w:line="480" w:lineRule="auto"/>
              <w:rPr>
                <w:sz w:val="20"/>
                <w:szCs w:val="28"/>
              </w:rPr>
            </w:pPr>
            <w:r>
              <w:rPr>
                <w:sz w:val="20"/>
                <w:szCs w:val="28"/>
              </w:rPr>
              <w:t>Categorical branch contrast</w:t>
            </w:r>
          </w:p>
        </w:tc>
        <w:tc>
          <w:tcPr>
            <w:tcW w:w="1257" w:type="dxa"/>
            <w:tcBorders>
              <w:top w:val="nil"/>
              <w:left w:val="nil"/>
              <w:bottom w:val="nil"/>
              <w:right w:val="nil"/>
            </w:tcBorders>
            <w:vAlign w:val="center"/>
          </w:tcPr>
          <w:p w14:paraId="49A684B1" w14:textId="77777777" w:rsidR="00857A7C" w:rsidRDefault="00000000">
            <w:pPr>
              <w:spacing w:after="0" w:line="480" w:lineRule="auto"/>
              <w:rPr>
                <w:sz w:val="20"/>
                <w:szCs w:val="28"/>
              </w:rPr>
            </w:pPr>
            <w:r>
              <w:rPr>
                <w:sz w:val="20"/>
                <w:szCs w:val="28"/>
              </w:rPr>
              <w:t>Critically ill adults</w:t>
            </w:r>
          </w:p>
        </w:tc>
        <w:tc>
          <w:tcPr>
            <w:tcW w:w="1252" w:type="dxa"/>
            <w:tcBorders>
              <w:top w:val="nil"/>
              <w:left w:val="nil"/>
              <w:bottom w:val="nil"/>
              <w:right w:val="nil"/>
            </w:tcBorders>
            <w:vAlign w:val="center"/>
          </w:tcPr>
          <w:p w14:paraId="143D67C6" w14:textId="77777777" w:rsidR="00857A7C" w:rsidRDefault="00000000">
            <w:pPr>
              <w:spacing w:after="0" w:line="480" w:lineRule="auto"/>
              <w:rPr>
                <w:sz w:val="20"/>
                <w:szCs w:val="28"/>
              </w:rPr>
            </w:pPr>
            <w:r>
              <w:rPr>
                <w:sz w:val="20"/>
                <w:szCs w:val="28"/>
              </w:rPr>
              <w:t>Age &lt;65 years at study-typical weight 62.9 kg</w:t>
            </w:r>
          </w:p>
        </w:tc>
        <w:tc>
          <w:tcPr>
            <w:tcW w:w="1252" w:type="dxa"/>
            <w:tcBorders>
              <w:top w:val="nil"/>
              <w:left w:val="nil"/>
              <w:bottom w:val="nil"/>
              <w:right w:val="nil"/>
            </w:tcBorders>
            <w:vAlign w:val="center"/>
          </w:tcPr>
          <w:p w14:paraId="12C2D8DF" w14:textId="77777777" w:rsidR="00857A7C" w:rsidRDefault="00000000">
            <w:pPr>
              <w:spacing w:after="0" w:line="480" w:lineRule="auto"/>
              <w:rPr>
                <w:sz w:val="20"/>
                <w:szCs w:val="28"/>
              </w:rPr>
            </w:pPr>
            <w:r>
              <w:rPr>
                <w:sz w:val="20"/>
                <w:szCs w:val="28"/>
              </w:rPr>
              <w:t>Age ≥65 years at 62.9 kg</w:t>
            </w:r>
          </w:p>
        </w:tc>
        <w:tc>
          <w:tcPr>
            <w:tcW w:w="1252" w:type="dxa"/>
            <w:tcBorders>
              <w:top w:val="nil"/>
              <w:left w:val="nil"/>
              <w:bottom w:val="nil"/>
              <w:right w:val="nil"/>
            </w:tcBorders>
            <w:vAlign w:val="center"/>
          </w:tcPr>
          <w:p w14:paraId="5806907E" w14:textId="77777777" w:rsidR="00857A7C" w:rsidRDefault="00000000">
            <w:pPr>
              <w:spacing w:after="0" w:line="480" w:lineRule="auto"/>
              <w:rPr>
                <w:sz w:val="20"/>
                <w:szCs w:val="28"/>
              </w:rPr>
            </w:pPr>
            <w:r>
              <w:rPr>
                <w:sz w:val="20"/>
                <w:szCs w:val="28"/>
              </w:rPr>
              <w:t>—</w:t>
            </w:r>
          </w:p>
        </w:tc>
        <w:tc>
          <w:tcPr>
            <w:tcW w:w="1005" w:type="dxa"/>
            <w:tcBorders>
              <w:top w:val="nil"/>
              <w:left w:val="nil"/>
              <w:bottom w:val="nil"/>
              <w:right w:val="nil"/>
            </w:tcBorders>
            <w:vAlign w:val="center"/>
          </w:tcPr>
          <w:p w14:paraId="0EE2156E" w14:textId="77777777" w:rsidR="00857A7C" w:rsidRDefault="00000000">
            <w:pPr>
              <w:spacing w:after="0" w:line="480" w:lineRule="auto"/>
              <w:jc w:val="center"/>
              <w:rPr>
                <w:sz w:val="20"/>
                <w:szCs w:val="28"/>
              </w:rPr>
            </w:pPr>
            <w:r>
              <w:rPr>
                <w:sz w:val="20"/>
                <w:szCs w:val="28"/>
              </w:rPr>
              <w:t>0.69–1.00</w:t>
            </w:r>
          </w:p>
        </w:tc>
      </w:tr>
      <w:tr w:rsidR="00857A7C" w14:paraId="37DEA109" w14:textId="77777777">
        <w:trPr>
          <w:jc w:val="center"/>
        </w:trPr>
        <w:tc>
          <w:tcPr>
            <w:tcW w:w="1381" w:type="dxa"/>
            <w:tcBorders>
              <w:top w:val="nil"/>
              <w:left w:val="nil"/>
              <w:bottom w:val="nil"/>
              <w:right w:val="nil"/>
            </w:tcBorders>
            <w:vAlign w:val="center"/>
          </w:tcPr>
          <w:p w14:paraId="110DC3D3" w14:textId="77777777" w:rsidR="00857A7C" w:rsidRDefault="00000000">
            <w:pPr>
              <w:spacing w:after="0" w:line="480" w:lineRule="auto"/>
              <w:rPr>
                <w:rFonts w:cs="Times New Roman"/>
                <w:sz w:val="20"/>
                <w:szCs w:val="20"/>
              </w:rPr>
            </w:pPr>
            <w:r>
              <w:rPr>
                <w:rFonts w:eastAsia="SimSun" w:cs="Times New Roman"/>
                <w:color w:val="000000"/>
                <w:sz w:val="20"/>
                <w:szCs w:val="20"/>
              </w:rPr>
              <w:t>Revilla</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{"citationID":"Fnq3DA6e","properties":{"unsorted":false,"formattedCitation":"\\super 18\\nosupersub{}","plainCitation":"18","noteIndex":0},"citationItems":[{"id":415,"uris":["http://zotero.org/users/local/5zxoZT6d/items/5Z25IKSR"],"itemData":{"id":415,"type":"article-journal","abstract":"METHODS Five hundred and sixty-nine concentration–time data from 191 patients were analysed using a population pharmacokinetic approach (NONMEN™). External model evaluation was made in 46 additional patients. The 24 h area under the concentration–time curve (AUC(0,24 h)) was derived from the ﬁnal model. Minimum inhibitory concentration (MIC) values for S. aureus were obtained from the EUCAST database. AUC(0,24 h) : MIC 400 was considered as PK/PD efﬁcacy index. The probability of different dosages attaining the target considering different strains of S. aureus and patient subgroups was estimated with Monte Carlo simulation.\nRESULTS Vancomycin CL showed a signiﬁcant dependence on patient age and renal function whereas CrSe &gt; 1 mg dl-1 increased V more than twofold. For our representative ICU patient, 61 years, 73 kg, CrSe = 1.4 mg dl-1, measured CLCr = 74.7 ml min-1, the estimated values were CL = 1.06 ml min-1 kg-1 and V = 2.04 l kg-1. The cumulative fraction of response for a standard vancomycin dose (2 g day-1) was less than 25% for VISA strains, and 33% to 95% for susceptible S. aureus, depending on patient characteristics.\nCONCLUSIONS Simulations provide useful information regarding the initial assessment of vancomycin dosing, the conventional dosing regimen probably being suboptimal in adult ICU patients. A graphic approach provides the recommended dose for any selected probability of attaining the PK/PD efﬁcacy target or to evaluate the cumulative fraction of response for any dosing regimen in this population. British Journal of Clinical","container-title":"British Journal of Clinical Pharmacology","DOI":"10.1111/j.1365-2125.2010.03679.x","ISSN":"0306-5251, 1365-2125","issue":"2","journalAbbreviation":"Br. J. Clin. Pharmacol.","language":"en","license":"http://onlinelibrary.wiley.com/termsAndConditions#vor","note":"titleTranslation: </w:instrText>
            </w:r>
            <w:r>
              <w:rPr>
                <w:rFonts w:eastAsia="SimSun" w:cs="Times New Roman"/>
                <w:color w:val="000000"/>
                <w:sz w:val="20"/>
                <w:szCs w:val="20"/>
                <w:lang w:eastAsia="zh-CN"/>
              </w:rPr>
              <w:instrText>基于群体药代动力学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药效学模拟的重症监护室患者万古霉素剂量评估</w:instrText>
            </w:r>
            <w:r>
              <w:rPr>
                <w:rFonts w:eastAsia="SimSun" w:cs="Times New Roman"/>
                <w:color w:val="000000"/>
                <w:sz w:val="20"/>
                <w:szCs w:val="20"/>
                <w:lang w:eastAsia="zh-CN"/>
              </w:rPr>
              <w:instrText xml:space="preserve">","page":"201-212","source":"sci-hub.sg","title":"Vancomycin dosing assessment in intensive care unit patients based on a population pharmacokinetic/pharmacodynamic simulation","volume":"70","author":[{"family":"Revilla","given":"Natalia"},{"family":"Martín-Suárez","given":"Ana"},{"family":"Pérez","given":"Marta Paz"},{"family":"González","given":"Félix Martín"},{"family":"Et.","given":"Al"}],"issued":{"date-parts":[["2010"]]}}}],"schema":"https://github.com/citation-style-language/schema/raw/master/csl-citation.json"}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shd w:val="clear" w:color="auto" w:fill="D9D9D9"/>
                <w:vertAlign w:val="superscript"/>
              </w:rPr>
              <w:t>18</w:t>
            </w:r>
            <w:r>
              <w:rPr>
                <w:rFonts w:eastAsia="SimSun" w:cs="Times New Roman"/>
                <w:color w:val="000000"/>
                <w:sz w:val="20"/>
                <w:szCs w:val="20"/>
              </w:rPr>
              <w:fldChar w:fldCharType="end"/>
            </w:r>
          </w:p>
        </w:tc>
        <w:tc>
          <w:tcPr>
            <w:tcW w:w="1050" w:type="dxa"/>
            <w:tcBorders>
              <w:top w:val="nil"/>
              <w:left w:val="nil"/>
              <w:bottom w:val="nil"/>
              <w:right w:val="nil"/>
            </w:tcBorders>
            <w:vAlign w:val="center"/>
          </w:tcPr>
          <w:p w14:paraId="581E283A" w14:textId="77777777" w:rsidR="00857A7C" w:rsidRDefault="00000000">
            <w:pPr>
              <w:spacing w:after="0" w:line="480" w:lineRule="auto"/>
              <w:rPr>
                <w:sz w:val="20"/>
                <w:szCs w:val="28"/>
              </w:rPr>
            </w:pPr>
            <w:r>
              <w:rPr>
                <w:sz w:val="20"/>
                <w:szCs w:val="28"/>
              </w:rPr>
              <w:t>CrCl</w:t>
            </w:r>
          </w:p>
        </w:tc>
        <w:tc>
          <w:tcPr>
            <w:tcW w:w="1127" w:type="dxa"/>
            <w:tcBorders>
              <w:top w:val="nil"/>
              <w:left w:val="nil"/>
              <w:bottom w:val="nil"/>
              <w:right w:val="nil"/>
            </w:tcBorders>
            <w:vAlign w:val="center"/>
          </w:tcPr>
          <w:p w14:paraId="17FA2A37"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73323E18" w14:textId="77777777" w:rsidR="00857A7C" w:rsidRDefault="00000000">
            <w:pPr>
              <w:spacing w:after="0" w:line="480" w:lineRule="auto"/>
              <w:rPr>
                <w:sz w:val="20"/>
                <w:szCs w:val="28"/>
              </w:rPr>
            </w:pPr>
            <w:r>
              <w:rPr>
                <w:sz w:val="20"/>
                <w:szCs w:val="28"/>
              </w:rPr>
              <w:t>ICU model-development cohort</w:t>
            </w:r>
          </w:p>
        </w:tc>
        <w:tc>
          <w:tcPr>
            <w:tcW w:w="1252" w:type="dxa"/>
            <w:tcBorders>
              <w:top w:val="nil"/>
              <w:left w:val="nil"/>
              <w:bottom w:val="nil"/>
              <w:right w:val="nil"/>
            </w:tcBorders>
            <w:vAlign w:val="center"/>
          </w:tcPr>
          <w:p w14:paraId="69850ECF" w14:textId="77777777" w:rsidR="00857A7C" w:rsidRDefault="00000000">
            <w:pPr>
              <w:spacing w:after="0" w:line="480" w:lineRule="auto"/>
              <w:rPr>
                <w:sz w:val="20"/>
                <w:szCs w:val="28"/>
              </w:rPr>
            </w:pPr>
            <w:r>
              <w:rPr>
                <w:sz w:val="20"/>
                <w:szCs w:val="28"/>
              </w:rPr>
              <w:t>90 mL/min</w:t>
            </w:r>
          </w:p>
        </w:tc>
        <w:tc>
          <w:tcPr>
            <w:tcW w:w="1252" w:type="dxa"/>
            <w:tcBorders>
              <w:top w:val="nil"/>
              <w:left w:val="nil"/>
              <w:bottom w:val="nil"/>
              <w:right w:val="nil"/>
            </w:tcBorders>
            <w:vAlign w:val="center"/>
          </w:tcPr>
          <w:p w14:paraId="30961136" w14:textId="77777777" w:rsidR="00857A7C" w:rsidRDefault="00000000">
            <w:pPr>
              <w:spacing w:after="0" w:line="480" w:lineRule="auto"/>
              <w:rPr>
                <w:sz w:val="20"/>
                <w:szCs w:val="28"/>
              </w:rPr>
            </w:pPr>
            <w:r>
              <w:rPr>
                <w:sz w:val="20"/>
                <w:szCs w:val="28"/>
              </w:rPr>
              <w:t>30 mL/min</w:t>
            </w:r>
          </w:p>
        </w:tc>
        <w:tc>
          <w:tcPr>
            <w:tcW w:w="1252" w:type="dxa"/>
            <w:tcBorders>
              <w:top w:val="nil"/>
              <w:left w:val="nil"/>
              <w:bottom w:val="nil"/>
              <w:right w:val="nil"/>
            </w:tcBorders>
            <w:vAlign w:val="center"/>
          </w:tcPr>
          <w:p w14:paraId="081F21AF" w14:textId="77777777" w:rsidR="00857A7C" w:rsidRDefault="00000000">
            <w:pPr>
              <w:spacing w:after="0" w:line="480" w:lineRule="auto"/>
              <w:rPr>
                <w:sz w:val="20"/>
                <w:szCs w:val="28"/>
              </w:rPr>
            </w:pPr>
            <w:r>
              <w:rPr>
                <w:sz w:val="20"/>
                <w:szCs w:val="28"/>
              </w:rPr>
              <w:t>120 mL/min</w:t>
            </w:r>
          </w:p>
        </w:tc>
        <w:tc>
          <w:tcPr>
            <w:tcW w:w="1005" w:type="dxa"/>
            <w:tcBorders>
              <w:top w:val="nil"/>
              <w:left w:val="nil"/>
              <w:bottom w:val="nil"/>
              <w:right w:val="nil"/>
            </w:tcBorders>
            <w:vAlign w:val="center"/>
          </w:tcPr>
          <w:p w14:paraId="2D5BDA9E" w14:textId="77777777" w:rsidR="00857A7C" w:rsidRDefault="00000000">
            <w:pPr>
              <w:spacing w:after="0" w:line="480" w:lineRule="auto"/>
              <w:jc w:val="center"/>
              <w:rPr>
                <w:sz w:val="20"/>
                <w:szCs w:val="28"/>
              </w:rPr>
            </w:pPr>
            <w:r>
              <w:rPr>
                <w:sz w:val="20"/>
                <w:szCs w:val="28"/>
              </w:rPr>
              <w:t>0.34–1.33</w:t>
            </w:r>
          </w:p>
        </w:tc>
      </w:tr>
      <w:tr w:rsidR="00857A7C" w14:paraId="76288C1D" w14:textId="77777777">
        <w:trPr>
          <w:jc w:val="center"/>
        </w:trPr>
        <w:tc>
          <w:tcPr>
            <w:tcW w:w="1381" w:type="dxa"/>
            <w:tcBorders>
              <w:top w:val="nil"/>
              <w:left w:val="nil"/>
              <w:bottom w:val="nil"/>
              <w:right w:val="nil"/>
            </w:tcBorders>
            <w:vAlign w:val="center"/>
          </w:tcPr>
          <w:p w14:paraId="6F011016" w14:textId="77777777" w:rsidR="00857A7C" w:rsidRDefault="00000000">
            <w:pPr>
              <w:spacing w:after="0" w:line="480" w:lineRule="auto"/>
              <w:rPr>
                <w:rFonts w:cs="Times New Roman"/>
                <w:sz w:val="20"/>
                <w:szCs w:val="20"/>
              </w:rPr>
            </w:pPr>
            <w:r>
              <w:rPr>
                <w:rFonts w:eastAsia="SimSun" w:cs="Times New Roman"/>
                <w:color w:val="000000"/>
                <w:sz w:val="20"/>
                <w:szCs w:val="20"/>
              </w:rPr>
              <w:t>Escobar L</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{"citationID":"9ZikoKkY","properties":{"unsorted":false,"formattedCitation":"\\super 8\\nosupersub{}","plainCitation":"8","noteIndex":0},"citationItems":[{"id":621,"uris":["http://zotero.org/users/local/5zxoZT6d/items/AUTM56XJ"],"itemData":{"id":621,"type":"article-journal","container-title":"International Journal of Antimicrobial Agents","DOI":"10.1016/j.ijantimicag.2014.03.009","ISSN":"09248579","issue":"2","journalAbbreviation":"Int. J. Antimicrob. Agents","language":"en","note":"titleTranslation: </w:instrText>
            </w:r>
            <w:r>
              <w:rPr>
                <w:rFonts w:eastAsia="SimSun" w:cs="Times New Roman"/>
                <w:color w:val="000000"/>
                <w:sz w:val="20"/>
                <w:szCs w:val="20"/>
                <w:lang w:eastAsia="zh-CN"/>
              </w:rPr>
              <w:instrText>高容量血液滤过过程中重症患者体内万古霉素的群体药代动力学和剂量模拟</w:instrText>
            </w:r>
            <w:r>
              <w:rPr>
                <w:rFonts w:eastAsia="SimSun" w:cs="Times New Roman"/>
                <w:color w:val="000000"/>
                <w:sz w:val="20"/>
                <w:szCs w:val="20"/>
                <w:lang w:eastAsia="zh-CN"/>
              </w:rPr>
              <w:instrText xml:space="preserve">","page":"163-167","source":"DOI.org (Crossref)","title":"Population pharmacokinetics and dose simulation of vancomycin in critically ill patients during high-volume haemofiltration","volume":"44","author":[{"family":"Escobar","given":"Leslie"},{"family":"Andresen","given":"Max"},{"family":"Downey","given":"Patricio"},{"family":"Gai","given":"Maria Nella"},{"family":"Regueira","given":"Tomás"},{"family":"Bórquez","given":"Tamara"},{"family":"Lipman","given":"Jeffrey"},{"family":"Roberts","given":"Jason A."}],"issued":{"date-parts":[["2014"]]}}}],"schema":"https://github.com/citation-style-language/schema/raw/master/csl-citation.json"}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shd w:val="clear" w:color="auto" w:fill="D9D9D9"/>
                <w:vertAlign w:val="superscript"/>
              </w:rPr>
              <w:t>8</w:t>
            </w:r>
            <w:r>
              <w:rPr>
                <w:rFonts w:eastAsia="SimSun" w:cs="Times New Roman"/>
                <w:color w:val="000000"/>
                <w:sz w:val="20"/>
                <w:szCs w:val="20"/>
                <w:lang w:eastAsia="zh-CN"/>
              </w:rPr>
              <w:fldChar w:fldCharType="end"/>
            </w:r>
          </w:p>
        </w:tc>
        <w:tc>
          <w:tcPr>
            <w:tcW w:w="1050" w:type="dxa"/>
            <w:tcBorders>
              <w:top w:val="nil"/>
              <w:left w:val="nil"/>
              <w:bottom w:val="nil"/>
              <w:right w:val="nil"/>
            </w:tcBorders>
            <w:vAlign w:val="center"/>
          </w:tcPr>
          <w:p w14:paraId="16D30532" w14:textId="77777777" w:rsidR="00857A7C" w:rsidRDefault="00000000">
            <w:pPr>
              <w:spacing w:after="0" w:line="480" w:lineRule="auto"/>
              <w:rPr>
                <w:sz w:val="20"/>
                <w:szCs w:val="28"/>
              </w:rPr>
            </w:pPr>
            <w:r>
              <w:rPr>
                <w:sz w:val="20"/>
                <w:szCs w:val="28"/>
              </w:rPr>
              <w:t>HVHF intensity</w:t>
            </w:r>
          </w:p>
        </w:tc>
        <w:tc>
          <w:tcPr>
            <w:tcW w:w="1127" w:type="dxa"/>
            <w:tcBorders>
              <w:top w:val="nil"/>
              <w:left w:val="nil"/>
              <w:bottom w:val="nil"/>
              <w:right w:val="nil"/>
            </w:tcBorders>
            <w:vAlign w:val="center"/>
          </w:tcPr>
          <w:p w14:paraId="387B038A"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nil"/>
              <w:right w:val="nil"/>
            </w:tcBorders>
            <w:vAlign w:val="center"/>
          </w:tcPr>
          <w:p w14:paraId="62439DB2" w14:textId="77777777" w:rsidR="00857A7C" w:rsidRDefault="00000000">
            <w:pPr>
              <w:spacing w:after="0" w:line="480" w:lineRule="auto"/>
              <w:rPr>
                <w:sz w:val="20"/>
                <w:szCs w:val="28"/>
              </w:rPr>
            </w:pPr>
            <w:r>
              <w:rPr>
                <w:sz w:val="20"/>
                <w:szCs w:val="28"/>
              </w:rPr>
              <w:t>Refractory septic shock with HVHF</w:t>
            </w:r>
          </w:p>
        </w:tc>
        <w:tc>
          <w:tcPr>
            <w:tcW w:w="1252" w:type="dxa"/>
            <w:tcBorders>
              <w:top w:val="nil"/>
              <w:left w:val="nil"/>
              <w:bottom w:val="nil"/>
              <w:right w:val="nil"/>
            </w:tcBorders>
            <w:vAlign w:val="center"/>
          </w:tcPr>
          <w:p w14:paraId="5705AA54" w14:textId="77777777" w:rsidR="00857A7C" w:rsidRDefault="00000000">
            <w:pPr>
              <w:spacing w:after="0" w:line="480" w:lineRule="auto"/>
              <w:rPr>
                <w:sz w:val="20"/>
                <w:szCs w:val="28"/>
              </w:rPr>
            </w:pPr>
            <w:r>
              <w:rPr>
                <w:sz w:val="20"/>
                <w:szCs w:val="28"/>
              </w:rPr>
              <w:t>100 mL/kg/h</w:t>
            </w:r>
          </w:p>
        </w:tc>
        <w:tc>
          <w:tcPr>
            <w:tcW w:w="1252" w:type="dxa"/>
            <w:tcBorders>
              <w:top w:val="nil"/>
              <w:left w:val="nil"/>
              <w:bottom w:val="nil"/>
              <w:right w:val="nil"/>
            </w:tcBorders>
            <w:vAlign w:val="center"/>
          </w:tcPr>
          <w:p w14:paraId="0F642B3D" w14:textId="77777777" w:rsidR="00857A7C" w:rsidRDefault="00000000">
            <w:pPr>
              <w:spacing w:after="0" w:line="480" w:lineRule="auto"/>
              <w:rPr>
                <w:sz w:val="20"/>
                <w:szCs w:val="28"/>
              </w:rPr>
            </w:pPr>
            <w:r>
              <w:rPr>
                <w:sz w:val="20"/>
                <w:szCs w:val="28"/>
              </w:rPr>
              <w:t>69 mL/kg/h</w:t>
            </w:r>
          </w:p>
        </w:tc>
        <w:tc>
          <w:tcPr>
            <w:tcW w:w="1252" w:type="dxa"/>
            <w:tcBorders>
              <w:top w:val="nil"/>
              <w:left w:val="nil"/>
              <w:bottom w:val="nil"/>
              <w:right w:val="nil"/>
            </w:tcBorders>
            <w:vAlign w:val="center"/>
          </w:tcPr>
          <w:p w14:paraId="10DB8B05" w14:textId="77777777" w:rsidR="00857A7C" w:rsidRDefault="00000000">
            <w:pPr>
              <w:spacing w:after="0" w:line="480" w:lineRule="auto"/>
              <w:rPr>
                <w:sz w:val="20"/>
                <w:szCs w:val="28"/>
              </w:rPr>
            </w:pPr>
            <w:r>
              <w:rPr>
                <w:sz w:val="20"/>
                <w:szCs w:val="28"/>
              </w:rPr>
              <w:t>123 mL/kg/h</w:t>
            </w:r>
          </w:p>
        </w:tc>
        <w:tc>
          <w:tcPr>
            <w:tcW w:w="1005" w:type="dxa"/>
            <w:tcBorders>
              <w:top w:val="nil"/>
              <w:left w:val="nil"/>
              <w:bottom w:val="nil"/>
              <w:right w:val="nil"/>
            </w:tcBorders>
            <w:vAlign w:val="center"/>
          </w:tcPr>
          <w:p w14:paraId="5170F9B6" w14:textId="77777777" w:rsidR="00857A7C" w:rsidRDefault="00000000">
            <w:pPr>
              <w:spacing w:after="0" w:line="480" w:lineRule="auto"/>
              <w:jc w:val="center"/>
              <w:rPr>
                <w:sz w:val="20"/>
                <w:szCs w:val="28"/>
              </w:rPr>
            </w:pPr>
            <w:r>
              <w:rPr>
                <w:sz w:val="20"/>
                <w:szCs w:val="28"/>
              </w:rPr>
              <w:t>0.69–1.23</w:t>
            </w:r>
          </w:p>
        </w:tc>
      </w:tr>
      <w:tr w:rsidR="00857A7C" w14:paraId="1C574835" w14:textId="77777777">
        <w:trPr>
          <w:jc w:val="center"/>
        </w:trPr>
        <w:tc>
          <w:tcPr>
            <w:tcW w:w="1381" w:type="dxa"/>
            <w:tcBorders>
              <w:top w:val="nil"/>
              <w:left w:val="nil"/>
              <w:bottom w:val="nil"/>
              <w:right w:val="nil"/>
            </w:tcBorders>
            <w:vAlign w:val="center"/>
          </w:tcPr>
          <w:p w14:paraId="0C941BF1" w14:textId="77777777" w:rsidR="00857A7C" w:rsidRDefault="00000000">
            <w:pPr>
              <w:spacing w:after="0" w:line="480" w:lineRule="auto"/>
              <w:rPr>
                <w:rFonts w:cs="Times New Roman"/>
                <w:sz w:val="20"/>
                <w:szCs w:val="20"/>
              </w:rPr>
            </w:pPr>
            <w:r>
              <w:rPr>
                <w:rFonts w:eastAsia="SimSun" w:cs="Times New Roman"/>
                <w:color w:val="000000"/>
                <w:sz w:val="20"/>
                <w:szCs w:val="20"/>
              </w:rPr>
              <w:t>Donadello</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{"citationID":"pxmltT7o","properties":{"unsorted":false,"formattedCitation":"\\super 21\\nosupersub{}","plainCitation":"21","noteIndex":0},"citationItems":[{"id":433,"uris":["http://zotero.org/users/local/5zxoZT6d/items/GRP3ZV82"],"itemData":{"id":433,"type":"article-journal","abstract":"Introduction: The aim of this study was to describe the population pharmacokinetics of vancomycin in critically ill patients treated with and without extracorporeal membrane oxygenation (ECMO).\nMethods: We retrospectively reviewed data from critically ill patients treated with ECMO and matched controls who received a continuous infusion of vancomycin (35 mg/kg loading dose over 4 hours followed by a daily infusion adapted to creatinine clearance, CrCl)). The pharmacokinetics of vancomycin were described using non-linear mixed effects modeling.\nResults: We compared 11 patients treated with ECMO with 11 well-matched controls. Drug dosing was similar between groups. The median interquartile range (IQR) vancomycin concentrations in ECMO and non-ECMO patients were 51 (28 to 71) versus 45 (37 to 71) mg/L at 4 hours; 23 (16 to 38) versus 29 (21 to 35) mg/L at 12 hours; 20 (12 to 36) versus 23 (17–28) mg/L at 24 hours (ANOVA, P =0.53). Median (ranges) volume of distribution (Vd) was 99.3 (49.1 to 212.3) and 92.3 (22.4 to 149.4) L in ECMO and non-ECMO patients, respectively, and clearance 2.4 (1.7 to 4.9) versus 2.3 (1.8 to 3.6) L/h (not significant). Insufficient drug concentrations (that is drug levels &lt;20 mg/dL) were more common in the ECMO group. The pharmacokinetic model (non-linear mixed effects modeling) was prospectively validated in five additional ECMO-treated patients over a 6-month period. Linear regression analysis comparing the observed concentrations and those predicted using the model showed good correlation (r2 of 0.67; P &lt;0.001).\nConclusions: Vancomycin concentrations were similar between ECMO and non-ECMO patients in the early phase of therapy. ECMO treatment was not associated with significant changes in Vd and drug clearance compared with the control patients.","container-title":"Critical Care","DOI":"10.1186/s13054-014-0632-8","ISSN":"1364-8535","issue":"6","journalAbbreviation":"Crit. Care","language":"en","note":"titleTranslation: </w:instrText>
            </w:r>
            <w:r>
              <w:rPr>
                <w:rFonts w:eastAsia="SimSun" w:cs="Times New Roman"/>
                <w:color w:val="000000"/>
                <w:sz w:val="20"/>
                <w:szCs w:val="20"/>
                <w:lang w:eastAsia="zh-CN"/>
              </w:rPr>
              <w:instrText>体外膜氧合治疗期间万古霉素的群体药代动力学：一项匹配队列研究</w:instrText>
            </w:r>
            <w:r>
              <w:rPr>
                <w:rFonts w:eastAsia="SimSun" w:cs="Times New Roman"/>
                <w:color w:val="000000"/>
                <w:sz w:val="20"/>
                <w:szCs w:val="20"/>
                <w:lang w:eastAsia="zh-CN"/>
              </w:rPr>
              <w:instrText xml:space="preserve">","page":"632","source":"sci-hub.sg","title":"Vancomycin population pharmacokinetics during extracorporeal membrane oxygenation therapy: a matched cohort study","title-short":"Vancomycin population pharmacokinetics during extracorporeal membrane oxygenation therapy","volume":"18","author":[{"family":"Donadello","given":"Katia"},{"family":"Roberts","given":"Jason A."},{"family":"Cristallini","given":"Stefano"},{"family":"Beumier","given":"Marjorie"},{"family":"Et.","given":"Al"}],"issued":{"date-parts":[["2014"]]}}}],"schema":"https://github.com/citation-style-language/schema/raw/master/csl-citation.json"}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shd w:val="clear" w:color="auto" w:fill="D9D9D9"/>
                <w:vertAlign w:val="superscript"/>
              </w:rPr>
              <w:t>21</w:t>
            </w:r>
            <w:r>
              <w:rPr>
                <w:rFonts w:eastAsia="SimSun" w:cs="Times New Roman"/>
                <w:color w:val="000000"/>
                <w:sz w:val="20"/>
                <w:szCs w:val="20"/>
              </w:rPr>
              <w:fldChar w:fldCharType="end"/>
            </w:r>
          </w:p>
        </w:tc>
        <w:tc>
          <w:tcPr>
            <w:tcW w:w="1050" w:type="dxa"/>
            <w:tcBorders>
              <w:top w:val="nil"/>
              <w:left w:val="nil"/>
              <w:bottom w:val="nil"/>
              <w:right w:val="nil"/>
            </w:tcBorders>
            <w:vAlign w:val="center"/>
          </w:tcPr>
          <w:p w14:paraId="29009324" w14:textId="77777777" w:rsidR="00857A7C" w:rsidRDefault="00000000">
            <w:pPr>
              <w:spacing w:after="0" w:line="480" w:lineRule="auto"/>
              <w:rPr>
                <w:sz w:val="20"/>
                <w:szCs w:val="28"/>
              </w:rPr>
            </w:pPr>
            <w:r>
              <w:rPr>
                <w:sz w:val="20"/>
                <w:szCs w:val="28"/>
              </w:rPr>
              <w:t>CRRT status</w:t>
            </w:r>
          </w:p>
        </w:tc>
        <w:tc>
          <w:tcPr>
            <w:tcW w:w="1127" w:type="dxa"/>
            <w:tcBorders>
              <w:top w:val="nil"/>
              <w:left w:val="nil"/>
              <w:bottom w:val="nil"/>
              <w:right w:val="nil"/>
            </w:tcBorders>
            <w:vAlign w:val="center"/>
          </w:tcPr>
          <w:p w14:paraId="16199476" w14:textId="77777777" w:rsidR="00857A7C" w:rsidRDefault="00000000">
            <w:pPr>
              <w:spacing w:after="0" w:line="480" w:lineRule="auto"/>
              <w:rPr>
                <w:sz w:val="20"/>
                <w:szCs w:val="28"/>
              </w:rPr>
            </w:pPr>
            <w:r>
              <w:rPr>
                <w:sz w:val="20"/>
                <w:szCs w:val="28"/>
              </w:rPr>
              <w:t>Binary categorical</w:t>
            </w:r>
          </w:p>
        </w:tc>
        <w:tc>
          <w:tcPr>
            <w:tcW w:w="1257" w:type="dxa"/>
            <w:tcBorders>
              <w:top w:val="nil"/>
              <w:left w:val="nil"/>
              <w:bottom w:val="nil"/>
              <w:right w:val="nil"/>
            </w:tcBorders>
            <w:vAlign w:val="center"/>
          </w:tcPr>
          <w:p w14:paraId="6E61382C" w14:textId="77777777" w:rsidR="00857A7C" w:rsidRDefault="00000000">
            <w:pPr>
              <w:spacing w:after="0" w:line="480" w:lineRule="auto"/>
              <w:rPr>
                <w:sz w:val="20"/>
                <w:szCs w:val="28"/>
              </w:rPr>
            </w:pPr>
            <w:r>
              <w:rPr>
                <w:sz w:val="20"/>
                <w:szCs w:val="28"/>
              </w:rPr>
              <w:t>ECMO/non-ECMO matched cohort</w:t>
            </w:r>
          </w:p>
        </w:tc>
        <w:tc>
          <w:tcPr>
            <w:tcW w:w="1252" w:type="dxa"/>
            <w:tcBorders>
              <w:top w:val="nil"/>
              <w:left w:val="nil"/>
              <w:bottom w:val="nil"/>
              <w:right w:val="nil"/>
            </w:tcBorders>
            <w:vAlign w:val="center"/>
          </w:tcPr>
          <w:p w14:paraId="22B4F0DD" w14:textId="77777777" w:rsidR="00857A7C" w:rsidRDefault="00000000">
            <w:pPr>
              <w:spacing w:after="0" w:line="480" w:lineRule="auto"/>
              <w:rPr>
                <w:sz w:val="20"/>
                <w:szCs w:val="28"/>
              </w:rPr>
            </w:pPr>
            <w:r>
              <w:rPr>
                <w:sz w:val="20"/>
                <w:szCs w:val="28"/>
              </w:rPr>
              <w:t>No CRRT assumed reference</w:t>
            </w:r>
          </w:p>
        </w:tc>
        <w:tc>
          <w:tcPr>
            <w:tcW w:w="1252" w:type="dxa"/>
            <w:tcBorders>
              <w:top w:val="nil"/>
              <w:left w:val="nil"/>
              <w:bottom w:val="nil"/>
              <w:right w:val="nil"/>
            </w:tcBorders>
            <w:vAlign w:val="center"/>
          </w:tcPr>
          <w:p w14:paraId="128911F3" w14:textId="77777777" w:rsidR="00857A7C" w:rsidRDefault="00000000">
            <w:pPr>
              <w:spacing w:after="0" w:line="480" w:lineRule="auto"/>
              <w:rPr>
                <w:sz w:val="20"/>
                <w:szCs w:val="28"/>
              </w:rPr>
            </w:pPr>
            <w:r>
              <w:rPr>
                <w:sz w:val="20"/>
                <w:szCs w:val="28"/>
              </w:rPr>
              <w:t>CRRT present</w:t>
            </w:r>
          </w:p>
        </w:tc>
        <w:tc>
          <w:tcPr>
            <w:tcW w:w="1252" w:type="dxa"/>
            <w:tcBorders>
              <w:top w:val="nil"/>
              <w:left w:val="nil"/>
              <w:bottom w:val="nil"/>
              <w:right w:val="nil"/>
            </w:tcBorders>
            <w:vAlign w:val="center"/>
          </w:tcPr>
          <w:p w14:paraId="2F824B94" w14:textId="77777777" w:rsidR="00857A7C" w:rsidRDefault="00000000">
            <w:pPr>
              <w:spacing w:after="0" w:line="480" w:lineRule="auto"/>
              <w:rPr>
                <w:sz w:val="20"/>
                <w:szCs w:val="28"/>
              </w:rPr>
            </w:pPr>
            <w:r>
              <w:rPr>
                <w:sz w:val="20"/>
                <w:szCs w:val="28"/>
              </w:rPr>
              <w:t>—</w:t>
            </w:r>
          </w:p>
        </w:tc>
        <w:tc>
          <w:tcPr>
            <w:tcW w:w="1005" w:type="dxa"/>
            <w:tcBorders>
              <w:top w:val="nil"/>
              <w:left w:val="nil"/>
              <w:bottom w:val="nil"/>
              <w:right w:val="nil"/>
            </w:tcBorders>
            <w:vAlign w:val="center"/>
          </w:tcPr>
          <w:p w14:paraId="349A3E5D" w14:textId="77777777" w:rsidR="00857A7C" w:rsidRDefault="00000000">
            <w:pPr>
              <w:spacing w:after="0" w:line="480" w:lineRule="auto"/>
              <w:jc w:val="center"/>
              <w:rPr>
                <w:sz w:val="20"/>
                <w:szCs w:val="28"/>
              </w:rPr>
            </w:pPr>
            <w:r>
              <w:rPr>
                <w:sz w:val="20"/>
                <w:szCs w:val="28"/>
              </w:rPr>
              <w:t>0.60–1.00</w:t>
            </w:r>
          </w:p>
        </w:tc>
      </w:tr>
      <w:tr w:rsidR="00857A7C" w14:paraId="10EE3D2A" w14:textId="77777777">
        <w:trPr>
          <w:jc w:val="center"/>
        </w:trPr>
        <w:tc>
          <w:tcPr>
            <w:tcW w:w="1381" w:type="dxa"/>
            <w:tcBorders>
              <w:top w:val="nil"/>
              <w:left w:val="nil"/>
              <w:bottom w:val="single" w:sz="8" w:space="0" w:color="000000"/>
              <w:right w:val="nil"/>
            </w:tcBorders>
            <w:vAlign w:val="center"/>
          </w:tcPr>
          <w:p w14:paraId="5B79EB99" w14:textId="77777777" w:rsidR="00857A7C" w:rsidRDefault="00000000">
            <w:pPr>
              <w:spacing w:after="0" w:line="480" w:lineRule="auto"/>
              <w:rPr>
                <w:rFonts w:cs="Times New Roman"/>
                <w:sz w:val="20"/>
                <w:szCs w:val="20"/>
              </w:rPr>
            </w:pPr>
            <w:r>
              <w:rPr>
                <w:rFonts w:eastAsia="SimSun" w:cs="Times New Roman"/>
                <w:color w:val="000000"/>
                <w:sz w:val="20"/>
                <w:szCs w:val="20"/>
              </w:rPr>
              <w:t>Jalusic</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{"citationID":"nMB4X9PP","properties":{"unsorted":false,"formattedCitation":"\\super 27\\nosupersub{}","plainCitation":"27","noteIndex":0},"citationItems":[{"id":419,"uris":["http://zotero.org/users/local/5zxoZT6d/items/2VDYN95L"],"itemData":{"id":419,"type":"article-journal","abstract":"BACKGROUND: To determine the distribution of vancomycin into the cerebrospinal fluid (CSF) in patients with external ventricular drain (EVD)-associated ventriculitis, the pharmacokinetics of vancomycin were evaluated, and covariate relationships explored.\nMETHODS: For the population pharmacokinetic model patients were recruited in a neuro-critical care unit at the University Hospital of Muenster in the period between January 2014 and June 2015. All patients had a clinical evidence of (EVD)-associated ventriculitis. Population pharmacokinetic analysis of vancomycin was performed using NONMEM®.\nRESULTS: A total of 184 blood and 133 CSF samples were collected from 29 patients. The final population pharmacokinetic model is a three-compartment model with linear elimination. Creatinine clearance (ClCr) and CSF-lactate were detected as significant covariates, showing that the total vancomycin plasma clearance (Cl) depends on ClCr and furthermore, the clearance (Cldif) between the central and CSF compartment correlates with CSF lactate concentration. Based on the final model, the following values were estimated by NONMEM®: Cl = 5.15 L/h, Q (intercompartmental clearance) =3.31L/h, Cldif = 0.0031 L/h, Vcentral = 42.1 L, VCSF = 0.32 L and the value of Vperipheral was fixed to 86.2 L. With the developed pharmacokinetic model, AUC (area under the curve) values as well as CSF trough levels were simulated.\nCONCLUSION: Based on our analysis, the dosing of vancomycin should be referred to the degree of inflammation (derived from the CSF lactate concentration) and renal function (derived from ClCr).","container-title":"British Journal of Clinical Pharmacology","DOI":"10.1111/bcp.14657","ISSN":"0306-5251, 1365-2125","issue":"6","journalAbbreviation":"Br. J. Clin. Pharmacol.","language":"en","license":"http://creativecommons.org/licenses/by-nc/4.0/","note":"titleTranslation: </w:instrText>
            </w:r>
            <w:r>
              <w:rPr>
                <w:rFonts w:eastAsia="SimSun" w:cs="Times New Roman"/>
                <w:color w:val="000000"/>
                <w:sz w:val="20"/>
                <w:szCs w:val="20"/>
                <w:lang w:eastAsia="zh-CN"/>
              </w:rPr>
              <w:instrText>心室外引流管相关性脑室炎患者体内万古霉素的群体药代动力学</w:instrText>
            </w:r>
            <w:r>
              <w:rPr>
                <w:rFonts w:eastAsia="SimSun" w:cs="Times New Roman"/>
                <w:color w:val="000000"/>
                <w:sz w:val="20"/>
                <w:szCs w:val="20"/>
                <w:lang w:eastAsia="zh-CN"/>
              </w:rPr>
              <w:instrText xml:space="preserve">","page":"2502-2510","source":"sci-hub.sg","title":"Population pharmacokinetics of vancomycin in patients with external ventricular drain-associated ventriculitis","volume":"87","author":[{"family":"Jalusic","given":"Kris Oliver"},{"family":"Hempel","given":"Georg"},{"family":"Arnemann","given":"Philip-Helge"},{"family":"Spiekermann","given":"Christina"},{"family":"Et.","given":"Al"}],"issued":{"date-parts":[["2020"]]}}}],"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shd w:val="clear" w:color="auto" w:fill="D9D9D9"/>
                <w:vertAlign w:val="superscript"/>
              </w:rPr>
              <w:t>27</w:t>
            </w:r>
            <w:r>
              <w:rPr>
                <w:rFonts w:eastAsia="SimSun" w:cs="Times New Roman"/>
                <w:color w:val="000000"/>
                <w:sz w:val="20"/>
                <w:szCs w:val="20"/>
              </w:rPr>
              <w:fldChar w:fldCharType="end"/>
            </w:r>
          </w:p>
        </w:tc>
        <w:tc>
          <w:tcPr>
            <w:tcW w:w="1050" w:type="dxa"/>
            <w:tcBorders>
              <w:top w:val="nil"/>
              <w:left w:val="nil"/>
              <w:bottom w:val="single" w:sz="8" w:space="0" w:color="000000"/>
              <w:right w:val="nil"/>
            </w:tcBorders>
            <w:vAlign w:val="center"/>
          </w:tcPr>
          <w:p w14:paraId="6F503E52" w14:textId="77777777" w:rsidR="00857A7C" w:rsidRDefault="00000000">
            <w:pPr>
              <w:spacing w:after="0" w:line="480" w:lineRule="auto"/>
              <w:rPr>
                <w:sz w:val="20"/>
                <w:szCs w:val="28"/>
              </w:rPr>
            </w:pPr>
            <w:r>
              <w:rPr>
                <w:sz w:val="20"/>
                <w:szCs w:val="28"/>
              </w:rPr>
              <w:t>CrCl</w:t>
            </w:r>
          </w:p>
        </w:tc>
        <w:tc>
          <w:tcPr>
            <w:tcW w:w="1127" w:type="dxa"/>
            <w:tcBorders>
              <w:top w:val="nil"/>
              <w:left w:val="nil"/>
              <w:bottom w:val="single" w:sz="8" w:space="0" w:color="000000"/>
              <w:right w:val="nil"/>
            </w:tcBorders>
            <w:vAlign w:val="center"/>
          </w:tcPr>
          <w:p w14:paraId="7473C5A6" w14:textId="77777777" w:rsidR="00857A7C" w:rsidRDefault="00000000">
            <w:pPr>
              <w:spacing w:after="0" w:line="480" w:lineRule="auto"/>
              <w:rPr>
                <w:sz w:val="20"/>
                <w:szCs w:val="28"/>
              </w:rPr>
            </w:pPr>
            <w:r>
              <w:rPr>
                <w:sz w:val="20"/>
                <w:szCs w:val="28"/>
              </w:rPr>
              <w:t>Continuous</w:t>
            </w:r>
          </w:p>
        </w:tc>
        <w:tc>
          <w:tcPr>
            <w:tcW w:w="1257" w:type="dxa"/>
            <w:tcBorders>
              <w:top w:val="nil"/>
              <w:left w:val="nil"/>
              <w:bottom w:val="single" w:sz="8" w:space="0" w:color="000000"/>
              <w:right w:val="nil"/>
            </w:tcBorders>
            <w:vAlign w:val="center"/>
          </w:tcPr>
          <w:p w14:paraId="187266DF" w14:textId="77777777" w:rsidR="00857A7C" w:rsidRDefault="00000000">
            <w:pPr>
              <w:spacing w:after="0" w:line="480" w:lineRule="auto"/>
              <w:rPr>
                <w:sz w:val="20"/>
                <w:szCs w:val="28"/>
              </w:rPr>
            </w:pPr>
            <w:r>
              <w:rPr>
                <w:sz w:val="20"/>
                <w:szCs w:val="28"/>
              </w:rPr>
              <w:t>Neurocritical care ventriculitis population</w:t>
            </w:r>
          </w:p>
        </w:tc>
        <w:tc>
          <w:tcPr>
            <w:tcW w:w="1252" w:type="dxa"/>
            <w:tcBorders>
              <w:top w:val="nil"/>
              <w:left w:val="nil"/>
              <w:bottom w:val="single" w:sz="8" w:space="0" w:color="000000"/>
              <w:right w:val="nil"/>
            </w:tcBorders>
            <w:vAlign w:val="center"/>
          </w:tcPr>
          <w:p w14:paraId="77E12C56" w14:textId="77777777" w:rsidR="00857A7C" w:rsidRDefault="00000000">
            <w:pPr>
              <w:spacing w:after="0" w:line="480" w:lineRule="auto"/>
              <w:rPr>
                <w:sz w:val="20"/>
                <w:szCs w:val="28"/>
              </w:rPr>
            </w:pPr>
            <w:r>
              <w:rPr>
                <w:sz w:val="20"/>
                <w:szCs w:val="28"/>
              </w:rPr>
              <w:t>152 mL/min/1.73 m²</w:t>
            </w:r>
          </w:p>
        </w:tc>
        <w:tc>
          <w:tcPr>
            <w:tcW w:w="1252" w:type="dxa"/>
            <w:tcBorders>
              <w:top w:val="nil"/>
              <w:left w:val="nil"/>
              <w:bottom w:val="single" w:sz="8" w:space="0" w:color="000000"/>
              <w:right w:val="nil"/>
            </w:tcBorders>
            <w:vAlign w:val="center"/>
          </w:tcPr>
          <w:p w14:paraId="146EC958" w14:textId="77777777" w:rsidR="00857A7C" w:rsidRDefault="00000000">
            <w:pPr>
              <w:spacing w:after="0" w:line="480" w:lineRule="auto"/>
              <w:rPr>
                <w:sz w:val="20"/>
                <w:szCs w:val="28"/>
              </w:rPr>
            </w:pPr>
            <w:r>
              <w:rPr>
                <w:sz w:val="20"/>
                <w:szCs w:val="28"/>
              </w:rPr>
              <w:t>109 mL/min/1.73 m²</w:t>
            </w:r>
          </w:p>
        </w:tc>
        <w:tc>
          <w:tcPr>
            <w:tcW w:w="1252" w:type="dxa"/>
            <w:tcBorders>
              <w:top w:val="nil"/>
              <w:left w:val="nil"/>
              <w:bottom w:val="single" w:sz="8" w:space="0" w:color="000000"/>
              <w:right w:val="nil"/>
            </w:tcBorders>
            <w:vAlign w:val="center"/>
          </w:tcPr>
          <w:p w14:paraId="792EF03C" w14:textId="77777777" w:rsidR="00857A7C" w:rsidRDefault="00000000">
            <w:pPr>
              <w:spacing w:after="0" w:line="480" w:lineRule="auto"/>
              <w:rPr>
                <w:sz w:val="20"/>
                <w:szCs w:val="28"/>
              </w:rPr>
            </w:pPr>
            <w:r>
              <w:rPr>
                <w:sz w:val="20"/>
                <w:szCs w:val="28"/>
              </w:rPr>
              <w:t>174 mL/min/1.73 m²</w:t>
            </w:r>
          </w:p>
        </w:tc>
        <w:tc>
          <w:tcPr>
            <w:tcW w:w="1005" w:type="dxa"/>
            <w:tcBorders>
              <w:top w:val="nil"/>
              <w:left w:val="nil"/>
              <w:bottom w:val="single" w:sz="8" w:space="0" w:color="000000"/>
              <w:right w:val="nil"/>
            </w:tcBorders>
            <w:vAlign w:val="center"/>
          </w:tcPr>
          <w:p w14:paraId="18C321A4" w14:textId="77777777" w:rsidR="00857A7C" w:rsidRDefault="00000000">
            <w:pPr>
              <w:spacing w:after="0" w:line="480" w:lineRule="auto"/>
              <w:jc w:val="center"/>
              <w:rPr>
                <w:sz w:val="20"/>
                <w:szCs w:val="28"/>
              </w:rPr>
            </w:pPr>
            <w:r>
              <w:rPr>
                <w:sz w:val="20"/>
                <w:szCs w:val="28"/>
              </w:rPr>
              <w:t>0.87–1.06</w:t>
            </w:r>
          </w:p>
        </w:tc>
      </w:tr>
    </w:tbl>
    <w:p w14:paraId="1EAD2AA8" w14:textId="77777777" w:rsidR="00857A7C" w:rsidRDefault="00000000">
      <w:pPr>
        <w:spacing w:before="40" w:after="160" w:line="480" w:lineRule="auto"/>
        <w:rPr>
          <w:sz w:val="20"/>
          <w:szCs w:val="28"/>
        </w:rPr>
      </w:pPr>
      <w:r>
        <w:rPr>
          <w:sz w:val="20"/>
          <w:szCs w:val="28"/>
        </w:rPr>
        <w:t xml:space="preserve">Notes: The horizontal intervals in Figure 2 represent modeled relative changes associated with these predefined covariate contrasts rather than statistical confidence intervals. For binary covariates, the contrast is shown as reference versus comparison state rather than low versus high numeric values. </w:t>
      </w:r>
    </w:p>
    <w:p w14:paraId="744A43EC" w14:textId="77777777" w:rsidR="00857A7C" w:rsidRDefault="00000000">
      <w:pPr>
        <w:rPr>
          <w:sz w:val="20"/>
          <w:szCs w:val="28"/>
        </w:rPr>
      </w:pPr>
      <w:r>
        <w:rPr>
          <w:sz w:val="20"/>
          <w:szCs w:val="28"/>
        </w:rPr>
        <w:br w:type="page"/>
      </w:r>
    </w:p>
    <w:p w14:paraId="601CAD38" w14:textId="77777777" w:rsidR="00857A7C" w:rsidRDefault="00000000">
      <w:pPr>
        <w:spacing w:after="80" w:line="480" w:lineRule="auto"/>
        <w:rPr>
          <w:b/>
          <w:sz w:val="21"/>
          <w:szCs w:val="32"/>
        </w:rPr>
      </w:pPr>
      <w:r>
        <w:rPr>
          <w:b/>
          <w:sz w:val="21"/>
          <w:szCs w:val="32"/>
        </w:rPr>
        <w:lastRenderedPageBreak/>
        <w:t>Table S</w:t>
      </w:r>
      <w:r>
        <w:rPr>
          <w:rFonts w:eastAsia="SimSun" w:hint="eastAsia"/>
          <w:b/>
          <w:sz w:val="21"/>
          <w:szCs w:val="32"/>
          <w:lang w:eastAsia="zh-CN"/>
        </w:rPr>
        <w:t>3</w:t>
      </w:r>
      <w:r>
        <w:rPr>
          <w:b/>
          <w:sz w:val="21"/>
          <w:szCs w:val="32"/>
        </w:rPr>
        <w:t xml:space="preserve">. Verified predefined covariate contrasts used for modeled relative intervals of distribution-related covariates in </w:t>
      </w:r>
      <w:r>
        <w:rPr>
          <w:rFonts w:eastAsia="SimSun" w:hint="eastAsia"/>
          <w:b/>
          <w:sz w:val="21"/>
          <w:szCs w:val="32"/>
          <w:lang w:eastAsia="zh-CN"/>
        </w:rPr>
        <w:t>Figure 3</w:t>
      </w:r>
      <w:r>
        <w:rPr>
          <w:b/>
          <w:sz w:val="21"/>
          <w:szCs w:val="32"/>
        </w:rPr>
        <w:t>.</w:t>
      </w:r>
    </w:p>
    <w:tbl>
      <w:tblPr>
        <w:tblStyle w:val="TableGrid"/>
        <w:tblW w:w="0" w:type="auto"/>
        <w:jc w:val="center"/>
        <w:tblLook w:val="04A0" w:firstRow="1" w:lastRow="0" w:firstColumn="1" w:lastColumn="0" w:noHBand="0" w:noVBand="1"/>
      </w:tblPr>
      <w:tblGrid>
        <w:gridCol w:w="1269"/>
        <w:gridCol w:w="1344"/>
        <w:gridCol w:w="1222"/>
        <w:gridCol w:w="1329"/>
        <w:gridCol w:w="1232"/>
        <w:gridCol w:w="1060"/>
        <w:gridCol w:w="1060"/>
        <w:gridCol w:w="1060"/>
      </w:tblGrid>
      <w:tr w:rsidR="00857A7C" w14:paraId="2471E8E6" w14:textId="77777777">
        <w:trPr>
          <w:jc w:val="center"/>
        </w:trPr>
        <w:tc>
          <w:tcPr>
            <w:tcW w:w="1440" w:type="dxa"/>
            <w:tcBorders>
              <w:top w:val="single" w:sz="8" w:space="0" w:color="000000"/>
              <w:left w:val="nil"/>
              <w:bottom w:val="single" w:sz="6" w:space="0" w:color="000000"/>
              <w:right w:val="nil"/>
            </w:tcBorders>
            <w:vAlign w:val="center"/>
          </w:tcPr>
          <w:p w14:paraId="472E1A2E" w14:textId="77777777" w:rsidR="00857A7C" w:rsidRDefault="00000000">
            <w:pPr>
              <w:spacing w:after="0" w:line="480" w:lineRule="auto"/>
              <w:jc w:val="center"/>
              <w:rPr>
                <w:sz w:val="20"/>
                <w:szCs w:val="28"/>
              </w:rPr>
            </w:pPr>
            <w:r>
              <w:rPr>
                <w:b/>
                <w:sz w:val="20"/>
                <w:szCs w:val="28"/>
              </w:rPr>
              <w:t>Study</w:t>
            </w:r>
          </w:p>
        </w:tc>
        <w:tc>
          <w:tcPr>
            <w:tcW w:w="2088" w:type="dxa"/>
            <w:tcBorders>
              <w:top w:val="single" w:sz="8" w:space="0" w:color="000000"/>
              <w:left w:val="nil"/>
              <w:bottom w:val="single" w:sz="6" w:space="0" w:color="000000"/>
              <w:right w:val="nil"/>
            </w:tcBorders>
            <w:vAlign w:val="center"/>
          </w:tcPr>
          <w:p w14:paraId="4EAF3293" w14:textId="77777777" w:rsidR="00857A7C" w:rsidRDefault="00000000">
            <w:pPr>
              <w:spacing w:after="0" w:line="480" w:lineRule="auto"/>
              <w:jc w:val="center"/>
              <w:rPr>
                <w:rFonts w:eastAsia="SimSun"/>
                <w:sz w:val="20"/>
                <w:szCs w:val="28"/>
                <w:lang w:eastAsia="zh-CN"/>
              </w:rPr>
            </w:pPr>
            <w:r>
              <w:rPr>
                <w:b/>
                <w:sz w:val="20"/>
                <w:szCs w:val="28"/>
              </w:rPr>
              <w:t xml:space="preserve">Covariate shown in </w:t>
            </w:r>
            <w:r>
              <w:rPr>
                <w:rFonts w:eastAsia="SimSun" w:hint="eastAsia"/>
                <w:b/>
                <w:sz w:val="20"/>
                <w:szCs w:val="28"/>
                <w:lang w:eastAsia="zh-CN"/>
              </w:rPr>
              <w:t>Figure 3</w:t>
            </w:r>
          </w:p>
        </w:tc>
        <w:tc>
          <w:tcPr>
            <w:tcW w:w="1440" w:type="dxa"/>
            <w:tcBorders>
              <w:top w:val="single" w:sz="8" w:space="0" w:color="000000"/>
              <w:left w:val="nil"/>
              <w:bottom w:val="single" w:sz="6" w:space="0" w:color="000000"/>
              <w:right w:val="nil"/>
            </w:tcBorders>
            <w:vAlign w:val="center"/>
          </w:tcPr>
          <w:p w14:paraId="3233FF67" w14:textId="77777777" w:rsidR="00857A7C" w:rsidRDefault="00000000">
            <w:pPr>
              <w:spacing w:after="0" w:line="480" w:lineRule="auto"/>
              <w:jc w:val="center"/>
              <w:rPr>
                <w:sz w:val="20"/>
                <w:szCs w:val="28"/>
              </w:rPr>
            </w:pPr>
            <w:r>
              <w:rPr>
                <w:b/>
                <w:sz w:val="20"/>
                <w:szCs w:val="28"/>
              </w:rPr>
              <w:t>Covariate type</w:t>
            </w:r>
          </w:p>
        </w:tc>
        <w:tc>
          <w:tcPr>
            <w:tcW w:w="1800" w:type="dxa"/>
            <w:tcBorders>
              <w:top w:val="single" w:sz="8" w:space="0" w:color="000000"/>
              <w:left w:val="nil"/>
              <w:bottom w:val="single" w:sz="6" w:space="0" w:color="000000"/>
              <w:right w:val="nil"/>
            </w:tcBorders>
            <w:vAlign w:val="center"/>
          </w:tcPr>
          <w:p w14:paraId="0FD9EFA2" w14:textId="77777777" w:rsidR="00857A7C" w:rsidRDefault="00000000">
            <w:pPr>
              <w:spacing w:after="0" w:line="480" w:lineRule="auto"/>
              <w:jc w:val="center"/>
              <w:rPr>
                <w:sz w:val="20"/>
                <w:szCs w:val="28"/>
              </w:rPr>
            </w:pPr>
            <w:r>
              <w:rPr>
                <w:b/>
                <w:sz w:val="20"/>
                <w:szCs w:val="28"/>
              </w:rPr>
              <w:t>Population note</w:t>
            </w:r>
          </w:p>
        </w:tc>
        <w:tc>
          <w:tcPr>
            <w:tcW w:w="1656" w:type="dxa"/>
            <w:tcBorders>
              <w:top w:val="single" w:sz="8" w:space="0" w:color="000000"/>
              <w:left w:val="nil"/>
              <w:bottom w:val="single" w:sz="6" w:space="0" w:color="000000"/>
              <w:right w:val="nil"/>
            </w:tcBorders>
            <w:vAlign w:val="center"/>
          </w:tcPr>
          <w:p w14:paraId="36CACBD4" w14:textId="77777777" w:rsidR="00857A7C" w:rsidRDefault="00000000">
            <w:pPr>
              <w:spacing w:after="0" w:line="480" w:lineRule="auto"/>
              <w:jc w:val="center"/>
              <w:rPr>
                <w:sz w:val="20"/>
                <w:szCs w:val="28"/>
              </w:rPr>
            </w:pPr>
            <w:r>
              <w:rPr>
                <w:b/>
                <w:sz w:val="20"/>
                <w:szCs w:val="28"/>
              </w:rPr>
              <w:t>Reference contrast</w:t>
            </w:r>
          </w:p>
        </w:tc>
        <w:tc>
          <w:tcPr>
            <w:tcW w:w="1440" w:type="dxa"/>
            <w:tcBorders>
              <w:top w:val="single" w:sz="8" w:space="0" w:color="000000"/>
              <w:left w:val="nil"/>
              <w:bottom w:val="single" w:sz="6" w:space="0" w:color="000000"/>
              <w:right w:val="nil"/>
            </w:tcBorders>
            <w:vAlign w:val="center"/>
          </w:tcPr>
          <w:p w14:paraId="1CFA63C7" w14:textId="77777777" w:rsidR="00857A7C" w:rsidRDefault="00000000">
            <w:pPr>
              <w:spacing w:after="0" w:line="480" w:lineRule="auto"/>
              <w:jc w:val="center"/>
              <w:rPr>
                <w:sz w:val="20"/>
                <w:szCs w:val="28"/>
              </w:rPr>
            </w:pPr>
            <w:r>
              <w:rPr>
                <w:b/>
                <w:sz w:val="20"/>
                <w:szCs w:val="28"/>
              </w:rPr>
              <w:t>Lower contrast</w:t>
            </w:r>
          </w:p>
        </w:tc>
        <w:tc>
          <w:tcPr>
            <w:tcW w:w="1440" w:type="dxa"/>
            <w:tcBorders>
              <w:top w:val="single" w:sz="8" w:space="0" w:color="000000"/>
              <w:left w:val="nil"/>
              <w:bottom w:val="single" w:sz="6" w:space="0" w:color="000000"/>
              <w:right w:val="nil"/>
            </w:tcBorders>
            <w:vAlign w:val="center"/>
          </w:tcPr>
          <w:p w14:paraId="4CD28203" w14:textId="77777777" w:rsidR="00857A7C" w:rsidRDefault="00000000">
            <w:pPr>
              <w:spacing w:after="0" w:line="480" w:lineRule="auto"/>
              <w:jc w:val="center"/>
              <w:rPr>
                <w:sz w:val="20"/>
                <w:szCs w:val="28"/>
              </w:rPr>
            </w:pPr>
            <w:r>
              <w:rPr>
                <w:b/>
                <w:sz w:val="20"/>
                <w:szCs w:val="28"/>
              </w:rPr>
              <w:t>Upper contrast</w:t>
            </w:r>
          </w:p>
        </w:tc>
        <w:tc>
          <w:tcPr>
            <w:tcW w:w="1440" w:type="dxa"/>
            <w:tcBorders>
              <w:top w:val="single" w:sz="8" w:space="0" w:color="000000"/>
              <w:left w:val="nil"/>
              <w:bottom w:val="single" w:sz="6" w:space="0" w:color="000000"/>
              <w:right w:val="nil"/>
            </w:tcBorders>
            <w:vAlign w:val="center"/>
          </w:tcPr>
          <w:p w14:paraId="42D29A30" w14:textId="77777777" w:rsidR="00857A7C" w:rsidRDefault="00000000">
            <w:pPr>
              <w:spacing w:after="0" w:line="480" w:lineRule="auto"/>
              <w:jc w:val="center"/>
              <w:rPr>
                <w:sz w:val="20"/>
                <w:szCs w:val="28"/>
              </w:rPr>
            </w:pPr>
            <w:r>
              <w:rPr>
                <w:b/>
                <w:sz w:val="20"/>
                <w:szCs w:val="28"/>
              </w:rPr>
              <w:t>Relative interval shown</w:t>
            </w:r>
          </w:p>
        </w:tc>
      </w:tr>
      <w:tr w:rsidR="00857A7C" w14:paraId="34ECE708" w14:textId="77777777">
        <w:trPr>
          <w:jc w:val="center"/>
        </w:trPr>
        <w:tc>
          <w:tcPr>
            <w:tcW w:w="1440" w:type="dxa"/>
            <w:tcBorders>
              <w:top w:val="nil"/>
              <w:left w:val="nil"/>
              <w:bottom w:val="nil"/>
              <w:right w:val="nil"/>
            </w:tcBorders>
            <w:vAlign w:val="center"/>
          </w:tcPr>
          <w:p w14:paraId="410081A4" w14:textId="77777777" w:rsidR="00857A7C" w:rsidRDefault="00000000">
            <w:pPr>
              <w:spacing w:after="0" w:line="480" w:lineRule="auto"/>
              <w:rPr>
                <w:rFonts w:cs="Times New Roman"/>
                <w:sz w:val="20"/>
                <w:szCs w:val="20"/>
              </w:rPr>
            </w:pPr>
            <w:r>
              <w:rPr>
                <w:rFonts w:eastAsia="SimSun" w:cs="Times New Roman"/>
                <w:color w:val="000000"/>
                <w:sz w:val="20"/>
                <w:szCs w:val="20"/>
                <w:lang w:eastAsia="zh-CN"/>
              </w:rPr>
              <w:t>T. Kovacevic</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{"citationID":"0QpAeSqo","properties":{"unsorted":false,"formattedCitation":"\\super 13\\nosupersub{}","plainCitation":"13","noteIndex":0},"citationItems":[{"id":58,"uris":["http://zotero.org/users/local/5zxoZT6d/items/SZG4RGXP"],"itemData":{"id":58,"type":"article-journal","abstract":"Purpose: The present study aimed to establish a population pharmacokinetic model of vancomycin, including adult critically ill septic patients, with normal and impaired renal function. Materials and Methods: A prospective analysis of 146 concentrations from 73 adult critically ill septic patients treated with 1-h intravenous infusion of vancomycin were included in the study. A nonlinear mixed effects modelling (NONMEM) approach was applied for data analysis and evaluation of the final model. The influence of creatinine clearance calculated by the Cockcroft-Gault equation (CrCl), and other potential covariates on vancomycin clearance (CL) were evaluated.\nResults: The final one-compartment pharmacokinetic model includes the effect of CrCl on CL. Population pharmacokinetic values for a typical subject were estimated at 0.024 l/h for CL dependent on renal function (CLCrCl), 1.93 l/h for residual portion of CL (not dependent on renal function), and 0.511 l/kg for volume of distribution (V). According to the final model, for patients with CrCl=120 ml/min, the median vancomycin total CL is 4.81 l/h, while CrCldependent fraction accounts for approximately 60% of CL.\nConclusions: The developed population vancomycin model may be used in estimating individual CL for adult critically ill septic patients, and could be applied for individualizing dosage regimens taking into account the continuous effect of CrCl.","container-title":"Journal of Critical Care","DOI":"10.1016/j.jcrc.2019.10.012","ISSN":"08839441","journalAbbreviation":"J. Crit. Care","language":"en","note":"TLDR: The developed population vancomycin model may be used in estimating individual CL for adult critically ill septic patients, and could be applied for individualizing dosage regimens taking into account the continuous effect of CrCl.\ntitleTranslation: </w:instrText>
            </w:r>
            <w:r>
              <w:rPr>
                <w:rFonts w:eastAsia="SimSun" w:cs="Times New Roman"/>
                <w:color w:val="000000"/>
                <w:sz w:val="20"/>
                <w:szCs w:val="20"/>
                <w:lang w:eastAsia="zh-CN"/>
              </w:rPr>
              <w:instrText>基于治疗药物监测数据的重症脓毒症患者万古霉素群体药代动力学模型。</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目的：本研究旨在建立万古霉素的群体药动学模型，包括肾功能正常和受损的成年危重脓毒症患者。材料与方法：本研究前瞻性分析了</w:instrText>
            </w:r>
            <w:r>
              <w:rPr>
                <w:rFonts w:eastAsia="SimSun" w:cs="Times New Roman"/>
                <w:color w:val="000000"/>
                <w:sz w:val="20"/>
                <w:szCs w:val="20"/>
                <w:lang w:eastAsia="zh-CN"/>
              </w:rPr>
              <w:instrText>73</w:instrText>
            </w:r>
            <w:r>
              <w:rPr>
                <w:rFonts w:eastAsia="SimSun" w:cs="Times New Roman"/>
                <w:color w:val="000000"/>
                <w:sz w:val="20"/>
                <w:szCs w:val="20"/>
                <w:lang w:eastAsia="zh-CN"/>
              </w:rPr>
              <w:instrText>例静脉输注万古霉素</w:instrText>
            </w:r>
            <w:r>
              <w:rPr>
                <w:rFonts w:eastAsia="SimSun" w:cs="Times New Roman"/>
                <w:color w:val="000000"/>
                <w:sz w:val="20"/>
                <w:szCs w:val="20"/>
                <w:lang w:eastAsia="zh-CN"/>
              </w:rPr>
              <w:instrText>1 h</w:instrText>
            </w:r>
            <w:r>
              <w:rPr>
                <w:rFonts w:eastAsia="SimSun" w:cs="Times New Roman"/>
                <w:color w:val="000000"/>
                <w:sz w:val="20"/>
                <w:szCs w:val="20"/>
                <w:lang w:eastAsia="zh-CN"/>
              </w:rPr>
              <w:instrText>的成人危重症脓毒症患者的</w:instrText>
            </w:r>
            <w:r>
              <w:rPr>
                <w:rFonts w:eastAsia="SimSun" w:cs="Times New Roman"/>
                <w:color w:val="000000"/>
                <w:sz w:val="20"/>
                <w:szCs w:val="20"/>
                <w:lang w:eastAsia="zh-CN"/>
              </w:rPr>
              <w:instrText>146</w:instrText>
            </w:r>
            <w:r>
              <w:rPr>
                <w:rFonts w:eastAsia="SimSun" w:cs="Times New Roman"/>
                <w:color w:val="000000"/>
                <w:sz w:val="20"/>
                <w:szCs w:val="20"/>
                <w:lang w:eastAsia="zh-CN"/>
              </w:rPr>
              <w:instrText>个浓度。采用非线性混合效应模型</w:instrText>
            </w:r>
            <w:r>
              <w:rPr>
                <w:rFonts w:eastAsia="SimSun" w:cs="Times New Roman"/>
                <w:color w:val="000000"/>
                <w:sz w:val="20"/>
                <w:szCs w:val="20"/>
                <w:lang w:eastAsia="zh-CN"/>
              </w:rPr>
              <w:instrText>( NONMEM )</w:instrText>
            </w:r>
            <w:r>
              <w:rPr>
                <w:rFonts w:eastAsia="SimSun" w:cs="Times New Roman"/>
                <w:color w:val="000000"/>
                <w:sz w:val="20"/>
                <w:szCs w:val="20"/>
                <w:lang w:eastAsia="zh-CN"/>
              </w:rPr>
              <w:instrText>方法对最终模型进行数据分析和评价。评估科克罗夫特</w:instrText>
            </w:r>
            <w:r>
              <w:rPr>
                <w:rFonts w:eastAsia="SimSun" w:cs="Times New Roman"/>
                <w:color w:val="000000"/>
                <w:sz w:val="20"/>
                <w:szCs w:val="20"/>
                <w:lang w:eastAsia="zh-CN"/>
              </w:rPr>
              <w:instrText>- Gault</w:instrText>
            </w:r>
            <w:r>
              <w:rPr>
                <w:rFonts w:eastAsia="SimSun" w:cs="Times New Roman"/>
                <w:color w:val="000000"/>
                <w:sz w:val="20"/>
                <w:szCs w:val="20"/>
                <w:lang w:eastAsia="zh-CN"/>
              </w:rPr>
              <w:instrText>方程计算的肌酐清除率</w:instrText>
            </w:r>
            <w:r>
              <w:rPr>
                <w:rFonts w:eastAsia="SimSun" w:cs="Times New Roman"/>
                <w:color w:val="000000"/>
                <w:sz w:val="20"/>
                <w:szCs w:val="20"/>
                <w:lang w:eastAsia="zh-CN"/>
              </w:rPr>
              <w:instrText>( CrCl )</w:instrText>
            </w:r>
            <w:r>
              <w:rPr>
                <w:rFonts w:eastAsia="SimSun" w:cs="Times New Roman"/>
                <w:color w:val="000000"/>
                <w:sz w:val="20"/>
                <w:szCs w:val="20"/>
                <w:lang w:eastAsia="zh-CN"/>
              </w:rPr>
              <w:instrText>和其他潜在协变量对万古霉素清除率</w:instrText>
            </w:r>
            <w:r>
              <w:rPr>
                <w:rFonts w:eastAsia="SimSun" w:cs="Times New Roman"/>
                <w:color w:val="000000"/>
                <w:sz w:val="20"/>
                <w:szCs w:val="20"/>
                <w:lang w:eastAsia="zh-CN"/>
              </w:rPr>
              <w:instrText>( CL )</w:instrText>
            </w:r>
            <w:r>
              <w:rPr>
                <w:rFonts w:eastAsia="SimSun" w:cs="Times New Roman"/>
                <w:color w:val="000000"/>
                <w:sz w:val="20"/>
                <w:szCs w:val="20"/>
                <w:lang w:eastAsia="zh-CN"/>
              </w:rPr>
              <w:instrText>的影响。结果：最终的一室药动学模型包含了</w:instrText>
            </w:r>
            <w:r>
              <w:rPr>
                <w:rFonts w:eastAsia="SimSun" w:cs="Times New Roman"/>
                <w:color w:val="000000"/>
                <w:sz w:val="20"/>
                <w:szCs w:val="20"/>
                <w:lang w:eastAsia="zh-CN"/>
              </w:rPr>
              <w:instrText>Cr Cl</w:instrText>
            </w:r>
            <w:r>
              <w:rPr>
                <w:rFonts w:eastAsia="SimSun" w:cs="Times New Roman"/>
                <w:color w:val="000000"/>
                <w:sz w:val="20"/>
                <w:szCs w:val="20"/>
                <w:lang w:eastAsia="zh-CN"/>
              </w:rPr>
              <w:instrText>对</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的影响。</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估算了典型受试者的群体药动学参数为</w:instrText>
            </w:r>
            <w:r>
              <w:rPr>
                <w:rFonts w:eastAsia="SimSun" w:cs="Times New Roman"/>
                <w:color w:val="000000"/>
                <w:sz w:val="20"/>
                <w:szCs w:val="20"/>
                <w:lang w:eastAsia="zh-CN"/>
              </w:rPr>
              <w:instrText>0 . 024 l / h</w:instrText>
            </w:r>
            <w:r>
              <w:rPr>
                <w:rFonts w:eastAsia="SimSun" w:cs="Times New Roman"/>
                <w:color w:val="000000"/>
                <w:sz w:val="20"/>
                <w:szCs w:val="20"/>
                <w:lang w:eastAsia="zh-CN"/>
              </w:rPr>
              <w:instrText>为肾功能依赖</w:instrText>
            </w:r>
            <w:r>
              <w:rPr>
                <w:rFonts w:eastAsia="SimSun" w:cs="Times New Roman"/>
                <w:color w:val="000000"/>
                <w:sz w:val="20"/>
                <w:szCs w:val="20"/>
                <w:lang w:eastAsia="zh-CN"/>
              </w:rPr>
              <w:instrText>CL ( CLCrCl )</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93 L / h</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CL (</w:instrText>
            </w:r>
            <w:r>
              <w:rPr>
                <w:rFonts w:eastAsia="SimSun" w:cs="Times New Roman"/>
                <w:color w:val="000000"/>
                <w:sz w:val="20"/>
                <w:szCs w:val="20"/>
                <w:lang w:eastAsia="zh-CN"/>
              </w:rPr>
              <w:instrText>不依赖于肾功能</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残留部分为</w:instrText>
            </w:r>
            <w:r>
              <w:rPr>
                <w:rFonts w:eastAsia="SimSun" w:cs="Times New Roman"/>
                <w:color w:val="000000"/>
                <w:sz w:val="20"/>
                <w:szCs w:val="20"/>
                <w:lang w:eastAsia="zh-CN"/>
              </w:rPr>
              <w:instrText>0 .</w:instrText>
            </w:r>
            <w:r>
              <w:rPr>
                <w:rFonts w:eastAsia="SimSun" w:cs="Times New Roman"/>
                <w:color w:val="000000"/>
                <w:sz w:val="20"/>
                <w:szCs w:val="20"/>
                <w:lang w:eastAsia="zh-CN"/>
              </w:rPr>
              <w:instrText>分配体积</w:instrText>
            </w:r>
            <w:r>
              <w:rPr>
                <w:rFonts w:eastAsia="SimSun" w:cs="Times New Roman"/>
                <w:color w:val="000000"/>
                <w:sz w:val="20"/>
                <w:szCs w:val="20"/>
                <w:lang w:eastAsia="zh-CN"/>
              </w:rPr>
              <w:instrText>( V )</w:instrText>
            </w:r>
            <w:r>
              <w:rPr>
                <w:rFonts w:eastAsia="SimSun" w:cs="Times New Roman"/>
                <w:color w:val="000000"/>
                <w:sz w:val="20"/>
                <w:szCs w:val="20"/>
                <w:lang w:eastAsia="zh-CN"/>
              </w:rPr>
              <w:instrText>为</w:instrText>
            </w:r>
            <w:r>
              <w:rPr>
                <w:rFonts w:eastAsia="SimSun" w:cs="Times New Roman"/>
                <w:color w:val="000000"/>
                <w:sz w:val="20"/>
                <w:szCs w:val="20"/>
                <w:lang w:eastAsia="zh-CN"/>
              </w:rPr>
              <w:instrText>511 l / kg</w:instrText>
            </w:r>
            <w:r>
              <w:rPr>
                <w:rFonts w:eastAsia="SimSun" w:cs="Times New Roman"/>
                <w:color w:val="000000"/>
                <w:sz w:val="20"/>
                <w:szCs w:val="20"/>
                <w:lang w:eastAsia="zh-CN"/>
              </w:rPr>
              <w:instrText>。根据最终模型，对于</w:instrText>
            </w:r>
            <w:r>
              <w:rPr>
                <w:rFonts w:eastAsia="SimSun" w:cs="Times New Roman"/>
                <w:color w:val="000000"/>
                <w:sz w:val="20"/>
                <w:szCs w:val="20"/>
                <w:lang w:eastAsia="zh-CN"/>
              </w:rPr>
              <w:instrText>CrCl = 120 ml / min</w:instrText>
            </w:r>
            <w:r>
              <w:rPr>
                <w:rFonts w:eastAsia="SimSun" w:cs="Times New Roman"/>
                <w:color w:val="000000"/>
                <w:sz w:val="20"/>
                <w:szCs w:val="20"/>
                <w:lang w:eastAsia="zh-CN"/>
              </w:rPr>
              <w:instrText>的患者，万古霉素总</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的中位数为</w:instrText>
            </w:r>
            <w:r>
              <w:rPr>
                <w:rFonts w:eastAsia="SimSun" w:cs="Times New Roman"/>
                <w:color w:val="000000"/>
                <w:sz w:val="20"/>
                <w:szCs w:val="20"/>
                <w:lang w:eastAsia="zh-CN"/>
              </w:rPr>
              <w:instrText>4 . 81 l / h</w:instrText>
            </w:r>
            <w:r>
              <w:rPr>
                <w:rFonts w:eastAsia="SimSun" w:cs="Times New Roman"/>
                <w:color w:val="000000"/>
                <w:sz w:val="20"/>
                <w:szCs w:val="20"/>
                <w:lang w:eastAsia="zh-CN"/>
              </w:rPr>
              <w:instrText>，而</w:instrText>
            </w:r>
            <w:r>
              <w:rPr>
                <w:rFonts w:eastAsia="SimSun" w:cs="Times New Roman"/>
                <w:color w:val="000000"/>
                <w:sz w:val="20"/>
                <w:szCs w:val="20"/>
                <w:lang w:eastAsia="zh-CN"/>
              </w:rPr>
              <w:instrText>CrCl</w:instrText>
            </w:r>
            <w:r>
              <w:rPr>
                <w:rFonts w:eastAsia="SimSun" w:cs="Times New Roman"/>
                <w:color w:val="000000"/>
                <w:sz w:val="20"/>
                <w:szCs w:val="20"/>
                <w:lang w:eastAsia="zh-CN"/>
              </w:rPr>
              <w:instrText>依赖部分约占</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w:instrText>
            </w:r>
            <w:r>
              <w:rPr>
                <w:rFonts w:eastAsia="SimSun" w:cs="Times New Roman"/>
                <w:color w:val="000000"/>
                <w:sz w:val="20"/>
                <w:szCs w:val="20"/>
                <w:lang w:eastAsia="zh-CN"/>
              </w:rPr>
              <w:instrText>60 %</w:instrText>
            </w:r>
            <w:r>
              <w:rPr>
                <w:rFonts w:eastAsia="SimSun" w:cs="Times New Roman"/>
                <w:color w:val="000000"/>
                <w:sz w:val="20"/>
                <w:szCs w:val="20"/>
                <w:lang w:eastAsia="zh-CN"/>
              </w:rPr>
              <w:instrText>。结论：本研究建立的群体万古霉素模型可用于成人危重症脓毒症患者个体</w:instrText>
            </w:r>
            <w:r>
              <w:rPr>
                <w:rFonts w:eastAsia="SimSun" w:cs="Times New Roman"/>
                <w:color w:val="000000"/>
                <w:sz w:val="20"/>
                <w:szCs w:val="20"/>
                <w:lang w:eastAsia="zh-CN"/>
              </w:rPr>
              <w:instrText>CL</w:instrText>
            </w:r>
            <w:r>
              <w:rPr>
                <w:rFonts w:eastAsia="SimSun" w:cs="Times New Roman"/>
                <w:color w:val="000000"/>
                <w:sz w:val="20"/>
                <w:szCs w:val="20"/>
                <w:lang w:eastAsia="zh-CN"/>
              </w:rPr>
              <w:instrText>的估算，并可用于考虑</w:instrText>
            </w:r>
            <w:r>
              <w:rPr>
                <w:rFonts w:eastAsia="SimSun" w:cs="Times New Roman"/>
                <w:color w:val="000000"/>
                <w:sz w:val="20"/>
                <w:szCs w:val="20"/>
                <w:lang w:eastAsia="zh-CN"/>
              </w:rPr>
              <w:instrText>CrCl</w:instrText>
            </w:r>
            <w:r>
              <w:rPr>
                <w:rFonts w:eastAsia="SimSun" w:cs="Times New Roman"/>
                <w:color w:val="000000"/>
                <w:sz w:val="20"/>
                <w:szCs w:val="20"/>
                <w:lang w:eastAsia="zh-CN"/>
              </w:rPr>
              <w:instrText>持续效应的个体化给药方案的制定。</w:instrText>
            </w:r>
            <w:r>
              <w:rPr>
                <w:rFonts w:eastAsia="SimSun" w:cs="Times New Roman"/>
                <w:color w:val="000000"/>
                <w:sz w:val="20"/>
                <w:szCs w:val="20"/>
                <w:lang w:eastAsia="zh-CN"/>
              </w:rPr>
              <w:instrText xml:space="preserve">","page":"116-121","source":"DOI.org (Crossref)","title":"Population pharmacokinetic model of vancomycin based on therapeutic drug monitoring data in critically ill septic patients","volume":"55","author":[{"family":"Kovacevic","given":"Tijana"},{"family":"Miljkovic","given":"Branislava"},{"family":"Kovacevic","given":"Pedja"},{"family":"Dragic","given":"Sasa"},{"family":"Momcicevic","given":"Danica"},{"family":"Avram","given":"Sanja"},{"family":"Jovanovic","given":"Marija"},{"family":"Vucicevic","given":"Katarina"}],"issued":{"date-parts":[["2020",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13</w:t>
            </w:r>
            <w:r>
              <w:rPr>
                <w:rFonts w:eastAsia="SimSun" w:cs="Times New Roman"/>
                <w:color w:val="000000"/>
                <w:sz w:val="20"/>
                <w:szCs w:val="20"/>
                <w:lang w:eastAsia="zh-CN"/>
              </w:rPr>
              <w:fldChar w:fldCharType="end"/>
            </w:r>
          </w:p>
        </w:tc>
        <w:tc>
          <w:tcPr>
            <w:tcW w:w="2088" w:type="dxa"/>
            <w:tcBorders>
              <w:top w:val="nil"/>
              <w:left w:val="nil"/>
              <w:bottom w:val="nil"/>
              <w:right w:val="nil"/>
            </w:tcBorders>
            <w:vAlign w:val="center"/>
          </w:tcPr>
          <w:p w14:paraId="4B7A525C" w14:textId="77777777" w:rsidR="00857A7C" w:rsidRDefault="00000000">
            <w:pPr>
              <w:spacing w:after="0" w:line="480" w:lineRule="auto"/>
              <w:rPr>
                <w:sz w:val="20"/>
                <w:szCs w:val="28"/>
              </w:rPr>
            </w:pPr>
            <w:r>
              <w:rPr>
                <w:sz w:val="20"/>
                <w:szCs w:val="28"/>
              </w:rPr>
              <w:t>Weight</w:t>
            </w:r>
          </w:p>
        </w:tc>
        <w:tc>
          <w:tcPr>
            <w:tcW w:w="1440" w:type="dxa"/>
            <w:tcBorders>
              <w:top w:val="nil"/>
              <w:left w:val="nil"/>
              <w:bottom w:val="nil"/>
              <w:right w:val="nil"/>
            </w:tcBorders>
            <w:vAlign w:val="center"/>
          </w:tcPr>
          <w:p w14:paraId="2EB66ED6" w14:textId="77777777" w:rsidR="00857A7C" w:rsidRDefault="00000000">
            <w:pPr>
              <w:spacing w:after="0" w:line="480" w:lineRule="auto"/>
              <w:rPr>
                <w:sz w:val="20"/>
                <w:szCs w:val="28"/>
              </w:rPr>
            </w:pPr>
            <w:r>
              <w:rPr>
                <w:sz w:val="20"/>
                <w:szCs w:val="28"/>
              </w:rPr>
              <w:t>Continuous</w:t>
            </w:r>
          </w:p>
        </w:tc>
        <w:tc>
          <w:tcPr>
            <w:tcW w:w="1800" w:type="dxa"/>
            <w:tcBorders>
              <w:top w:val="nil"/>
              <w:left w:val="nil"/>
              <w:bottom w:val="nil"/>
              <w:right w:val="nil"/>
            </w:tcBorders>
            <w:vAlign w:val="center"/>
          </w:tcPr>
          <w:p w14:paraId="27C6D24C" w14:textId="77777777" w:rsidR="00857A7C" w:rsidRDefault="00000000">
            <w:pPr>
              <w:spacing w:after="0" w:line="480" w:lineRule="auto"/>
              <w:rPr>
                <w:sz w:val="20"/>
                <w:szCs w:val="28"/>
              </w:rPr>
            </w:pPr>
            <w:r>
              <w:rPr>
                <w:sz w:val="20"/>
                <w:szCs w:val="28"/>
              </w:rPr>
              <w:t>General ICU adults</w:t>
            </w:r>
          </w:p>
        </w:tc>
        <w:tc>
          <w:tcPr>
            <w:tcW w:w="1656" w:type="dxa"/>
            <w:tcBorders>
              <w:top w:val="nil"/>
              <w:left w:val="nil"/>
              <w:bottom w:val="nil"/>
              <w:right w:val="nil"/>
            </w:tcBorders>
            <w:vAlign w:val="center"/>
          </w:tcPr>
          <w:p w14:paraId="117E7D30" w14:textId="77777777" w:rsidR="00857A7C" w:rsidRDefault="00000000">
            <w:pPr>
              <w:spacing w:after="0" w:line="480" w:lineRule="auto"/>
              <w:rPr>
                <w:sz w:val="20"/>
                <w:szCs w:val="28"/>
              </w:rPr>
            </w:pPr>
            <w:r>
              <w:rPr>
                <w:sz w:val="20"/>
                <w:szCs w:val="28"/>
              </w:rPr>
              <w:t>70 kg</w:t>
            </w:r>
          </w:p>
        </w:tc>
        <w:tc>
          <w:tcPr>
            <w:tcW w:w="1440" w:type="dxa"/>
            <w:tcBorders>
              <w:top w:val="nil"/>
              <w:left w:val="nil"/>
              <w:bottom w:val="nil"/>
              <w:right w:val="nil"/>
            </w:tcBorders>
            <w:vAlign w:val="center"/>
          </w:tcPr>
          <w:p w14:paraId="3C954A2B" w14:textId="77777777" w:rsidR="00857A7C" w:rsidRDefault="00000000">
            <w:pPr>
              <w:spacing w:after="0" w:line="480" w:lineRule="auto"/>
              <w:rPr>
                <w:sz w:val="20"/>
                <w:szCs w:val="28"/>
              </w:rPr>
            </w:pPr>
            <w:r>
              <w:rPr>
                <w:sz w:val="20"/>
                <w:szCs w:val="28"/>
              </w:rPr>
              <w:t>50 kg</w:t>
            </w:r>
          </w:p>
        </w:tc>
        <w:tc>
          <w:tcPr>
            <w:tcW w:w="1440" w:type="dxa"/>
            <w:tcBorders>
              <w:top w:val="nil"/>
              <w:left w:val="nil"/>
              <w:bottom w:val="nil"/>
              <w:right w:val="nil"/>
            </w:tcBorders>
            <w:vAlign w:val="center"/>
          </w:tcPr>
          <w:p w14:paraId="464B2225" w14:textId="77777777" w:rsidR="00857A7C" w:rsidRDefault="00000000">
            <w:pPr>
              <w:spacing w:after="0" w:line="480" w:lineRule="auto"/>
              <w:rPr>
                <w:sz w:val="20"/>
                <w:szCs w:val="28"/>
              </w:rPr>
            </w:pPr>
            <w:r>
              <w:rPr>
                <w:sz w:val="20"/>
                <w:szCs w:val="28"/>
              </w:rPr>
              <w:t>100 kg</w:t>
            </w:r>
          </w:p>
        </w:tc>
        <w:tc>
          <w:tcPr>
            <w:tcW w:w="1440" w:type="dxa"/>
            <w:tcBorders>
              <w:top w:val="nil"/>
              <w:left w:val="nil"/>
              <w:bottom w:val="nil"/>
              <w:right w:val="nil"/>
            </w:tcBorders>
            <w:vAlign w:val="center"/>
          </w:tcPr>
          <w:p w14:paraId="4B69CD11" w14:textId="77777777" w:rsidR="00857A7C" w:rsidRDefault="00000000">
            <w:pPr>
              <w:spacing w:after="0" w:line="480" w:lineRule="auto"/>
              <w:jc w:val="center"/>
              <w:rPr>
                <w:sz w:val="20"/>
                <w:szCs w:val="28"/>
              </w:rPr>
            </w:pPr>
            <w:r>
              <w:rPr>
                <w:sz w:val="20"/>
                <w:szCs w:val="28"/>
              </w:rPr>
              <w:t>0.71–1.43</w:t>
            </w:r>
          </w:p>
        </w:tc>
      </w:tr>
      <w:tr w:rsidR="00857A7C" w14:paraId="633C107F" w14:textId="77777777">
        <w:trPr>
          <w:jc w:val="center"/>
        </w:trPr>
        <w:tc>
          <w:tcPr>
            <w:tcW w:w="1440" w:type="dxa"/>
            <w:tcBorders>
              <w:top w:val="nil"/>
              <w:left w:val="nil"/>
              <w:bottom w:val="nil"/>
              <w:right w:val="nil"/>
            </w:tcBorders>
            <w:vAlign w:val="center"/>
          </w:tcPr>
          <w:p w14:paraId="7F680049" w14:textId="77777777" w:rsidR="00857A7C" w:rsidRDefault="00000000">
            <w:pPr>
              <w:spacing w:after="0" w:line="480" w:lineRule="auto"/>
              <w:rPr>
                <w:rFonts w:cs="Times New Roman"/>
                <w:sz w:val="20"/>
                <w:szCs w:val="20"/>
              </w:rPr>
            </w:pPr>
            <w:r>
              <w:rPr>
                <w:rFonts w:eastAsia="SimSun" w:cs="Times New Roman"/>
                <w:color w:val="000000"/>
                <w:sz w:val="20"/>
                <w:szCs w:val="20"/>
              </w:rPr>
              <w:t>Roberts</w:t>
            </w:r>
            <w:r>
              <w:rPr>
                <w:rFonts w:eastAsia="SimSun" w:cs="Times New Roman"/>
                <w:color w:val="000000"/>
                <w:sz w:val="20"/>
                <w:szCs w:val="20"/>
              </w:rPr>
              <w:fldChar w:fldCharType="begin"/>
            </w:r>
            <w:r>
              <w:rPr>
                <w:rFonts w:eastAsia="SimSun" w:cs="Times New Roman"/>
                <w:color w:val="000000"/>
                <w:sz w:val="20"/>
                <w:szCs w:val="20"/>
                <w:lang w:eastAsia="zh-CN"/>
              </w:rPr>
              <w:instrText xml:space="preserve"> ADDIN ZOTERO_ITEM CSL_CITATION {"citationID":"m9VS6Pqu","properties":{"unsorted":false,"formattedCitation":"\\super 11\\nosupersub{}","plainCitation":"11","noteIndex":0},"citationItems":[{"id":272,"uris":["http://zotero.org/users/local/5zxoZT6d/items/KDQ5IZE9"],"itemData":{"id":272,"type":"article-journal","abstract":"ABSTRACT\n            \n              Despite the development of novel antibiotics active against Gram-positive bacteria, vancomycin generally remains the first treatment, although rapidly achieving concentrations associated with maximal efficacy provides an unresolved challenge. The objective of this study was to conduct a population pharmacokinetic analysis of vancomycin in a large population of critically ill patients. This was a retrospective data collection of 206 adult septic critically ill patients who were administered vancomycin as a loading dose followed by continuous infusion. The concentration-versus-time data for vancomycin in serum was analyzed by a nonlinear mixed-effects modeling approach using NONMEM. Monte Carlo simulations were performed using the final covariate model. We found that the best population pharmacokinetic model consisted of a one-compartment linear model with combined proportional and additive residual unknown variability. The volume of distribution of vancomycin (1.5 liters/kg) was described by total body weight and clearance (4.6 liters/h) by 24-hour urinary creatinine clearance (CrCl), normalized to body surface area. Simulation data showed that a 35-mg/kg loading dose was necessary to rapidly achieve vancomycin concentrations of 20 mg/liter. Daily vancomycin requirements were dependent on CrCl, such that a patient with a CrCl of 100 ml/min/1.73 m\n              2\n              would require at least 35 mg/kg per day by continuous infusion to maintain target concentrations. In conclusion, we have found that higher-than-recommended loading and daily doses of vancomycin seem to be necessary to rapidly achieve therapeutic serum concentrations in these patients.","container-title":"Antimicrobial Agents and Chemotherapy","DOI":"10.1128/AAC.01708-10","ISSN":"0066-4804, 1098-6596","issue":"6","journalAbbreviation":"Antimicrob. Agents Chemother.","language":"en","note":"TLDR: It is found that higher-than-recommended loading and daily doses of vancomycin seem to be necessary to rapidly achieve therapeutic serum concentrations in these patients.\ntitleTranslation: </w:instrText>
            </w:r>
            <w:r>
              <w:rPr>
                <w:rFonts w:eastAsia="SimSun" w:cs="Times New Roman"/>
                <w:color w:val="000000"/>
                <w:sz w:val="20"/>
                <w:szCs w:val="20"/>
                <w:lang w:eastAsia="zh-CN"/>
              </w:rPr>
              <w:instrText>重症患者万古霉素给药：改良持续输注方案的稳健方法。</w:instrText>
            </w:r>
            <w:r>
              <w:rPr>
                <w:rFonts w:eastAsia="SimSun" w:cs="Times New Roman"/>
                <w:color w:val="000000"/>
                <w:sz w:val="20"/>
                <w:szCs w:val="20"/>
                <w:lang w:eastAsia="zh-CN"/>
              </w:rPr>
              <w:instrText xml:space="preserve">","page":"2704-2709","source":"DOI.org (Crossref)","title":"Vancomycin dosing in critically ill patients: Robust methods for improved continuous-infusion regimens","title-short":"Vancomycin Dosing in Critically Ill Patients","volume":"55","author":[{"family":"Roberts","given":"Jason A."},{"family":"Taccone","given":"Fabio Silvio"},{"family":"Udy","given":"Andrew A."},{"family":"Vincent","given":"Jean-Louis"},{"family":"Jacobs","given":"Frédérique"},{"family":"Lipman","given":"Jeffrey"}],"issued":{"date-parts":[["2011",6]]}}}],"schema":"https://github.com/citation-style-language/schema/raw/master/csl-citation.json"} </w:instrText>
            </w:r>
            <w:r>
              <w:rPr>
                <w:rFonts w:eastAsia="SimSun" w:cs="Times New Roman"/>
                <w:color w:val="000000"/>
                <w:sz w:val="20"/>
                <w:szCs w:val="20"/>
              </w:rPr>
              <w:fldChar w:fldCharType="separate"/>
            </w:r>
            <w:r>
              <w:rPr>
                <w:rFonts w:cs="Times New Roman"/>
                <w:color w:val="000000"/>
                <w:sz w:val="20"/>
                <w:szCs w:val="20"/>
                <w:vertAlign w:val="superscript"/>
              </w:rPr>
              <w:t>11</w:t>
            </w:r>
            <w:r>
              <w:rPr>
                <w:rFonts w:eastAsia="SimSun" w:cs="Times New Roman"/>
                <w:color w:val="000000"/>
                <w:sz w:val="20"/>
                <w:szCs w:val="20"/>
              </w:rPr>
              <w:fldChar w:fldCharType="end"/>
            </w:r>
          </w:p>
        </w:tc>
        <w:tc>
          <w:tcPr>
            <w:tcW w:w="2088" w:type="dxa"/>
            <w:tcBorders>
              <w:top w:val="nil"/>
              <w:left w:val="nil"/>
              <w:bottom w:val="nil"/>
              <w:right w:val="nil"/>
            </w:tcBorders>
            <w:vAlign w:val="center"/>
          </w:tcPr>
          <w:p w14:paraId="53DFDD51" w14:textId="77777777" w:rsidR="00857A7C" w:rsidRDefault="00000000">
            <w:pPr>
              <w:spacing w:after="0" w:line="480" w:lineRule="auto"/>
              <w:rPr>
                <w:sz w:val="20"/>
                <w:szCs w:val="28"/>
              </w:rPr>
            </w:pPr>
            <w:r>
              <w:rPr>
                <w:sz w:val="20"/>
                <w:szCs w:val="28"/>
              </w:rPr>
              <w:t>TBW</w:t>
            </w:r>
          </w:p>
        </w:tc>
        <w:tc>
          <w:tcPr>
            <w:tcW w:w="1440" w:type="dxa"/>
            <w:tcBorders>
              <w:top w:val="nil"/>
              <w:left w:val="nil"/>
              <w:bottom w:val="nil"/>
              <w:right w:val="nil"/>
            </w:tcBorders>
            <w:vAlign w:val="center"/>
          </w:tcPr>
          <w:p w14:paraId="4E3A3C60" w14:textId="77777777" w:rsidR="00857A7C" w:rsidRDefault="00000000">
            <w:pPr>
              <w:spacing w:after="0" w:line="480" w:lineRule="auto"/>
              <w:rPr>
                <w:sz w:val="20"/>
                <w:szCs w:val="28"/>
              </w:rPr>
            </w:pPr>
            <w:r>
              <w:rPr>
                <w:sz w:val="20"/>
                <w:szCs w:val="28"/>
              </w:rPr>
              <w:t>Continuous</w:t>
            </w:r>
          </w:p>
        </w:tc>
        <w:tc>
          <w:tcPr>
            <w:tcW w:w="1800" w:type="dxa"/>
            <w:tcBorders>
              <w:top w:val="nil"/>
              <w:left w:val="nil"/>
              <w:bottom w:val="nil"/>
              <w:right w:val="nil"/>
            </w:tcBorders>
            <w:vAlign w:val="center"/>
          </w:tcPr>
          <w:p w14:paraId="2B2B0173" w14:textId="77777777" w:rsidR="00857A7C" w:rsidRDefault="00000000">
            <w:pPr>
              <w:spacing w:after="0" w:line="480" w:lineRule="auto"/>
              <w:rPr>
                <w:sz w:val="20"/>
                <w:szCs w:val="28"/>
              </w:rPr>
            </w:pPr>
            <w:r>
              <w:rPr>
                <w:sz w:val="20"/>
                <w:szCs w:val="28"/>
              </w:rPr>
              <w:t>General ICU adults</w:t>
            </w:r>
          </w:p>
        </w:tc>
        <w:tc>
          <w:tcPr>
            <w:tcW w:w="1656" w:type="dxa"/>
            <w:tcBorders>
              <w:top w:val="nil"/>
              <w:left w:val="nil"/>
              <w:bottom w:val="nil"/>
              <w:right w:val="nil"/>
            </w:tcBorders>
            <w:vAlign w:val="center"/>
          </w:tcPr>
          <w:p w14:paraId="2BE352B3" w14:textId="77777777" w:rsidR="00857A7C" w:rsidRDefault="00000000">
            <w:pPr>
              <w:spacing w:after="0" w:line="480" w:lineRule="auto"/>
              <w:rPr>
                <w:sz w:val="20"/>
                <w:szCs w:val="28"/>
              </w:rPr>
            </w:pPr>
            <w:r>
              <w:rPr>
                <w:sz w:val="20"/>
                <w:szCs w:val="28"/>
              </w:rPr>
              <w:t>70 kg</w:t>
            </w:r>
          </w:p>
        </w:tc>
        <w:tc>
          <w:tcPr>
            <w:tcW w:w="1440" w:type="dxa"/>
            <w:tcBorders>
              <w:top w:val="nil"/>
              <w:left w:val="nil"/>
              <w:bottom w:val="nil"/>
              <w:right w:val="nil"/>
            </w:tcBorders>
            <w:vAlign w:val="center"/>
          </w:tcPr>
          <w:p w14:paraId="4AE8602A" w14:textId="77777777" w:rsidR="00857A7C" w:rsidRDefault="00000000">
            <w:pPr>
              <w:spacing w:after="0" w:line="480" w:lineRule="auto"/>
              <w:rPr>
                <w:sz w:val="20"/>
                <w:szCs w:val="28"/>
              </w:rPr>
            </w:pPr>
            <w:r>
              <w:rPr>
                <w:sz w:val="20"/>
                <w:szCs w:val="28"/>
              </w:rPr>
              <w:t>50 kg</w:t>
            </w:r>
          </w:p>
        </w:tc>
        <w:tc>
          <w:tcPr>
            <w:tcW w:w="1440" w:type="dxa"/>
            <w:tcBorders>
              <w:top w:val="nil"/>
              <w:left w:val="nil"/>
              <w:bottom w:val="nil"/>
              <w:right w:val="nil"/>
            </w:tcBorders>
            <w:vAlign w:val="center"/>
          </w:tcPr>
          <w:p w14:paraId="4FBDFB81" w14:textId="77777777" w:rsidR="00857A7C" w:rsidRDefault="00000000">
            <w:pPr>
              <w:spacing w:after="0" w:line="480" w:lineRule="auto"/>
              <w:rPr>
                <w:sz w:val="20"/>
                <w:szCs w:val="28"/>
              </w:rPr>
            </w:pPr>
            <w:r>
              <w:rPr>
                <w:sz w:val="20"/>
                <w:szCs w:val="28"/>
              </w:rPr>
              <w:t>100 kg</w:t>
            </w:r>
          </w:p>
        </w:tc>
        <w:tc>
          <w:tcPr>
            <w:tcW w:w="1440" w:type="dxa"/>
            <w:tcBorders>
              <w:top w:val="nil"/>
              <w:left w:val="nil"/>
              <w:bottom w:val="nil"/>
              <w:right w:val="nil"/>
            </w:tcBorders>
            <w:vAlign w:val="center"/>
          </w:tcPr>
          <w:p w14:paraId="4666724F" w14:textId="77777777" w:rsidR="00857A7C" w:rsidRDefault="00000000">
            <w:pPr>
              <w:spacing w:after="0" w:line="480" w:lineRule="auto"/>
              <w:jc w:val="center"/>
              <w:rPr>
                <w:sz w:val="20"/>
                <w:szCs w:val="28"/>
              </w:rPr>
            </w:pPr>
            <w:r>
              <w:rPr>
                <w:sz w:val="20"/>
                <w:szCs w:val="28"/>
              </w:rPr>
              <w:t>0.71–1.43</w:t>
            </w:r>
          </w:p>
        </w:tc>
      </w:tr>
      <w:tr w:rsidR="00857A7C" w14:paraId="529A325A" w14:textId="77777777">
        <w:trPr>
          <w:jc w:val="center"/>
        </w:trPr>
        <w:tc>
          <w:tcPr>
            <w:tcW w:w="1440" w:type="dxa"/>
            <w:tcBorders>
              <w:top w:val="nil"/>
              <w:left w:val="nil"/>
              <w:bottom w:val="nil"/>
              <w:right w:val="nil"/>
            </w:tcBorders>
            <w:vAlign w:val="center"/>
          </w:tcPr>
          <w:p w14:paraId="1251C323" w14:textId="77777777" w:rsidR="00857A7C" w:rsidRDefault="00000000">
            <w:pPr>
              <w:spacing w:after="0" w:line="480" w:lineRule="auto"/>
              <w:rPr>
                <w:rFonts w:cs="Times New Roman"/>
                <w:sz w:val="20"/>
                <w:szCs w:val="20"/>
              </w:rPr>
            </w:pPr>
            <w:r>
              <w:rPr>
                <w:rFonts w:eastAsia="SimSun" w:cs="Times New Roman"/>
                <w:color w:val="000000"/>
                <w:sz w:val="20"/>
                <w:szCs w:val="20"/>
              </w:rPr>
              <w:t>Medellín-Garibay</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{"citationID":"xxZcXlpG","properties":{"unsorted":false,"formattedCitation":"\\super 9\\nosupersub{}","plainCitation":"9","noteIndex":0},"citationItems":[{"id":64,"uris":["http://zotero.org/users/local/5zxoZT6d/items/9WWVZ64X"],"itemData":{"id":64,"type":"article-journal","abstract":"Pathophysiological changes involved in drug disposition in critically ill patients should be considered in order to optimize the dosing of vancomycin administered by continuous infusion, and certain strategies must be applied to reach therapeutic targets on the ﬁrst day of treatment. The aim of this study was to develop a population pharmacokinetic model of vancomycin to determine clinical covariates, including mechanical ventilation, that inﬂuence the wide variability of this antimicrobial. Plasma vancomycin concentrations from 54 critically ill patients were analyzed simultaneously by a population pharmacokinetic approach. A nomogram for dosing recommendations was developed and was internally evaluated through stochastic simulations. The plasma vancomycin concentration-versus-time data were best described by a one-compartment open model with exponential interindividual variability associated with vancomycin clearance and the volume of distribution. Residual error followed a homoscedastic trend. Creatinine clearance and body weight signiﬁcantly dropped the objective function value, showing their inﬂuence on vancomycin clearance and the volume of distribution, respectively. Characterization based on the presence of mechanical ventilation demonstrated a 20% decrease in vancomycin clearance. External validation (n 18) was performed to evaluate the predictive ability of the model; median bias and precision values were 0.7 mg/liter (95% conﬁdence interval [CI], 0.4, 1.7) and 5.9 mg/liter (95% CI, 5.4, 6.4), respectively. A population pharmacokinetic model was developed for the administration of vancomycin by continuous infusion to critically ill patients, demonstrating the inﬂuence of creatinine clearance and mechanical ventilation on vancomycin clearance, as well as the implications for targeting dosing rates to reach the therapeutic range (20 to 30 mg/liter).","container-title":"Antimicrobial Agents and Chemotherapy","DOI":"10.1128/AAC.01249-17","ISSN":"0066-4804, 1098-6596","issue":"12","journalAbbreviation":"Antimicrob. Agents Chemother.","language":"en","note":"TLDR: A population pharmacokinetic model was developed for the administration of vancomycin by continuous infusion to critically ill patients, demonstrating the influence of creatinine clearance and mechanical ventilation on vancomYcin clearance, as well as the implications for targeting dosing rates to reach the therapeutic range.\ntitleTranslation: </w:instrText>
            </w:r>
            <w:r>
              <w:rPr>
                <w:rFonts w:eastAsia="SimSun" w:cs="Times New Roman"/>
                <w:color w:val="000000"/>
                <w:sz w:val="20"/>
                <w:szCs w:val="20"/>
                <w:lang w:eastAsia="zh-CN"/>
              </w:rPr>
              <w:instrText>机械通气对危重症患者持续输注万古霉素药动学的影响。</w:instrText>
            </w:r>
            <w:r>
              <w:rPr>
                <w:rFonts w:eastAsia="SimSun" w:cs="Times New Roman"/>
                <w:color w:val="000000"/>
                <w:sz w:val="20"/>
                <w:szCs w:val="20"/>
                <w:lang w:eastAsia="zh-CN"/>
              </w:rPr>
              <w:instrText xml:space="preserve">\nabstractTranslation: </w:instrText>
            </w:r>
            <w:r>
              <w:rPr>
                <w:rFonts w:eastAsia="SimSun" w:cs="Times New Roman"/>
                <w:color w:val="000000"/>
                <w:sz w:val="20"/>
                <w:szCs w:val="20"/>
                <w:lang w:eastAsia="zh-CN"/>
              </w:rPr>
              <w:instrText>为了优化持续输注万古霉素的给药剂量，应考虑危重症患者药物处置中涉及的病理生理变化，并在治疗的第一天应用一定的策略以达到治疗目标。本研究的目的是建立万古霉素的群体药代动力学模型，以确定包括机械通气在内的影响该抗菌药物广泛变异性的临床协变量。采用群体药代动力学方法同时测定</w:instrText>
            </w:r>
            <w:r>
              <w:rPr>
                <w:rFonts w:eastAsia="SimSun" w:cs="Times New Roman"/>
                <w:color w:val="000000"/>
                <w:sz w:val="20"/>
                <w:szCs w:val="20"/>
                <w:lang w:eastAsia="zh-CN"/>
              </w:rPr>
              <w:instrText>54</w:instrText>
            </w:r>
            <w:r>
              <w:rPr>
                <w:rFonts w:eastAsia="SimSun" w:cs="Times New Roman"/>
                <w:color w:val="000000"/>
                <w:sz w:val="20"/>
                <w:szCs w:val="20"/>
                <w:lang w:eastAsia="zh-CN"/>
              </w:rPr>
              <w:instrText>例重症患者的万古霉素血药浓度。开发了用于剂量推荐的列线图，并通过随机模拟进行了内部评估。</w:instrText>
            </w:r>
            <w:r>
              <w:rPr>
                <w:rFonts w:eastAsia="SimSun" w:cs="Times New Roman"/>
                <w:color w:val="000000"/>
                <w:sz w:val="20"/>
                <w:szCs w:val="20"/>
                <w:lang w:eastAsia="zh-CN"/>
              </w:rPr>
              <w:instrText xml:space="preserve"> </w:instrText>
            </w:r>
            <w:r>
              <w:rPr>
                <w:rFonts w:eastAsia="SimSun" w:cs="Times New Roman"/>
                <w:color w:val="000000"/>
                <w:sz w:val="20"/>
                <w:szCs w:val="20"/>
                <w:lang w:eastAsia="zh-CN"/>
              </w:rPr>
              <w:instrText>万古霉素血浆浓度</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时间数据用一室开放模型描述最佳，其个体差异与万古霉素清除率和分布容积有关。残差遵循同方差的趋势。肌酐清除率和体重显著降低了目标函数值，分别显示了它们对万古霉素清除率和分布容积的影响。基于机械通气的表征显示万古霉素清除率下降了</w:instrText>
            </w:r>
            <w:r>
              <w:rPr>
                <w:rFonts w:eastAsia="SimSun" w:cs="Times New Roman"/>
                <w:color w:val="000000"/>
                <w:sz w:val="20"/>
                <w:szCs w:val="20"/>
                <w:lang w:eastAsia="zh-CN"/>
              </w:rPr>
              <w:instrText>20 %</w:instrText>
            </w:r>
            <w:r>
              <w:rPr>
                <w:rFonts w:eastAsia="SimSun" w:cs="Times New Roman"/>
                <w:color w:val="000000"/>
                <w:sz w:val="20"/>
                <w:szCs w:val="20"/>
                <w:lang w:eastAsia="zh-CN"/>
              </w:rPr>
              <w:instrText>。进行外部验证</w:instrText>
            </w:r>
            <w:r>
              <w:rPr>
                <w:rFonts w:eastAsia="SimSun" w:cs="Times New Roman"/>
                <w:color w:val="000000"/>
                <w:sz w:val="20"/>
                <w:szCs w:val="20"/>
                <w:lang w:eastAsia="zh-CN"/>
              </w:rPr>
              <w:instrText>( n 18 )</w:instrText>
            </w:r>
            <w:r>
              <w:rPr>
                <w:rFonts w:eastAsia="SimSun" w:cs="Times New Roman"/>
                <w:color w:val="000000"/>
                <w:sz w:val="20"/>
                <w:szCs w:val="20"/>
                <w:lang w:eastAsia="zh-CN"/>
              </w:rPr>
              <w:instrText>以评估模型的预测能力；中位数偏倚和精确值均为</w:instrText>
            </w:r>
            <w:r>
              <w:rPr>
                <w:rFonts w:eastAsia="SimSun" w:cs="Times New Roman"/>
                <w:color w:val="000000"/>
                <w:sz w:val="20"/>
                <w:szCs w:val="20"/>
                <w:lang w:eastAsia="zh-CN"/>
              </w:rPr>
              <w:instrText>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7 Mg / Liter ( 95 %</w:instrText>
            </w:r>
            <w:r>
              <w:rPr>
                <w:rFonts w:eastAsia="SimSun" w:cs="Times New Roman"/>
                <w:color w:val="000000"/>
                <w:sz w:val="20"/>
                <w:szCs w:val="20"/>
                <w:lang w:eastAsia="zh-CN"/>
              </w:rPr>
              <w:instrText>置信区间</w:instrText>
            </w:r>
            <w:r>
              <w:rPr>
                <w:rFonts w:eastAsia="SimSun" w:cs="Times New Roman"/>
                <w:color w:val="000000"/>
                <w:sz w:val="20"/>
                <w:szCs w:val="20"/>
                <w:lang w:eastAsia="zh-CN"/>
              </w:rPr>
              <w:instrText>[ CI ] , 0</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1 . 7 )</w:instrText>
            </w:r>
            <w:r>
              <w:rPr>
                <w:rFonts w:eastAsia="SimSun" w:cs="Times New Roman"/>
                <w:color w:val="000000"/>
                <w:sz w:val="20"/>
                <w:szCs w:val="20"/>
                <w:lang w:eastAsia="zh-CN"/>
              </w:rPr>
              <w:instrText>和</w:instrText>
            </w:r>
            <w:r>
              <w:rPr>
                <w:rFonts w:eastAsia="SimSun" w:cs="Times New Roman"/>
                <w:color w:val="000000"/>
                <w:sz w:val="20"/>
                <w:szCs w:val="20"/>
                <w:lang w:eastAsia="zh-CN"/>
              </w:rPr>
              <w:instrText>5 . 9 Mg / Liter ( 95 % Ci</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5 . 4</w:instrText>
            </w:r>
            <w:r>
              <w:rPr>
                <w:rFonts w:eastAsia="SimSun" w:cs="Times New Roman"/>
                <w:color w:val="000000"/>
                <w:sz w:val="20"/>
                <w:szCs w:val="20"/>
                <w:lang w:eastAsia="zh-CN"/>
              </w:rPr>
              <w:instrText>、</w:instrText>
            </w:r>
            <w:r>
              <w:rPr>
                <w:rFonts w:eastAsia="SimSun" w:cs="Times New Roman"/>
                <w:color w:val="000000"/>
                <w:sz w:val="20"/>
                <w:szCs w:val="20"/>
                <w:lang w:eastAsia="zh-CN"/>
              </w:rPr>
              <w:instrText>6 . 4 )</w:instrText>
            </w:r>
            <w:r>
              <w:rPr>
                <w:rFonts w:eastAsia="SimSun" w:cs="Times New Roman"/>
                <w:color w:val="000000"/>
                <w:sz w:val="20"/>
                <w:szCs w:val="20"/>
                <w:lang w:eastAsia="zh-CN"/>
              </w:rPr>
              <w:instrText>。建立了重症患者持续输注万古霉素的群体药代动力学模型，阐明了肌酐清除率和机械通气对万古霉素清除率的影响，以及达到治疗范围</w:instrText>
            </w:r>
            <w:r>
              <w:rPr>
                <w:rFonts w:eastAsia="SimSun" w:cs="Times New Roman"/>
                <w:color w:val="000000"/>
                <w:sz w:val="20"/>
                <w:szCs w:val="20"/>
                <w:lang w:eastAsia="zh-CN"/>
              </w:rPr>
              <w:instrText>( 20 ~ 30 mg / L)</w:instrText>
            </w:r>
            <w:r>
              <w:rPr>
                <w:rFonts w:eastAsia="SimSun" w:cs="Times New Roman"/>
                <w:color w:val="000000"/>
                <w:sz w:val="20"/>
                <w:szCs w:val="20"/>
                <w:lang w:eastAsia="zh-CN"/>
              </w:rPr>
              <w:instrText>的目标给药速率的意义。</w:instrText>
            </w:r>
            <w:r>
              <w:rPr>
                <w:rFonts w:eastAsia="SimSun" w:cs="Times New Roman"/>
                <w:color w:val="000000"/>
                <w:sz w:val="20"/>
                <w:szCs w:val="20"/>
                <w:lang w:eastAsia="zh-CN"/>
              </w:rPr>
              <w:instrText xml:space="preserve">","page":"e01249-17","source":"DOI.org (Crossref)","title":"Influence of mechanical ventilation on the pharmacokinetics of vancomycin administered by continuous infusion in critically ill patients","volume":"61","author":[{"family":"Medellín-Garibay","given":"Susanna Edith"},{"family":"Romano-Moreno","given":"Silvia"},{"family":"Tejedor-Prado","given":"Pilar"},{"family":"Rubio-Álvaro","given":"Noelia"},{"family":"Rueda-Naharro","given":"Aida"},{"family":"Blasco-Navalpotro","given":"Miguel Angel"},{"family":"García","given":"Benito"},{"family":"Barcia","given":"Emilia"}],"issued":{"date-parts":[["2017",12]]}}}],"schema":"https://github.com/citation-style-language/schema/raw/master/csl-citation.json"}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vertAlign w:val="superscript"/>
              </w:rPr>
              <w:t>9</w:t>
            </w:r>
            <w:r>
              <w:rPr>
                <w:rFonts w:eastAsia="SimSun" w:cs="Times New Roman"/>
                <w:color w:val="000000"/>
                <w:sz w:val="20"/>
                <w:szCs w:val="20"/>
                <w:lang w:eastAsia="zh-CN"/>
              </w:rPr>
              <w:fldChar w:fldCharType="end"/>
            </w:r>
          </w:p>
        </w:tc>
        <w:tc>
          <w:tcPr>
            <w:tcW w:w="2088" w:type="dxa"/>
            <w:tcBorders>
              <w:top w:val="nil"/>
              <w:left w:val="nil"/>
              <w:bottom w:val="nil"/>
              <w:right w:val="nil"/>
            </w:tcBorders>
            <w:vAlign w:val="center"/>
          </w:tcPr>
          <w:p w14:paraId="65B7D7E0" w14:textId="77777777" w:rsidR="00857A7C" w:rsidRDefault="00000000">
            <w:pPr>
              <w:spacing w:after="0" w:line="480" w:lineRule="auto"/>
              <w:rPr>
                <w:sz w:val="20"/>
                <w:szCs w:val="28"/>
              </w:rPr>
            </w:pPr>
            <w:r>
              <w:rPr>
                <w:sz w:val="20"/>
                <w:szCs w:val="28"/>
              </w:rPr>
              <w:t>TBW</w:t>
            </w:r>
          </w:p>
        </w:tc>
        <w:tc>
          <w:tcPr>
            <w:tcW w:w="1440" w:type="dxa"/>
            <w:tcBorders>
              <w:top w:val="nil"/>
              <w:left w:val="nil"/>
              <w:bottom w:val="nil"/>
              <w:right w:val="nil"/>
            </w:tcBorders>
            <w:vAlign w:val="center"/>
          </w:tcPr>
          <w:p w14:paraId="58E19520" w14:textId="77777777" w:rsidR="00857A7C" w:rsidRDefault="00000000">
            <w:pPr>
              <w:spacing w:after="0" w:line="480" w:lineRule="auto"/>
              <w:rPr>
                <w:sz w:val="20"/>
                <w:szCs w:val="28"/>
              </w:rPr>
            </w:pPr>
            <w:r>
              <w:rPr>
                <w:sz w:val="20"/>
                <w:szCs w:val="28"/>
              </w:rPr>
              <w:t>Continuous</w:t>
            </w:r>
          </w:p>
        </w:tc>
        <w:tc>
          <w:tcPr>
            <w:tcW w:w="1800" w:type="dxa"/>
            <w:tcBorders>
              <w:top w:val="nil"/>
              <w:left w:val="nil"/>
              <w:bottom w:val="nil"/>
              <w:right w:val="nil"/>
            </w:tcBorders>
            <w:vAlign w:val="center"/>
          </w:tcPr>
          <w:p w14:paraId="6122C3EA" w14:textId="77777777" w:rsidR="00857A7C" w:rsidRDefault="00000000">
            <w:pPr>
              <w:spacing w:after="0" w:line="480" w:lineRule="auto"/>
              <w:rPr>
                <w:sz w:val="20"/>
                <w:szCs w:val="28"/>
              </w:rPr>
            </w:pPr>
            <w:r>
              <w:rPr>
                <w:sz w:val="20"/>
                <w:szCs w:val="28"/>
              </w:rPr>
              <w:t>General ICU adults</w:t>
            </w:r>
          </w:p>
        </w:tc>
        <w:tc>
          <w:tcPr>
            <w:tcW w:w="1656" w:type="dxa"/>
            <w:tcBorders>
              <w:top w:val="nil"/>
              <w:left w:val="nil"/>
              <w:bottom w:val="nil"/>
              <w:right w:val="nil"/>
            </w:tcBorders>
            <w:vAlign w:val="center"/>
          </w:tcPr>
          <w:p w14:paraId="0DC2D94E" w14:textId="77777777" w:rsidR="00857A7C" w:rsidRDefault="00000000">
            <w:pPr>
              <w:spacing w:after="0" w:line="480" w:lineRule="auto"/>
              <w:rPr>
                <w:sz w:val="20"/>
                <w:szCs w:val="28"/>
              </w:rPr>
            </w:pPr>
            <w:r>
              <w:rPr>
                <w:sz w:val="20"/>
                <w:szCs w:val="28"/>
              </w:rPr>
              <w:t>70 kg</w:t>
            </w:r>
          </w:p>
        </w:tc>
        <w:tc>
          <w:tcPr>
            <w:tcW w:w="1440" w:type="dxa"/>
            <w:tcBorders>
              <w:top w:val="nil"/>
              <w:left w:val="nil"/>
              <w:bottom w:val="nil"/>
              <w:right w:val="nil"/>
            </w:tcBorders>
            <w:vAlign w:val="center"/>
          </w:tcPr>
          <w:p w14:paraId="07172B07" w14:textId="77777777" w:rsidR="00857A7C" w:rsidRDefault="00000000">
            <w:pPr>
              <w:spacing w:after="0" w:line="480" w:lineRule="auto"/>
              <w:rPr>
                <w:sz w:val="20"/>
                <w:szCs w:val="28"/>
              </w:rPr>
            </w:pPr>
            <w:r>
              <w:rPr>
                <w:sz w:val="20"/>
                <w:szCs w:val="28"/>
              </w:rPr>
              <w:t>50 kg</w:t>
            </w:r>
          </w:p>
        </w:tc>
        <w:tc>
          <w:tcPr>
            <w:tcW w:w="1440" w:type="dxa"/>
            <w:tcBorders>
              <w:top w:val="nil"/>
              <w:left w:val="nil"/>
              <w:bottom w:val="nil"/>
              <w:right w:val="nil"/>
            </w:tcBorders>
            <w:vAlign w:val="center"/>
          </w:tcPr>
          <w:p w14:paraId="1EDA6D08" w14:textId="77777777" w:rsidR="00857A7C" w:rsidRDefault="00000000">
            <w:pPr>
              <w:spacing w:after="0" w:line="480" w:lineRule="auto"/>
              <w:rPr>
                <w:sz w:val="20"/>
                <w:szCs w:val="28"/>
              </w:rPr>
            </w:pPr>
            <w:r>
              <w:rPr>
                <w:sz w:val="20"/>
                <w:szCs w:val="28"/>
              </w:rPr>
              <w:t>100 kg</w:t>
            </w:r>
          </w:p>
        </w:tc>
        <w:tc>
          <w:tcPr>
            <w:tcW w:w="1440" w:type="dxa"/>
            <w:tcBorders>
              <w:top w:val="nil"/>
              <w:left w:val="nil"/>
              <w:bottom w:val="nil"/>
              <w:right w:val="nil"/>
            </w:tcBorders>
            <w:vAlign w:val="center"/>
          </w:tcPr>
          <w:p w14:paraId="3C959C4E" w14:textId="77777777" w:rsidR="00857A7C" w:rsidRDefault="00000000">
            <w:pPr>
              <w:spacing w:after="0" w:line="480" w:lineRule="auto"/>
              <w:jc w:val="center"/>
              <w:rPr>
                <w:sz w:val="20"/>
                <w:szCs w:val="28"/>
              </w:rPr>
            </w:pPr>
            <w:r>
              <w:rPr>
                <w:sz w:val="20"/>
                <w:szCs w:val="28"/>
              </w:rPr>
              <w:t>0.71–1.43</w:t>
            </w:r>
          </w:p>
        </w:tc>
      </w:tr>
      <w:tr w:rsidR="00857A7C" w14:paraId="1CE20ADA" w14:textId="77777777">
        <w:trPr>
          <w:jc w:val="center"/>
        </w:trPr>
        <w:tc>
          <w:tcPr>
            <w:tcW w:w="1440" w:type="dxa"/>
            <w:tcBorders>
              <w:top w:val="nil"/>
              <w:left w:val="nil"/>
              <w:bottom w:val="single" w:sz="8" w:space="0" w:color="000000"/>
              <w:right w:val="nil"/>
            </w:tcBorders>
            <w:vAlign w:val="center"/>
          </w:tcPr>
          <w:p w14:paraId="008A949F" w14:textId="77777777" w:rsidR="00857A7C" w:rsidRDefault="00000000">
            <w:pPr>
              <w:spacing w:after="0" w:line="480" w:lineRule="auto"/>
              <w:rPr>
                <w:rFonts w:cs="Times New Roman"/>
                <w:sz w:val="20"/>
                <w:szCs w:val="20"/>
              </w:rPr>
            </w:pPr>
            <w:r>
              <w:rPr>
                <w:rFonts w:eastAsia="SimSun" w:cs="Times New Roman"/>
                <w:color w:val="000000"/>
                <w:sz w:val="20"/>
                <w:szCs w:val="20"/>
                <w:lang w:eastAsia="zh-CN"/>
              </w:rPr>
              <w:t>Bang JY</w:t>
            </w:r>
            <w:r>
              <w:rPr>
                <w:rFonts w:eastAsia="SimSun" w:cs="Times New Roman"/>
                <w:color w:val="000000"/>
                <w:sz w:val="20"/>
                <w:szCs w:val="20"/>
                <w:lang w:eastAsia="zh-CN"/>
              </w:rPr>
              <w:fldChar w:fldCharType="begin"/>
            </w:r>
            <w:r>
              <w:rPr>
                <w:rFonts w:eastAsia="SimSun" w:cs="Times New Roman"/>
                <w:color w:val="000000"/>
                <w:sz w:val="20"/>
                <w:szCs w:val="20"/>
                <w:lang w:eastAsia="zh-CN"/>
              </w:rPr>
              <w:instrText xml:space="preserve"> ADDIN ZOTERO_ITEM CSL_CITATION {"citationID":"MBbr3oyv","properties":{"unsorted":false,"formattedCitation":"\\super 14\\nosupersub{}","plainCitation":"14","noteIndex":0},"citationItems":[{"id":85,"uris":["http://zotero.org/users/local/5zxoZT6d/items/WF7WYAZM"],"itemData":{"id":85,"type":"article-journal","abstract":"The aim of this prospective study was to construct a new pharmacokinetic model of vancomycin for target-concentration controlled infusion (TCI). As the first loading dose, 25 mg/kg of vancomycin was administered during 60–90 min. Arterial blood samples were obtained at pre-set intervals to measure the serum concentrations of vancomycin. Population pharmacokinetic analysis was performed using the NONMEM software (ICON Development Solutions). In total, 197 serum concentration measurements from 22 patients were used to characterise the pharmacokinetics of vancomycin. A three-compartment mammillary model best described the pharmacokinetics of vancomycin in critically ill patients. The ideal body weight was a significant covariate for the central and slow peripheral volume of distribution. The weight and age converted to categorical variables at a cut-off of 65 years were a significant covariate for the clearance. Based on the results of stochastic simulation, the TCI method maintained the therapeutic concentration range for the longest duration. In addition, assuming that vancomycin was administered by the TCI method for 7 days, the dose was reduced by about 15% compared with the standard administration methods. The daily area under the curve values were maintained between 500 mg·h/L and 600 mg·h/L. TCI has the potential to become a new infusion method for patient- tailored dosing in critically ill patients. To administer vancomycin via TCI in clinical practice, the newly constructed pharmacokinetic model should undergo proper external validation.","container-title":"Clinical and Experimental Pharmacology and Physiology","DOI":"10.1111/1440-1681.13597","ISSN":"0305-1870, 1440-1681","issue":"2","journalAbbreviation":"Clin. Exp. Pharmacol. Physiol.","language":"en","note":"TLDR: TCI has the potential to become a new infusion method for patient‐tailored dosing in critically ill patients and to administer vancomycin via TCI in clinical practice, the newly constructed pharmacokinetic model should undergo proper external validation.\ntitleTranslation: </w:instrText>
            </w:r>
            <w:r>
              <w:rPr>
                <w:rFonts w:eastAsia="SimSun" w:cs="Times New Roman"/>
                <w:color w:val="000000"/>
                <w:sz w:val="20"/>
                <w:szCs w:val="20"/>
                <w:lang w:eastAsia="zh-CN"/>
              </w:rPr>
              <w:instrText>重症患者万古霉素靶浓度控制输注药动学新模型的建立。</w:instrText>
            </w:r>
            <w:r>
              <w:rPr>
                <w:rFonts w:eastAsia="SimSun" w:cs="Times New Roman"/>
                <w:color w:val="000000"/>
                <w:sz w:val="20"/>
                <w:szCs w:val="20"/>
                <w:lang w:eastAsia="zh-CN"/>
              </w:rPr>
              <w:instrText xml:space="preserve">","page":"202-211","source":"DOI.org (Crossref)","title":"Development of a new pharmacokinetic model for target-concentration controlled infusion of vancomycin in critically ill patients","volume":"49","author":[{"family":"Bang","given":"Ji-Yeon"},{"family":"Kang","given":"Hyun Il"},{"family":"Lee","given":"Hak-Jae"},{"family":"Chong","given":"Yong Pil"},{"family":"Hong","given":"Suk-Kyung"},{"family":"Lee","given":"Eun-Kyung"},{"family":"Choi","given":"Byung-Moon"},{"family":"Noh","given":"Gyu-Jeong"}],"issued":{"date-parts":[["2022",2]]}}}],"schema":"https://github.com/citation-style-language/schema/raw/master/csl-citation.json"} </w:instrText>
            </w:r>
            <w:r>
              <w:rPr>
                <w:rFonts w:eastAsia="SimSun" w:cs="Times New Roman"/>
                <w:color w:val="000000"/>
                <w:sz w:val="20"/>
                <w:szCs w:val="20"/>
                <w:lang w:eastAsia="zh-CN"/>
              </w:rPr>
              <w:fldChar w:fldCharType="separate"/>
            </w:r>
            <w:r>
              <w:rPr>
                <w:rFonts w:cs="Times New Roman"/>
                <w:color w:val="000000"/>
                <w:sz w:val="20"/>
                <w:szCs w:val="20"/>
                <w:shd w:val="clear" w:color="auto" w:fill="D9D9D9"/>
                <w:vertAlign w:val="superscript"/>
              </w:rPr>
              <w:t>14</w:t>
            </w:r>
            <w:r>
              <w:rPr>
                <w:rFonts w:eastAsia="SimSun" w:cs="Times New Roman"/>
                <w:color w:val="000000"/>
                <w:sz w:val="20"/>
                <w:szCs w:val="20"/>
                <w:lang w:eastAsia="zh-CN"/>
              </w:rPr>
              <w:fldChar w:fldCharType="end"/>
            </w:r>
          </w:p>
        </w:tc>
        <w:tc>
          <w:tcPr>
            <w:tcW w:w="2088" w:type="dxa"/>
            <w:tcBorders>
              <w:top w:val="nil"/>
              <w:left w:val="nil"/>
              <w:bottom w:val="single" w:sz="8" w:space="0" w:color="000000"/>
              <w:right w:val="nil"/>
            </w:tcBorders>
            <w:vAlign w:val="center"/>
          </w:tcPr>
          <w:p w14:paraId="5F7436C8" w14:textId="77777777" w:rsidR="00857A7C" w:rsidRDefault="00000000">
            <w:pPr>
              <w:spacing w:after="0" w:line="480" w:lineRule="auto"/>
              <w:rPr>
                <w:sz w:val="20"/>
                <w:szCs w:val="28"/>
              </w:rPr>
            </w:pPr>
            <w:r>
              <w:rPr>
                <w:sz w:val="20"/>
                <w:szCs w:val="28"/>
              </w:rPr>
              <w:t>IBW → V1</w:t>
            </w:r>
          </w:p>
        </w:tc>
        <w:tc>
          <w:tcPr>
            <w:tcW w:w="1440" w:type="dxa"/>
            <w:tcBorders>
              <w:top w:val="nil"/>
              <w:left w:val="nil"/>
              <w:bottom w:val="single" w:sz="8" w:space="0" w:color="000000"/>
              <w:right w:val="nil"/>
            </w:tcBorders>
            <w:vAlign w:val="center"/>
          </w:tcPr>
          <w:p w14:paraId="08667825" w14:textId="77777777" w:rsidR="00857A7C" w:rsidRDefault="00000000">
            <w:pPr>
              <w:spacing w:after="0" w:line="480" w:lineRule="auto"/>
              <w:rPr>
                <w:sz w:val="20"/>
                <w:szCs w:val="28"/>
              </w:rPr>
            </w:pPr>
            <w:r>
              <w:rPr>
                <w:sz w:val="20"/>
                <w:szCs w:val="28"/>
              </w:rPr>
              <w:t>Continuous</w:t>
            </w:r>
          </w:p>
        </w:tc>
        <w:tc>
          <w:tcPr>
            <w:tcW w:w="1800" w:type="dxa"/>
            <w:tcBorders>
              <w:top w:val="nil"/>
              <w:left w:val="nil"/>
              <w:bottom w:val="single" w:sz="8" w:space="0" w:color="000000"/>
              <w:right w:val="nil"/>
            </w:tcBorders>
            <w:vAlign w:val="center"/>
          </w:tcPr>
          <w:p w14:paraId="5E1BC814" w14:textId="77777777" w:rsidR="00857A7C" w:rsidRDefault="00000000">
            <w:pPr>
              <w:spacing w:after="0" w:line="480" w:lineRule="auto"/>
              <w:rPr>
                <w:sz w:val="20"/>
                <w:szCs w:val="28"/>
              </w:rPr>
            </w:pPr>
            <w:r>
              <w:rPr>
                <w:sz w:val="20"/>
                <w:szCs w:val="28"/>
              </w:rPr>
              <w:t>Critically ill adults</w:t>
            </w:r>
          </w:p>
        </w:tc>
        <w:tc>
          <w:tcPr>
            <w:tcW w:w="1656" w:type="dxa"/>
            <w:tcBorders>
              <w:top w:val="nil"/>
              <w:left w:val="nil"/>
              <w:bottom w:val="single" w:sz="8" w:space="0" w:color="000000"/>
              <w:right w:val="nil"/>
            </w:tcBorders>
            <w:vAlign w:val="center"/>
          </w:tcPr>
          <w:p w14:paraId="6AD7A0A6" w14:textId="77777777" w:rsidR="00857A7C" w:rsidRDefault="00000000">
            <w:pPr>
              <w:spacing w:after="0" w:line="480" w:lineRule="auto"/>
              <w:rPr>
                <w:sz w:val="20"/>
                <w:szCs w:val="28"/>
              </w:rPr>
            </w:pPr>
            <w:r>
              <w:rPr>
                <w:sz w:val="20"/>
                <w:szCs w:val="28"/>
              </w:rPr>
              <w:t>59 kg</w:t>
            </w:r>
          </w:p>
        </w:tc>
        <w:tc>
          <w:tcPr>
            <w:tcW w:w="1440" w:type="dxa"/>
            <w:tcBorders>
              <w:top w:val="nil"/>
              <w:left w:val="nil"/>
              <w:bottom w:val="single" w:sz="8" w:space="0" w:color="000000"/>
              <w:right w:val="nil"/>
            </w:tcBorders>
            <w:vAlign w:val="center"/>
          </w:tcPr>
          <w:p w14:paraId="6D3AE408" w14:textId="77777777" w:rsidR="00857A7C" w:rsidRDefault="00000000">
            <w:pPr>
              <w:spacing w:after="0" w:line="480" w:lineRule="auto"/>
              <w:rPr>
                <w:sz w:val="20"/>
                <w:szCs w:val="28"/>
              </w:rPr>
            </w:pPr>
            <w:r>
              <w:rPr>
                <w:sz w:val="20"/>
                <w:szCs w:val="28"/>
              </w:rPr>
              <w:t>45 kg</w:t>
            </w:r>
          </w:p>
        </w:tc>
        <w:tc>
          <w:tcPr>
            <w:tcW w:w="1440" w:type="dxa"/>
            <w:tcBorders>
              <w:top w:val="nil"/>
              <w:left w:val="nil"/>
              <w:bottom w:val="single" w:sz="8" w:space="0" w:color="000000"/>
              <w:right w:val="nil"/>
            </w:tcBorders>
            <w:vAlign w:val="center"/>
          </w:tcPr>
          <w:p w14:paraId="074AFE1F" w14:textId="77777777" w:rsidR="00857A7C" w:rsidRDefault="00000000">
            <w:pPr>
              <w:spacing w:after="0" w:line="480" w:lineRule="auto"/>
              <w:rPr>
                <w:sz w:val="20"/>
                <w:szCs w:val="28"/>
              </w:rPr>
            </w:pPr>
            <w:r>
              <w:rPr>
                <w:sz w:val="20"/>
                <w:szCs w:val="28"/>
              </w:rPr>
              <w:t>75 kg</w:t>
            </w:r>
          </w:p>
        </w:tc>
        <w:tc>
          <w:tcPr>
            <w:tcW w:w="1440" w:type="dxa"/>
            <w:tcBorders>
              <w:top w:val="nil"/>
              <w:left w:val="nil"/>
              <w:bottom w:val="single" w:sz="8" w:space="0" w:color="000000"/>
              <w:right w:val="nil"/>
            </w:tcBorders>
            <w:vAlign w:val="center"/>
          </w:tcPr>
          <w:p w14:paraId="63039E70" w14:textId="77777777" w:rsidR="00857A7C" w:rsidRDefault="00000000">
            <w:pPr>
              <w:spacing w:after="0" w:line="480" w:lineRule="auto"/>
              <w:jc w:val="center"/>
              <w:rPr>
                <w:sz w:val="20"/>
                <w:szCs w:val="28"/>
              </w:rPr>
            </w:pPr>
            <w:r>
              <w:rPr>
                <w:sz w:val="20"/>
                <w:szCs w:val="28"/>
              </w:rPr>
              <w:t>0.95–1.05</w:t>
            </w:r>
          </w:p>
        </w:tc>
      </w:tr>
    </w:tbl>
    <w:p w14:paraId="26C710B5" w14:textId="77777777" w:rsidR="00857A7C" w:rsidRDefault="00000000">
      <w:pPr>
        <w:spacing w:before="40" w:after="160" w:line="480" w:lineRule="auto"/>
        <w:rPr>
          <w:sz w:val="20"/>
          <w:szCs w:val="28"/>
        </w:rPr>
      </w:pPr>
      <w:r>
        <w:rPr>
          <w:sz w:val="20"/>
          <w:szCs w:val="28"/>
        </w:rPr>
        <w:t>Notes: For each study, the typical distribution-related parameter value was normalized to 1.0, and the horizontal interval represents the modeled relative change associated with the predefined covariate contrast within that study rather than a statistical confidence interval. The current main panel focuses on the most directly comparable body-size-related covariates retained across the included models.</w:t>
      </w:r>
    </w:p>
    <w:sectPr w:rsidR="00857A7C">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4ABF" w14:textId="77777777" w:rsidR="00A610DF" w:rsidRDefault="00A610DF">
      <w:pPr>
        <w:spacing w:line="240" w:lineRule="auto"/>
      </w:pPr>
      <w:r>
        <w:separator/>
      </w:r>
    </w:p>
  </w:endnote>
  <w:endnote w:type="continuationSeparator" w:id="0">
    <w:p w14:paraId="4D7393B3" w14:textId="77777777" w:rsidR="00A610DF" w:rsidRDefault="00A61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ckwell">
    <w:altName w:val="Segoe Print"/>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5AFF" w14:textId="77777777" w:rsidR="00857A7C" w:rsidRDefault="00000000">
    <w:pPr>
      <w:pStyle w:val="Footer"/>
    </w:pPr>
    <w:r>
      <w:rPr>
        <w:noProof/>
      </w:rPr>
      <mc:AlternateContent>
        <mc:Choice Requires="wps">
          <w:drawing>
            <wp:anchor distT="0" distB="0" distL="0" distR="0" simplePos="0" relativeHeight="251660288" behindDoc="0" locked="0" layoutInCell="1" allowOverlap="1" wp14:anchorId="480A4B56" wp14:editId="4DF8FD0E">
              <wp:simplePos x="0" y="0"/>
              <wp:positionH relativeFrom="page">
                <wp:align>left</wp:align>
              </wp:positionH>
              <wp:positionV relativeFrom="page">
                <wp:align>bottom</wp:align>
              </wp:positionV>
              <wp:extent cx="2085975" cy="344805"/>
              <wp:effectExtent l="0" t="0" r="9525" b="0"/>
              <wp:wrapNone/>
              <wp:docPr id="540233575" name="Text Box 2" descr="Information Classification: General"/>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47D236F" w14:textId="77777777" w:rsidR="00857A7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80A4B5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" filled="f" stroked="f">
              <v:textbox style="mso-fit-shape-to-text:t" inset="20pt,0,0,15pt">
                <w:txbxContent>
                  <w:p w14:paraId="747D236F" w14:textId="77777777" w:rsidR="00857A7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4F98" w14:textId="77777777" w:rsidR="00857A7C" w:rsidRDefault="00000000">
    <w:pPr>
      <w:pStyle w:val="Footer"/>
    </w:pPr>
    <w:r>
      <w:rPr>
        <w:noProof/>
      </w:rPr>
      <mc:AlternateContent>
        <mc:Choice Requires="wps">
          <w:drawing>
            <wp:anchor distT="0" distB="0" distL="0" distR="0" simplePos="0" relativeHeight="251661312" behindDoc="0" locked="0" layoutInCell="1" allowOverlap="1" wp14:anchorId="6410E19E" wp14:editId="76AC5AF0">
              <wp:simplePos x="0" y="0"/>
              <wp:positionH relativeFrom="page">
                <wp:align>left</wp:align>
              </wp:positionH>
              <wp:positionV relativeFrom="page">
                <wp:align>bottom</wp:align>
              </wp:positionV>
              <wp:extent cx="2085975" cy="344805"/>
              <wp:effectExtent l="0" t="0" r="9525" b="0"/>
              <wp:wrapNone/>
              <wp:docPr id="938919115" name="Text Box 3" descr="Information Classification: General"/>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3E97D3B" w14:textId="77777777" w:rsidR="00857A7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6410E19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" filled="f" stroked="f">
              <v:textbox style="mso-fit-shape-to-text:t" inset="20pt,0,0,15pt">
                <w:txbxContent>
                  <w:p w14:paraId="23E97D3B" w14:textId="77777777" w:rsidR="00857A7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0F1" w14:textId="77777777" w:rsidR="00857A7C" w:rsidRDefault="00000000">
    <w:pPr>
      <w:pStyle w:val="Footer"/>
    </w:pPr>
    <w:r>
      <w:rPr>
        <w:noProof/>
      </w:rPr>
      <mc:AlternateContent>
        <mc:Choice Requires="wps">
          <w:drawing>
            <wp:anchor distT="0" distB="0" distL="0" distR="0" simplePos="0" relativeHeight="251659264" behindDoc="0" locked="0" layoutInCell="1" allowOverlap="1" wp14:anchorId="4D29A2A5" wp14:editId="51517EB7">
              <wp:simplePos x="0" y="0"/>
              <wp:positionH relativeFrom="page">
                <wp:align>left</wp:align>
              </wp:positionH>
              <wp:positionV relativeFrom="page">
                <wp:align>bottom</wp:align>
              </wp:positionV>
              <wp:extent cx="2085975" cy="344805"/>
              <wp:effectExtent l="0" t="0" r="9525" b="0"/>
              <wp:wrapNone/>
              <wp:docPr id="209290266" name="Text Box 1" descr="Information Classification: General"/>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5CE5CB2F" w14:textId="77777777" w:rsidR="00857A7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D29A2A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" filled="f" stroked="f">
              <v:textbox style="mso-fit-shape-to-text:t" inset="20pt,0,0,15pt">
                <w:txbxContent>
                  <w:p w14:paraId="5CE5CB2F" w14:textId="77777777" w:rsidR="00857A7C"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5455" w14:textId="77777777" w:rsidR="00A610DF" w:rsidRDefault="00A610DF">
      <w:pPr>
        <w:spacing w:after="0"/>
      </w:pPr>
      <w:r>
        <w:separator/>
      </w:r>
    </w:p>
  </w:footnote>
  <w:footnote w:type="continuationSeparator" w:id="0">
    <w:p w14:paraId="15742772" w14:textId="77777777" w:rsidR="00A610DF" w:rsidRDefault="00A610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541131371">
    <w:abstractNumId w:val="1"/>
  </w:num>
  <w:num w:numId="2" w16cid:durableId="1464033985">
    <w:abstractNumId w:val="4"/>
  </w:num>
  <w:num w:numId="3" w16cid:durableId="673604284">
    <w:abstractNumId w:val="5"/>
  </w:num>
  <w:num w:numId="4" w16cid:durableId="60569575">
    <w:abstractNumId w:val="2"/>
  </w:num>
  <w:num w:numId="5" w16cid:durableId="723913958">
    <w:abstractNumId w:val="0"/>
  </w:num>
  <w:num w:numId="6" w16cid:durableId="59710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2A4D"/>
    <w:rsid w:val="00367BFC"/>
    <w:rsid w:val="005516AD"/>
    <w:rsid w:val="006F79DD"/>
    <w:rsid w:val="00724CB9"/>
    <w:rsid w:val="00857A7C"/>
    <w:rsid w:val="00924AF1"/>
    <w:rsid w:val="009E1154"/>
    <w:rsid w:val="00A610DF"/>
    <w:rsid w:val="00AA1D8D"/>
    <w:rsid w:val="00B47730"/>
    <w:rsid w:val="00CB0664"/>
    <w:rsid w:val="00D95EE2"/>
    <w:rsid w:val="00DA56A5"/>
    <w:rsid w:val="00FC693F"/>
    <w:rsid w:val="0B7A4561"/>
    <w:rsid w:val="0E0F1632"/>
    <w:rsid w:val="1438551D"/>
    <w:rsid w:val="15A718D7"/>
    <w:rsid w:val="1B6034CD"/>
    <w:rsid w:val="46635657"/>
    <w:rsid w:val="4DF852CD"/>
    <w:rsid w:val="53912714"/>
    <w:rsid w:val="59930E36"/>
    <w:rsid w:val="6D5B09CB"/>
    <w:rsid w:val="70AB0BB0"/>
    <w:rsid w:val="712C5729"/>
    <w:rsid w:val="74603532"/>
    <w:rsid w:val="7C703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B880463-5ED9-4362-A1C7-27B51020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Times New Roman" w:hAnsi="Times New Roman"/>
      <w:sz w:val="16"/>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List3">
    <w:name w:val="List 3"/>
    <w:basedOn w:val="Normal"/>
    <w:uiPriority w:val="99"/>
    <w:unhideWhenUsed/>
    <w:qFormat/>
    <w:pPr>
      <w:ind w:left="1080" w:hanging="360"/>
      <w:contextualSpacing/>
    </w:pPr>
  </w:style>
  <w:style w:type="paragraph" w:styleId="ListNumber2">
    <w:name w:val="List Number 2"/>
    <w:basedOn w:val="Normal"/>
    <w:uiPriority w:val="99"/>
    <w:unhideWhenUsed/>
    <w:qFormat/>
    <w:pPr>
      <w:numPr>
        <w:numId w:val="1"/>
      </w:numPr>
      <w:contextualSpacing/>
    </w:pPr>
  </w:style>
  <w:style w:type="paragraph" w:styleId="ListNumber">
    <w:name w:val="List Number"/>
    <w:basedOn w:val="Normal"/>
    <w:uiPriority w:val="99"/>
    <w:unhideWhenUsed/>
    <w:qFormat/>
    <w:pPr>
      <w:numPr>
        <w:numId w:val="2"/>
      </w:numPr>
      <w:contextualSpacing/>
    </w:p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ListBullet">
    <w:name w:val="List Bullet"/>
    <w:basedOn w:val="Normal"/>
    <w:uiPriority w:val="99"/>
    <w:unhideWhenUsed/>
    <w:qFormat/>
    <w:pPr>
      <w:numPr>
        <w:numId w:val="3"/>
      </w:numPr>
      <w:contextualSpacing/>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3">
    <w:name w:val="Body Text 3"/>
    <w:basedOn w:val="Normal"/>
    <w:link w:val="BodyText3Char"/>
    <w:uiPriority w:val="99"/>
    <w:unhideWhenUsed/>
    <w:qFormat/>
    <w:pPr>
      <w:spacing w:after="120"/>
    </w:pPr>
    <w:rPr>
      <w:szCs w:val="16"/>
    </w:rPr>
  </w:style>
  <w:style w:type="paragraph" w:styleId="ListBullet3">
    <w:name w:val="List Bullet 3"/>
    <w:basedOn w:val="Normal"/>
    <w:uiPriority w:val="99"/>
    <w:unhideWhenUsed/>
    <w:qFormat/>
    <w:pPr>
      <w:numPr>
        <w:numId w:val="4"/>
      </w:numPr>
      <w:contextualSpacing/>
    </w:pPr>
  </w:style>
  <w:style w:type="paragraph" w:styleId="BodyText">
    <w:name w:val="Body Text"/>
    <w:basedOn w:val="Normal"/>
    <w:link w:val="BodyTextChar"/>
    <w:uiPriority w:val="99"/>
    <w:unhideWhenUsed/>
    <w:qFormat/>
    <w:pPr>
      <w:spacing w:after="120"/>
    </w:pPr>
  </w:style>
  <w:style w:type="paragraph" w:styleId="ListNumber3">
    <w:name w:val="List Number 3"/>
    <w:basedOn w:val="Normal"/>
    <w:uiPriority w:val="99"/>
    <w:unhideWhenUsed/>
    <w:qFormat/>
    <w:pPr>
      <w:numPr>
        <w:numId w:val="5"/>
      </w:numPr>
      <w:contextualSpacing/>
    </w:pPr>
  </w:style>
  <w:style w:type="paragraph" w:styleId="List2">
    <w:name w:val="List 2"/>
    <w:basedOn w:val="Normal"/>
    <w:uiPriority w:val="99"/>
    <w:unhideWhenUsed/>
    <w:qFormat/>
    <w:pPr>
      <w:ind w:left="720" w:hanging="360"/>
      <w:contextualSpacing/>
    </w:pPr>
  </w:style>
  <w:style w:type="paragraph" w:styleId="ListContinue">
    <w:name w:val="List Continue"/>
    <w:basedOn w:val="Normal"/>
    <w:uiPriority w:val="99"/>
    <w:unhideWhenUsed/>
    <w:qFormat/>
    <w:pPr>
      <w:spacing w:after="120"/>
      <w:ind w:left="360"/>
      <w:contextualSpacing/>
    </w:pPr>
  </w:style>
  <w:style w:type="paragraph" w:styleId="ListBullet2">
    <w:name w:val="List Bullet 2"/>
    <w:basedOn w:val="Normal"/>
    <w:uiPriority w:val="99"/>
    <w:unhideWhenUsed/>
    <w:qFormat/>
    <w:pPr>
      <w:numPr>
        <w:numId w:val="6"/>
      </w:numPr>
      <w:contextualSpacing/>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
    <w:name w:val="List"/>
    <w:basedOn w:val="Normal"/>
    <w:uiPriority w:val="99"/>
    <w:unhideWhenUsed/>
    <w:qFormat/>
    <w:pPr>
      <w:ind w:left="360" w:hanging="360"/>
      <w:contextualSpacing/>
    </w:pPr>
  </w:style>
  <w:style w:type="paragraph" w:styleId="BodyText2">
    <w:name w:val="Body Text 2"/>
    <w:basedOn w:val="Normal"/>
    <w:link w:val="BodyText2Char"/>
    <w:uiPriority w:val="99"/>
    <w:unhideWhenUsed/>
    <w:qFormat/>
    <w:pPr>
      <w:spacing w:after="120" w:line="480" w:lineRule="auto"/>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CommentTextChar">
    <w:name w:val="Comment Text Char"/>
    <w:basedOn w:val="DefaultParagraphFont"/>
    <w:link w:val="CommentText"/>
    <w:uiPriority w:val="99"/>
    <w:semiHidden/>
    <w:qFormat/>
    <w:rPr>
      <w:rFonts w:ascii="Times New Roman" w:eastAsia="Times New Roman" w:hAnsi="Times New Roman"/>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lang w:val="en-US" w:eastAsia="en-US"/>
    </w:rPr>
  </w:style>
  <w:style w:type="paragraph" w:styleId="Revision">
    <w:name w:val="Revision"/>
    <w:hidden/>
    <w:uiPriority w:val="99"/>
    <w:unhideWhenUsed/>
    <w:rsid w:val="00924AF1"/>
    <w:rPr>
      <w:rFonts w:ascii="Times New Roman" w:eastAsia="Times New Roman" w:hAnsi="Times New Roman"/>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13209</Words>
  <Characters>75297</Characters>
  <Application>Microsoft Office Word</Application>
  <DocSecurity>0</DocSecurity>
  <Lines>627</Lines>
  <Paragraphs>176</Paragraphs>
  <ScaleCrop>false</ScaleCrop>
  <Company/>
  <LinksUpToDate>false</LinksUpToDate>
  <CharactersWithSpaces>88330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Shaw, Grace</cp:lastModifiedBy>
  <cp:revision>3</cp:revision>
  <dcterms:created xsi:type="dcterms:W3CDTF">2026-04-30T22:59:00Z</dcterms:created>
  <dcterms:modified xsi:type="dcterms:W3CDTF">2026-04-30T23:01:00Z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eyJoZGlkIjoiZTI0MDBjYjNmMjAyZmMzNjQ4M2Q0NjNhN2U1MzE4YTMiLCJ1c2VySWQiOiI0NTI0ODA5NzcifQ==</vt:lpwstr>
  </property>
  <property fmtid="{D5CDD505-2E9C-101B-9397-08002B2CF9AE}" pid="3" name="KSOProductBuildVer">
    <vt:lpwstr>2052-12.1.0.25865</vt:lpwstr>
  </property>
  <property fmtid="{D5CDD505-2E9C-101B-9397-08002B2CF9AE}" pid="4" name="ICV">
    <vt:lpwstr>105D69DE1FA64A799BD3EE09709680AF_12</vt:lpwstr>
  </property>
  <property fmtid="{D5CDD505-2E9C-101B-9397-08002B2CF9AE}" pid="5" name="ClassificationContentMarkingFooterShapeIds">
    <vt:lpwstr>c79841a,20334f67,37f6c4cb</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2026-04-30T00:10:06Z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33d9afed-67cc-4a23-aff1-c11fbc5affcf</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