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5897" w14:textId="77777777" w:rsidR="009F3D4B" w:rsidRDefault="00000000">
      <w:pPr>
        <w:spacing w:after="62"/>
        <w:rPr>
          <w:rFonts w:cs="Times New Roman"/>
          <w:sz w:val="20"/>
          <w:szCs w:val="20"/>
        </w:rPr>
      </w:pPr>
      <w:r>
        <w:rPr>
          <w:rFonts w:cs="Times New Roman"/>
          <w:noProof/>
        </w:rPr>
        <w:drawing>
          <wp:inline distT="0" distB="0" distL="114300" distR="114300" wp14:anchorId="77B9590E" wp14:editId="77B9590F">
            <wp:extent cx="5270500" cy="1627505"/>
            <wp:effectExtent l="0" t="0" r="8255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95898" w14:textId="77777777" w:rsidR="009F3D4B" w:rsidRDefault="00000000">
      <w:pPr>
        <w:spacing w:after="62"/>
        <w:rPr>
          <w:rFonts w:cs="Times New Roman"/>
          <w:sz w:val="20"/>
          <w:szCs w:val="20"/>
        </w:rPr>
      </w:pPr>
      <w:r>
        <w:rPr>
          <w:rFonts w:cs="Times New Roman"/>
          <w:b/>
          <w:bCs/>
        </w:rPr>
        <w:t xml:space="preserve">Figure S1 The </w:t>
      </w:r>
      <w:proofErr w:type="spellStart"/>
      <w:r>
        <w:rPr>
          <w:rFonts w:cs="Times New Roman"/>
          <w:b/>
          <w:bCs/>
        </w:rPr>
        <w:t>cytotoxity</w:t>
      </w:r>
      <w:proofErr w:type="spellEnd"/>
      <w:r>
        <w:rPr>
          <w:rFonts w:cs="Times New Roman"/>
          <w:b/>
          <w:bCs/>
        </w:rPr>
        <w:t xml:space="preserve"> of API on mouse splenic B cells.</w:t>
      </w:r>
      <w:r>
        <w:rPr>
          <w:rFonts w:cs="Times New Roman"/>
        </w:rPr>
        <w:t xml:space="preserve"> Splenic B cells from C57BL/6J mice were cultured with or without LPS (1 µg/mL) and using different concentrations of apigenin for 48 hours. Representative flow cytometry plots in CD19⁺ gated cells</w:t>
      </w:r>
      <w:r>
        <w:rPr>
          <w:rFonts w:cs="Times New Roman"/>
          <w:sz w:val="20"/>
          <w:szCs w:val="20"/>
        </w:rPr>
        <w:t>.</w:t>
      </w:r>
    </w:p>
    <w:p w14:paraId="77B95899" w14:textId="77777777" w:rsidR="009F3D4B" w:rsidRDefault="00000000">
      <w:pPr>
        <w:spacing w:after="6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77B9589A" w14:textId="77777777" w:rsidR="009F3D4B" w:rsidRDefault="009F3D4B">
      <w:pPr>
        <w:spacing w:after="62"/>
        <w:rPr>
          <w:rFonts w:cs="Times New Roman"/>
          <w:sz w:val="20"/>
          <w:szCs w:val="20"/>
        </w:rPr>
      </w:pPr>
    </w:p>
    <w:p w14:paraId="77B9589B" w14:textId="77777777" w:rsidR="009F3D4B" w:rsidRDefault="00000000">
      <w:pPr>
        <w:spacing w:after="62"/>
        <w:rPr>
          <w:rFonts w:cs="Times New Roman"/>
          <w:sz w:val="20"/>
          <w:szCs w:val="20"/>
        </w:rPr>
      </w:pPr>
      <w:r>
        <w:rPr>
          <w:rFonts w:cs="Times New Roman"/>
        </w:rPr>
        <w:object w:dxaOrig="4351" w:dyaOrig="2964" w14:anchorId="77B9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75pt;height:148.4pt" o:ole="">
            <v:imagedata r:id="rId9" o:title=""/>
            <o:lock v:ext="edit" aspectratio="f"/>
          </v:shape>
          <o:OLEObject Type="Embed" ProgID="Prism10.Document" ShapeID="_x0000_i1025" DrawAspect="Content" ObjectID="_1838887563" r:id="rId10"/>
        </w:object>
      </w:r>
    </w:p>
    <w:p w14:paraId="77B9589C" w14:textId="77777777" w:rsidR="009F3D4B" w:rsidRDefault="00000000">
      <w:pPr>
        <w:spacing w:after="62"/>
        <w:rPr>
          <w:rFonts w:cs="Times New Roman"/>
        </w:rPr>
      </w:pPr>
      <w:r>
        <w:rPr>
          <w:rFonts w:cs="Times New Roman"/>
          <w:b/>
          <w:bCs/>
        </w:rPr>
        <w:t>Figure S2 Apigenin ameliorates synovial inflammation in CIA mice.</w:t>
      </w:r>
      <w:r>
        <w:rPr>
          <w:rFonts w:cs="Times New Roman"/>
        </w:rPr>
        <w:t xml:space="preserve"> The changes in the weight of mice.</w:t>
      </w:r>
    </w:p>
    <w:p w14:paraId="77B9589D" w14:textId="77777777" w:rsidR="009F3D4B" w:rsidRDefault="00000000">
      <w:pPr>
        <w:spacing w:after="62"/>
        <w:rPr>
          <w:rFonts w:eastAsia="Segoe UI" w:cs="Times New Roman"/>
          <w:color w:val="0F1115"/>
          <w:sz w:val="20"/>
          <w:szCs w:val="20"/>
          <w:shd w:val="clear" w:color="auto" w:fill="FFFFFF"/>
        </w:rPr>
      </w:pPr>
      <w:r>
        <w:rPr>
          <w:rFonts w:eastAsia="Segoe UI" w:cs="Times New Roman"/>
          <w:color w:val="0F1115"/>
          <w:sz w:val="20"/>
          <w:szCs w:val="20"/>
          <w:shd w:val="clear" w:color="auto" w:fill="FFFFFF"/>
        </w:rPr>
        <w:br w:type="page"/>
      </w:r>
    </w:p>
    <w:p w14:paraId="77B9589E" w14:textId="77777777" w:rsidR="009F3D4B" w:rsidRDefault="009F3D4B">
      <w:pPr>
        <w:widowControl/>
        <w:shd w:val="clear" w:color="auto" w:fill="FFFFFF"/>
        <w:spacing w:before="137" w:after="62"/>
        <w:jc w:val="center"/>
        <w:rPr>
          <w:rFonts w:eastAsia="Segoe UI" w:cs="Times New Roman"/>
          <w:color w:val="0F1115"/>
          <w:sz w:val="20"/>
          <w:szCs w:val="20"/>
          <w:shd w:val="clear" w:color="auto" w:fill="FFFFFF"/>
        </w:rPr>
      </w:pPr>
    </w:p>
    <w:p w14:paraId="77B9589F" w14:textId="77777777" w:rsidR="009F3D4B" w:rsidRDefault="00000000">
      <w:pPr>
        <w:spacing w:after="62"/>
        <w:jc w:val="center"/>
        <w:rPr>
          <w:rFonts w:eastAsia="Segoe UI" w:cs="Times New Roman"/>
          <w:color w:val="0F1115"/>
          <w:szCs w:val="20"/>
          <w:shd w:val="clear" w:color="auto" w:fill="FFFFFF"/>
        </w:rPr>
      </w:pPr>
      <w:r>
        <w:rPr>
          <w:b/>
          <w:bCs/>
        </w:rPr>
        <w:t>Table S1. Clinical scoring criteria for murine arthritis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659"/>
        <w:gridCol w:w="6279"/>
      </w:tblGrid>
      <w:tr w:rsidR="009F3D4B" w14:paraId="77B958A2" w14:textId="77777777">
        <w:trPr>
          <w:trHeight w:val="113"/>
        </w:trPr>
        <w:tc>
          <w:tcPr>
            <w:tcW w:w="16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B958A0" w14:textId="77777777" w:rsidR="009F3D4B" w:rsidRDefault="00000000">
            <w:pPr>
              <w:spacing w:after="62"/>
              <w:jc w:val="center"/>
            </w:pPr>
            <w:r>
              <w:t>Arthritis Score</w:t>
            </w:r>
          </w:p>
        </w:tc>
        <w:tc>
          <w:tcPr>
            <w:tcW w:w="6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B958A1" w14:textId="77777777" w:rsidR="009F3D4B" w:rsidRDefault="00000000">
            <w:pPr>
              <w:spacing w:after="62"/>
              <w:jc w:val="center"/>
            </w:pPr>
            <w:r>
              <w:t>Description of Joint Symptoms</w:t>
            </w:r>
          </w:p>
        </w:tc>
      </w:tr>
      <w:tr w:rsidR="009F3D4B" w14:paraId="77B958A5" w14:textId="77777777">
        <w:trPr>
          <w:trHeight w:val="113"/>
        </w:trPr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77B958A3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  <w:tc>
          <w:tcPr>
            <w:tcW w:w="6279" w:type="dxa"/>
            <w:tcBorders>
              <w:top w:val="single" w:sz="12" w:space="0" w:color="auto"/>
            </w:tcBorders>
            <w:vAlign w:val="center"/>
          </w:tcPr>
          <w:p w14:paraId="77B958A4" w14:textId="77777777" w:rsidR="009F3D4B" w:rsidRDefault="00000000">
            <w:pPr>
              <w:spacing w:after="62"/>
              <w:jc w:val="center"/>
            </w:pPr>
            <w:r>
              <w:t>No signs of joint swelling or erythema</w:t>
            </w:r>
          </w:p>
        </w:tc>
      </w:tr>
      <w:tr w:rsidR="009F3D4B" w14:paraId="77B958A8" w14:textId="77777777">
        <w:trPr>
          <w:trHeight w:val="113"/>
        </w:trPr>
        <w:tc>
          <w:tcPr>
            <w:tcW w:w="1659" w:type="dxa"/>
            <w:vAlign w:val="center"/>
          </w:tcPr>
          <w:p w14:paraId="77B958A6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  <w:tc>
          <w:tcPr>
            <w:tcW w:w="6279" w:type="dxa"/>
            <w:vAlign w:val="center"/>
          </w:tcPr>
          <w:p w14:paraId="77B958A7" w14:textId="77777777" w:rsidR="009F3D4B" w:rsidRDefault="00000000">
            <w:pPr>
              <w:spacing w:after="62"/>
              <w:jc w:val="center"/>
            </w:pPr>
            <w:r>
              <w:t>Mild swelling/erythema of the wrist or ankle joint</w:t>
            </w:r>
          </w:p>
        </w:tc>
      </w:tr>
      <w:tr w:rsidR="009F3D4B" w14:paraId="77B958AB" w14:textId="77777777">
        <w:trPr>
          <w:trHeight w:val="113"/>
        </w:trPr>
        <w:tc>
          <w:tcPr>
            <w:tcW w:w="1659" w:type="dxa"/>
            <w:vAlign w:val="center"/>
          </w:tcPr>
          <w:p w14:paraId="77B958A9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  <w:tc>
          <w:tcPr>
            <w:tcW w:w="6279" w:type="dxa"/>
            <w:vAlign w:val="center"/>
          </w:tcPr>
          <w:p w14:paraId="77B958AA" w14:textId="77777777" w:rsidR="009F3D4B" w:rsidRDefault="00000000">
            <w:pPr>
              <w:spacing w:after="62"/>
              <w:jc w:val="center"/>
            </w:pPr>
            <w:r>
              <w:t>Mild swelling/erythema extending from the ankle to the metatarsal or metacarpal joints</w:t>
            </w:r>
          </w:p>
        </w:tc>
      </w:tr>
      <w:tr w:rsidR="009F3D4B" w14:paraId="77B958AE" w14:textId="77777777">
        <w:trPr>
          <w:trHeight w:val="113"/>
        </w:trPr>
        <w:tc>
          <w:tcPr>
            <w:tcW w:w="1659" w:type="dxa"/>
            <w:vAlign w:val="center"/>
          </w:tcPr>
          <w:p w14:paraId="77B958AC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  <w:tc>
          <w:tcPr>
            <w:tcW w:w="6279" w:type="dxa"/>
            <w:vAlign w:val="center"/>
          </w:tcPr>
          <w:p w14:paraId="77B958AD" w14:textId="77777777" w:rsidR="009F3D4B" w:rsidRDefault="00000000">
            <w:pPr>
              <w:spacing w:after="62"/>
              <w:jc w:val="center"/>
            </w:pPr>
            <w:r>
              <w:t>Moderate swelling/erythema extending from the ankle to the metatarsophalangeal or metacarpophalangeal joints</w:t>
            </w:r>
          </w:p>
        </w:tc>
      </w:tr>
      <w:tr w:rsidR="009F3D4B" w14:paraId="77B958B1" w14:textId="77777777">
        <w:trPr>
          <w:trHeight w:val="113"/>
        </w:trPr>
        <w:tc>
          <w:tcPr>
            <w:tcW w:w="1659" w:type="dxa"/>
            <w:tcBorders>
              <w:bottom w:val="single" w:sz="12" w:space="0" w:color="auto"/>
            </w:tcBorders>
            <w:vAlign w:val="center"/>
          </w:tcPr>
          <w:p w14:paraId="77B958AF" w14:textId="77777777" w:rsidR="009F3D4B" w:rsidRDefault="00000000">
            <w:pPr>
              <w:spacing w:after="62"/>
              <w:jc w:val="center"/>
            </w:pPr>
            <w:r>
              <w:t>4</w:t>
            </w:r>
          </w:p>
        </w:tc>
        <w:tc>
          <w:tcPr>
            <w:tcW w:w="6279" w:type="dxa"/>
            <w:tcBorders>
              <w:bottom w:val="single" w:sz="12" w:space="0" w:color="auto"/>
            </w:tcBorders>
            <w:vAlign w:val="center"/>
          </w:tcPr>
          <w:p w14:paraId="77B958B0" w14:textId="77777777" w:rsidR="009F3D4B" w:rsidRDefault="00000000">
            <w:pPr>
              <w:spacing w:after="62"/>
              <w:jc w:val="center"/>
            </w:pPr>
            <w:r>
              <w:t>Severe joint destruction with loss of integrity and widened joint space</w:t>
            </w:r>
          </w:p>
        </w:tc>
      </w:tr>
    </w:tbl>
    <w:p w14:paraId="77B958B2" w14:textId="77777777" w:rsidR="009F3D4B" w:rsidRDefault="00000000">
      <w:pPr>
        <w:widowControl/>
        <w:shd w:val="clear" w:color="auto" w:fill="FFFFFF"/>
        <w:spacing w:before="137" w:after="62"/>
        <w:jc w:val="center"/>
        <w:rPr>
          <w:rStyle w:val="Strong"/>
          <w:rFonts w:eastAsia="Segoe UI" w:cs="Times New Roman"/>
          <w:b w:val="0"/>
          <w:color w:val="0F1115"/>
          <w:sz w:val="20"/>
          <w:szCs w:val="20"/>
          <w:shd w:val="clear" w:color="auto" w:fill="FFFFFF"/>
        </w:rPr>
      </w:pPr>
      <w:r>
        <w:rPr>
          <w:rStyle w:val="Strong"/>
          <w:rFonts w:eastAsia="Segoe UI" w:cs="Times New Roman"/>
          <w:b w:val="0"/>
          <w:color w:val="0F1115"/>
          <w:sz w:val="20"/>
          <w:szCs w:val="20"/>
          <w:shd w:val="clear" w:color="auto" w:fill="FFFFFF"/>
        </w:rPr>
        <w:br w:type="page"/>
      </w:r>
    </w:p>
    <w:p w14:paraId="77B958B3" w14:textId="77777777" w:rsidR="009F3D4B" w:rsidRDefault="00000000">
      <w:pPr>
        <w:pStyle w:val="NormalWeb"/>
        <w:widowControl/>
        <w:shd w:val="clear" w:color="auto" w:fill="FFFFFF"/>
        <w:spacing w:before="137" w:after="62"/>
        <w:jc w:val="center"/>
        <w:rPr>
          <w:rFonts w:eastAsia="Segoe UI" w:cs="Times New Roman"/>
          <w:b/>
          <w:bCs/>
          <w:color w:val="0F1115"/>
        </w:rPr>
      </w:pPr>
      <w:r>
        <w:rPr>
          <w:rStyle w:val="Strong"/>
          <w:rFonts w:eastAsia="Segoe UI" w:cs="Times New Roman"/>
          <w:bCs/>
          <w:color w:val="0F1115"/>
          <w:shd w:val="clear" w:color="auto" w:fill="FFFFFF"/>
        </w:rPr>
        <w:lastRenderedPageBreak/>
        <w:t xml:space="preserve">Table </w:t>
      </w:r>
      <w:r>
        <w:rPr>
          <w:rStyle w:val="Strong"/>
          <w:rFonts w:cs="Times New Roman"/>
          <w:bCs/>
          <w:color w:val="0F1115"/>
          <w:shd w:val="clear" w:color="auto" w:fill="FFFFFF"/>
        </w:rPr>
        <w:t>S</w:t>
      </w:r>
      <w:r>
        <w:rPr>
          <w:rStyle w:val="Strong"/>
          <w:rFonts w:eastAsia="Segoe UI" w:cs="Times New Roman"/>
          <w:bCs/>
          <w:color w:val="0F1115"/>
          <w:shd w:val="clear" w:color="auto" w:fill="FFFFFF"/>
        </w:rPr>
        <w:t>2. Histopathological scoring criteria for bone and joint destruction in mice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410"/>
      </w:tblGrid>
      <w:tr w:rsidR="009F3D4B" w14:paraId="77B958B6" w14:textId="77777777">
        <w:trPr>
          <w:tblHeader/>
        </w:trPr>
        <w:tc>
          <w:tcPr>
            <w:tcW w:w="0" w:type="auto"/>
            <w:tcBorders>
              <w:bottom w:val="single" w:sz="12" w:space="0" w:color="auto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B4" w14:textId="77777777" w:rsidR="009F3D4B" w:rsidRDefault="00000000">
            <w:pPr>
              <w:spacing w:after="62"/>
              <w:jc w:val="center"/>
            </w:pPr>
            <w:r>
              <w:t>Bone Destruction Score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B5" w14:textId="77777777" w:rsidR="009F3D4B" w:rsidRDefault="00000000">
            <w:pPr>
              <w:spacing w:after="62"/>
              <w:jc w:val="center"/>
            </w:pPr>
            <w:r>
              <w:t>Description of Histopathological Features</w:t>
            </w:r>
          </w:p>
        </w:tc>
      </w:tr>
      <w:tr w:rsidR="009F3D4B" w14:paraId="77B958B9" w14:textId="77777777"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B7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B8" w14:textId="77777777" w:rsidR="009F3D4B" w:rsidRDefault="00000000">
            <w:pPr>
              <w:spacing w:after="62"/>
              <w:jc w:val="center"/>
            </w:pPr>
            <w:r>
              <w:t>Normal bone and joint architecture without pathological changes.</w:t>
            </w:r>
          </w:p>
        </w:tc>
      </w:tr>
      <w:tr w:rsidR="009F3D4B" w14:paraId="77B958BC" w14:textId="77777777"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BA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BB" w14:textId="77777777" w:rsidR="009F3D4B" w:rsidRDefault="00000000">
            <w:pPr>
              <w:spacing w:after="62"/>
              <w:jc w:val="center"/>
            </w:pPr>
            <w:r>
              <w:t>Mild synovial hyperplasia with inflammatory cell infiltration.</w:t>
            </w:r>
          </w:p>
        </w:tc>
      </w:tr>
      <w:tr w:rsidR="009F3D4B" w14:paraId="77B958BF" w14:textId="77777777"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BD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BE" w14:textId="77777777" w:rsidR="009F3D4B" w:rsidRDefault="00000000">
            <w:pPr>
              <w:spacing w:after="62"/>
              <w:jc w:val="center"/>
            </w:pPr>
            <w:r>
              <w:t>Mild pannus formation with initial cartilage destruction.</w:t>
            </w:r>
          </w:p>
        </w:tc>
      </w:tr>
      <w:tr w:rsidR="009F3D4B" w14:paraId="77B958C2" w14:textId="77777777"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C0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C1" w14:textId="77777777" w:rsidR="009F3D4B" w:rsidRDefault="00000000">
            <w:pPr>
              <w:spacing w:after="62"/>
              <w:jc w:val="center"/>
            </w:pPr>
            <w:r>
              <w:t>Extensive cartilage destruction.</w:t>
            </w:r>
          </w:p>
        </w:tc>
      </w:tr>
      <w:tr w:rsidR="009F3D4B" w14:paraId="77B958C5" w14:textId="77777777"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C3" w14:textId="77777777" w:rsidR="009F3D4B" w:rsidRDefault="00000000">
            <w:pPr>
              <w:spacing w:after="62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C4" w14:textId="77777777" w:rsidR="009F3D4B" w:rsidRDefault="00000000">
            <w:pPr>
              <w:spacing w:after="62"/>
              <w:jc w:val="center"/>
            </w:pPr>
            <w:r>
              <w:t>Loss of joint integrity, marked widening of the joint space, and severe structural damage.</w:t>
            </w:r>
          </w:p>
        </w:tc>
      </w:tr>
    </w:tbl>
    <w:p w14:paraId="77B958C6" w14:textId="77777777" w:rsidR="009F3D4B" w:rsidRDefault="00000000">
      <w:pPr>
        <w:widowControl/>
        <w:shd w:val="clear" w:color="auto" w:fill="FFFFFF"/>
        <w:spacing w:before="137" w:after="62"/>
        <w:jc w:val="center"/>
        <w:rPr>
          <w:rStyle w:val="Strong"/>
          <w:rFonts w:eastAsia="Segoe UI" w:cs="Times New Roman"/>
          <w:b w:val="0"/>
          <w:color w:val="0F1115"/>
          <w:sz w:val="20"/>
          <w:szCs w:val="20"/>
          <w:shd w:val="clear" w:color="auto" w:fill="FFFFFF"/>
        </w:rPr>
      </w:pPr>
      <w:r>
        <w:rPr>
          <w:rStyle w:val="Strong"/>
          <w:rFonts w:eastAsia="Segoe UI" w:cs="Times New Roman"/>
          <w:b w:val="0"/>
          <w:color w:val="0F1115"/>
          <w:sz w:val="20"/>
          <w:szCs w:val="20"/>
          <w:shd w:val="clear" w:color="auto" w:fill="FFFFFF"/>
        </w:rPr>
        <w:br w:type="page"/>
      </w:r>
    </w:p>
    <w:p w14:paraId="77B958C7" w14:textId="77777777" w:rsidR="009F3D4B" w:rsidRDefault="00000000">
      <w:pPr>
        <w:spacing w:after="62"/>
        <w:jc w:val="center"/>
        <w:rPr>
          <w:rFonts w:eastAsia="Segoe UI" w:cs="Times New Roman"/>
          <w:color w:val="0F1115"/>
          <w:szCs w:val="20"/>
        </w:rPr>
      </w:pPr>
      <w:r>
        <w:rPr>
          <w:b/>
          <w:bCs/>
        </w:rPr>
        <w:lastRenderedPageBreak/>
        <w:t>Table S3. Histopathological scoring criteria for lung injury</w:t>
      </w:r>
    </w:p>
    <w:tbl>
      <w:tblPr>
        <w:tblW w:w="8272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3510"/>
        <w:gridCol w:w="2556"/>
      </w:tblGrid>
      <w:tr w:rsidR="009F3D4B" w14:paraId="77B958CB" w14:textId="77777777">
        <w:trPr>
          <w:trHeight w:val="90"/>
          <w:tblHeader/>
        </w:trPr>
        <w:tc>
          <w:tcPr>
            <w:tcW w:w="0" w:type="auto"/>
            <w:tcBorders>
              <w:bottom w:val="single" w:sz="12" w:space="0" w:color="auto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C8" w14:textId="77777777" w:rsidR="009F3D4B" w:rsidRDefault="00000000">
            <w:pPr>
              <w:spacing w:after="62"/>
              <w:jc w:val="center"/>
            </w:pPr>
            <w:r>
              <w:t>Pathological Feature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C9" w14:textId="77777777" w:rsidR="009F3D4B" w:rsidRDefault="00000000">
            <w:pPr>
              <w:spacing w:after="62"/>
              <w:jc w:val="center"/>
            </w:pPr>
            <w:r>
              <w:t>Description of Severity</w:t>
            </w:r>
          </w:p>
        </w:tc>
        <w:tc>
          <w:tcPr>
            <w:tcW w:w="2556" w:type="dxa"/>
            <w:tcBorders>
              <w:bottom w:val="single" w:sz="12" w:space="0" w:color="auto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CA" w14:textId="77777777" w:rsidR="009F3D4B" w:rsidRDefault="00000000">
            <w:pPr>
              <w:spacing w:after="62"/>
              <w:jc w:val="center"/>
            </w:pPr>
            <w:r>
              <w:t>Score</w:t>
            </w:r>
          </w:p>
        </w:tc>
      </w:tr>
      <w:tr w:rsidR="009F3D4B" w14:paraId="77B958CF" w14:textId="77777777">
        <w:tc>
          <w:tcPr>
            <w:tcW w:w="0" w:type="auto"/>
            <w:vMerge w:val="restart"/>
            <w:tcBorders>
              <w:top w:val="single" w:sz="12" w:space="0" w:color="auto"/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CC" w14:textId="77777777" w:rsidR="009F3D4B" w:rsidRDefault="00000000">
            <w:pPr>
              <w:spacing w:after="62"/>
              <w:jc w:val="center"/>
            </w:pPr>
            <w:r>
              <w:t>Alveolar Epithelial Cell Necrosis</w:t>
            </w: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CD" w14:textId="77777777" w:rsidR="009F3D4B" w:rsidRDefault="00000000">
            <w:pPr>
              <w:spacing w:after="62"/>
              <w:jc w:val="center"/>
            </w:pPr>
            <w:r>
              <w:t>None</w:t>
            </w:r>
          </w:p>
        </w:tc>
        <w:tc>
          <w:tcPr>
            <w:tcW w:w="2556" w:type="dxa"/>
            <w:tcBorders>
              <w:top w:val="single" w:sz="12" w:space="0" w:color="auto"/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CE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</w:tr>
      <w:tr w:rsidR="009F3D4B" w14:paraId="77B958D3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D0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D1" w14:textId="77777777" w:rsidR="009F3D4B" w:rsidRDefault="00000000">
            <w:pPr>
              <w:spacing w:after="62"/>
              <w:jc w:val="center"/>
            </w:pPr>
            <w:r>
              <w:t>Mild (focal necrosis of a few alveolar epithelial cells)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D2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</w:tr>
      <w:tr w:rsidR="009F3D4B" w14:paraId="77B958D7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D4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D5" w14:textId="77777777" w:rsidR="009F3D4B" w:rsidRDefault="00000000">
            <w:pPr>
              <w:spacing w:after="62"/>
              <w:jc w:val="center"/>
            </w:pPr>
            <w:r>
              <w:t>Moderate (multifocal necrosis forming necrotic foci)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D6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</w:tr>
      <w:tr w:rsidR="009F3D4B" w14:paraId="77B958DB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D8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D9" w14:textId="77777777" w:rsidR="009F3D4B" w:rsidRDefault="00000000">
            <w:pPr>
              <w:spacing w:after="62"/>
              <w:jc w:val="center"/>
            </w:pPr>
            <w:r>
              <w:t>Severe (confluent or patchy necrosis of alveolar epithelial cells)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DA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</w:tr>
      <w:tr w:rsidR="009F3D4B" w14:paraId="77B958DF" w14:textId="77777777"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DC" w14:textId="77777777" w:rsidR="009F3D4B" w:rsidRDefault="00000000">
            <w:pPr>
              <w:spacing w:after="62"/>
              <w:jc w:val="center"/>
            </w:pPr>
            <w:r>
              <w:t>Inflammatory Cell Infiltration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DD" w14:textId="77777777" w:rsidR="009F3D4B" w:rsidRDefault="00000000">
            <w:pPr>
              <w:spacing w:after="62"/>
              <w:jc w:val="center"/>
            </w:pPr>
            <w:r>
              <w:t>None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DE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</w:tr>
      <w:tr w:rsidR="009F3D4B" w14:paraId="77B958E3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E0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E1" w14:textId="77777777" w:rsidR="009F3D4B" w:rsidRDefault="00000000">
            <w:pPr>
              <w:spacing w:after="62"/>
              <w:jc w:val="center"/>
            </w:pPr>
            <w:r>
              <w:t>Mild (scattered infiltration of a few inflammatory cells)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E2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</w:tr>
      <w:tr w:rsidR="009F3D4B" w14:paraId="77B958E7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E4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E5" w14:textId="77777777" w:rsidR="009F3D4B" w:rsidRDefault="00000000">
            <w:pPr>
              <w:spacing w:after="62"/>
              <w:jc w:val="center"/>
            </w:pPr>
            <w:r>
              <w:t>Moderate (increased number of inflammatory cell aggregates)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E6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</w:tr>
      <w:tr w:rsidR="009F3D4B" w14:paraId="77B958EB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E8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E9" w14:textId="77777777" w:rsidR="009F3D4B" w:rsidRDefault="00000000">
            <w:pPr>
              <w:spacing w:after="62"/>
              <w:jc w:val="center"/>
            </w:pPr>
            <w:r>
              <w:t>Severe (extensive and diffuse inflammatory cell infiltration)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EA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</w:tr>
      <w:tr w:rsidR="009F3D4B" w14:paraId="77B958EF" w14:textId="77777777"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EC" w14:textId="77777777" w:rsidR="009F3D4B" w:rsidRDefault="00000000">
            <w:pPr>
              <w:spacing w:after="62"/>
              <w:jc w:val="center"/>
            </w:pPr>
            <w:r>
              <w:t>Hemorrhage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ED" w14:textId="77777777" w:rsidR="009F3D4B" w:rsidRDefault="00000000">
            <w:pPr>
              <w:spacing w:after="62"/>
              <w:jc w:val="center"/>
            </w:pPr>
            <w:r>
              <w:t>None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EE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</w:tr>
      <w:tr w:rsidR="009F3D4B" w14:paraId="77B958F3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F0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F1" w14:textId="77777777" w:rsidR="009F3D4B" w:rsidRDefault="00000000">
            <w:pPr>
              <w:spacing w:after="62"/>
              <w:jc w:val="center"/>
            </w:pPr>
            <w:r>
              <w:t>Mild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F2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</w:tr>
      <w:tr w:rsidR="009F3D4B" w14:paraId="77B958F7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F4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F5" w14:textId="77777777" w:rsidR="009F3D4B" w:rsidRDefault="00000000">
            <w:pPr>
              <w:spacing w:after="62"/>
              <w:jc w:val="center"/>
            </w:pPr>
            <w:r>
              <w:t>Moderate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F6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</w:tr>
      <w:tr w:rsidR="009F3D4B" w14:paraId="77B958FB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F8" w14:textId="77777777" w:rsidR="009F3D4B" w:rsidRDefault="009F3D4B">
            <w:pPr>
              <w:spacing w:after="62"/>
              <w:jc w:val="center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F9" w14:textId="77777777" w:rsidR="009F3D4B" w:rsidRDefault="00000000">
            <w:pPr>
              <w:spacing w:after="62"/>
              <w:jc w:val="center"/>
            </w:pPr>
            <w:r>
              <w:t>Severe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FA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</w:tr>
      <w:tr w:rsidR="009F3D4B" w14:paraId="77B958FF" w14:textId="77777777"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8FC" w14:textId="77777777" w:rsidR="009F3D4B" w:rsidRDefault="00000000">
            <w:pPr>
              <w:spacing w:after="62"/>
              <w:jc w:val="center"/>
            </w:pPr>
            <w:r>
              <w:t>Interstitial Edema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8FD" w14:textId="77777777" w:rsidR="009F3D4B" w:rsidRDefault="00000000">
            <w:pPr>
              <w:spacing w:after="62"/>
              <w:jc w:val="center"/>
            </w:pPr>
            <w:r>
              <w:t>None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8FE" w14:textId="77777777" w:rsidR="009F3D4B" w:rsidRDefault="00000000">
            <w:pPr>
              <w:spacing w:after="62"/>
              <w:jc w:val="center"/>
            </w:pPr>
            <w:r>
              <w:t>0</w:t>
            </w:r>
          </w:p>
        </w:tc>
      </w:tr>
      <w:tr w:rsidR="009F3D4B" w14:paraId="77B95903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900" w14:textId="77777777" w:rsidR="009F3D4B" w:rsidRDefault="009F3D4B">
            <w:pPr>
              <w:spacing w:after="62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901" w14:textId="77777777" w:rsidR="009F3D4B" w:rsidRDefault="00000000">
            <w:pPr>
              <w:spacing w:after="62"/>
              <w:jc w:val="center"/>
            </w:pPr>
            <w:r>
              <w:t>Mild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902" w14:textId="77777777" w:rsidR="009F3D4B" w:rsidRDefault="00000000">
            <w:pPr>
              <w:spacing w:after="62"/>
              <w:jc w:val="center"/>
            </w:pPr>
            <w:r>
              <w:t>1</w:t>
            </w:r>
          </w:p>
        </w:tc>
      </w:tr>
      <w:tr w:rsidR="009F3D4B" w14:paraId="77B95907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904" w14:textId="77777777" w:rsidR="009F3D4B" w:rsidRDefault="009F3D4B">
            <w:pPr>
              <w:spacing w:after="62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905" w14:textId="77777777" w:rsidR="009F3D4B" w:rsidRDefault="00000000">
            <w:pPr>
              <w:spacing w:after="62"/>
              <w:jc w:val="center"/>
            </w:pPr>
            <w:r>
              <w:t>Moderate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906" w14:textId="77777777" w:rsidR="009F3D4B" w:rsidRDefault="00000000">
            <w:pPr>
              <w:spacing w:after="62"/>
              <w:jc w:val="center"/>
            </w:pPr>
            <w:r>
              <w:t>2</w:t>
            </w:r>
          </w:p>
        </w:tc>
      </w:tr>
      <w:tr w:rsidR="009F3D4B" w14:paraId="77B9590B" w14:textId="77777777">
        <w:tc>
          <w:tcPr>
            <w:tcW w:w="0" w:type="auto"/>
            <w:vMerge/>
            <w:tcBorders>
              <w:tl2br w:val="nil"/>
              <w:tr2bl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7B95908" w14:textId="77777777" w:rsidR="009F3D4B" w:rsidRDefault="009F3D4B">
            <w:pPr>
              <w:spacing w:after="62"/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7B95909" w14:textId="77777777" w:rsidR="009F3D4B" w:rsidRDefault="00000000">
            <w:pPr>
              <w:spacing w:after="62"/>
              <w:jc w:val="center"/>
            </w:pPr>
            <w:r>
              <w:t>Severe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7B9590A" w14:textId="77777777" w:rsidR="009F3D4B" w:rsidRDefault="00000000">
            <w:pPr>
              <w:spacing w:after="62"/>
              <w:jc w:val="center"/>
            </w:pPr>
            <w:r>
              <w:t>3</w:t>
            </w:r>
          </w:p>
        </w:tc>
      </w:tr>
    </w:tbl>
    <w:p w14:paraId="77B9590C" w14:textId="77777777" w:rsidR="009F3D4B" w:rsidRDefault="009F3D4B">
      <w:pPr>
        <w:pStyle w:val="NormalWeb"/>
        <w:widowControl/>
        <w:shd w:val="clear" w:color="auto" w:fill="FFFFFF"/>
        <w:spacing w:before="137" w:after="62"/>
        <w:rPr>
          <w:rFonts w:eastAsiaTheme="minorEastAsia" w:cs="Times New Roman"/>
          <w:color w:val="0F1115"/>
          <w:sz w:val="20"/>
          <w:szCs w:val="20"/>
          <w:shd w:val="clear" w:color="auto" w:fill="FFFFFF"/>
        </w:rPr>
      </w:pPr>
    </w:p>
    <w:p w14:paraId="77B9590D" w14:textId="77777777" w:rsidR="009F3D4B" w:rsidRDefault="009F3D4B">
      <w:pPr>
        <w:spacing w:after="62"/>
        <w:rPr>
          <w:rFonts w:cs="Times New Roman"/>
          <w:sz w:val="20"/>
          <w:szCs w:val="20"/>
        </w:rPr>
      </w:pPr>
    </w:p>
    <w:sectPr w:rsidR="009F3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C3FD" w14:textId="77777777" w:rsidR="00A4784D" w:rsidRDefault="00A4784D">
      <w:pPr>
        <w:spacing w:after="48"/>
      </w:pPr>
      <w:r>
        <w:separator/>
      </w:r>
    </w:p>
  </w:endnote>
  <w:endnote w:type="continuationSeparator" w:id="0">
    <w:p w14:paraId="39ED6549" w14:textId="77777777" w:rsidR="00A4784D" w:rsidRDefault="00A4784D">
      <w:pPr>
        <w:spacing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5" w14:textId="77777777" w:rsidR="009F3D4B" w:rsidRDefault="009F3D4B">
    <w:pPr>
      <w:pStyle w:val="Footer"/>
      <w:spacing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6" w14:textId="77777777" w:rsidR="009F3D4B" w:rsidRDefault="009F3D4B">
    <w:pPr>
      <w:pStyle w:val="Footer"/>
      <w:spacing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8" w14:textId="77777777" w:rsidR="009F3D4B" w:rsidRDefault="009F3D4B">
    <w:pPr>
      <w:pStyle w:val="Footer"/>
      <w:spacing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6066" w14:textId="77777777" w:rsidR="00A4784D" w:rsidRDefault="00A4784D">
      <w:pPr>
        <w:spacing w:after="48"/>
      </w:pPr>
      <w:r>
        <w:separator/>
      </w:r>
    </w:p>
  </w:footnote>
  <w:footnote w:type="continuationSeparator" w:id="0">
    <w:p w14:paraId="06BC289F" w14:textId="77777777" w:rsidR="00A4784D" w:rsidRDefault="00A4784D">
      <w:pPr>
        <w:spacing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3" w14:textId="77777777" w:rsidR="009F3D4B" w:rsidRDefault="009F3D4B">
    <w:pPr>
      <w:pStyle w:val="Header"/>
      <w:spacing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4" w14:textId="77777777" w:rsidR="009F3D4B" w:rsidRDefault="009F3D4B">
    <w:pPr>
      <w:pStyle w:val="Header"/>
      <w:spacing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917" w14:textId="77777777" w:rsidR="009F3D4B" w:rsidRDefault="009F3D4B">
    <w:pPr>
      <w:pStyle w:val="Header"/>
      <w:spacing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F6CA"/>
    <w:multiLevelType w:val="singleLevel"/>
    <w:tmpl w:val="484BF6CA"/>
    <w:lvl w:ilvl="0">
      <w:start w:val="1"/>
      <w:numFmt w:val="decimal"/>
      <w:suff w:val="space"/>
      <w:lvlText w:val="%1"/>
      <w:lvlJc w:val="left"/>
      <w:pPr>
        <w:tabs>
          <w:tab w:val="left" w:pos="0"/>
        </w:tabs>
      </w:pPr>
      <w:rPr>
        <w:rFonts w:hint="default"/>
        <w:vertAlign w:val="superscript"/>
      </w:rPr>
    </w:lvl>
  </w:abstractNum>
  <w:num w:numId="1" w16cid:durableId="48524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1B1EFD"/>
    <w:rsid w:val="00514769"/>
    <w:rsid w:val="006801B5"/>
    <w:rsid w:val="006B1E73"/>
    <w:rsid w:val="006C1E88"/>
    <w:rsid w:val="00914A2B"/>
    <w:rsid w:val="009F3D4B"/>
    <w:rsid w:val="00A4784D"/>
    <w:rsid w:val="00A61FF5"/>
    <w:rsid w:val="034057C7"/>
    <w:rsid w:val="065A219D"/>
    <w:rsid w:val="07E07789"/>
    <w:rsid w:val="08FF26FB"/>
    <w:rsid w:val="095D5656"/>
    <w:rsid w:val="0A280CD3"/>
    <w:rsid w:val="0E7A245E"/>
    <w:rsid w:val="0F1F58A5"/>
    <w:rsid w:val="101A4F37"/>
    <w:rsid w:val="110C131E"/>
    <w:rsid w:val="11166833"/>
    <w:rsid w:val="121A7943"/>
    <w:rsid w:val="12CD232F"/>
    <w:rsid w:val="14C64FA3"/>
    <w:rsid w:val="14E005F3"/>
    <w:rsid w:val="16DE2D01"/>
    <w:rsid w:val="18DA45EA"/>
    <w:rsid w:val="19AE3C0E"/>
    <w:rsid w:val="1A0C4C78"/>
    <w:rsid w:val="1A4777C8"/>
    <w:rsid w:val="1C8651B5"/>
    <w:rsid w:val="1D1C3424"/>
    <w:rsid w:val="1E135665"/>
    <w:rsid w:val="21933ED0"/>
    <w:rsid w:val="22835CF3"/>
    <w:rsid w:val="230011E1"/>
    <w:rsid w:val="25491283"/>
    <w:rsid w:val="25FB1C91"/>
    <w:rsid w:val="263F65B1"/>
    <w:rsid w:val="27927BDF"/>
    <w:rsid w:val="296F397B"/>
    <w:rsid w:val="2B171471"/>
    <w:rsid w:val="2B6D7540"/>
    <w:rsid w:val="2BA83BD6"/>
    <w:rsid w:val="2FB73645"/>
    <w:rsid w:val="312C5722"/>
    <w:rsid w:val="33A67A93"/>
    <w:rsid w:val="3455306A"/>
    <w:rsid w:val="381F04DA"/>
    <w:rsid w:val="3A0D4604"/>
    <w:rsid w:val="3A1B0664"/>
    <w:rsid w:val="3B1B1EFD"/>
    <w:rsid w:val="3BDD3136"/>
    <w:rsid w:val="3BEE2285"/>
    <w:rsid w:val="402A3C11"/>
    <w:rsid w:val="421A645D"/>
    <w:rsid w:val="43076496"/>
    <w:rsid w:val="45901F57"/>
    <w:rsid w:val="45A8769B"/>
    <w:rsid w:val="46712183"/>
    <w:rsid w:val="492E6C85"/>
    <w:rsid w:val="4B9506C1"/>
    <w:rsid w:val="4D3E3567"/>
    <w:rsid w:val="4F586138"/>
    <w:rsid w:val="554C5761"/>
    <w:rsid w:val="577858A7"/>
    <w:rsid w:val="5DCC4E0E"/>
    <w:rsid w:val="5E781EA8"/>
    <w:rsid w:val="5EF53D65"/>
    <w:rsid w:val="5F313E05"/>
    <w:rsid w:val="5F663B86"/>
    <w:rsid w:val="604E5D12"/>
    <w:rsid w:val="63E049FE"/>
    <w:rsid w:val="66904517"/>
    <w:rsid w:val="6724586B"/>
    <w:rsid w:val="681F0500"/>
    <w:rsid w:val="69273918"/>
    <w:rsid w:val="6C033CD6"/>
    <w:rsid w:val="6DE2733E"/>
    <w:rsid w:val="6FB40867"/>
    <w:rsid w:val="7016507D"/>
    <w:rsid w:val="71F65166"/>
    <w:rsid w:val="72B30D75"/>
    <w:rsid w:val="76B22FF4"/>
    <w:rsid w:val="7A536D93"/>
    <w:rsid w:val="7D7815EF"/>
    <w:rsid w:val="7E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9588A"/>
  <w15:docId w15:val="{BAD90484-823D-457C-A7C0-94994C8F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napToGrid w:val="0"/>
      <w:spacing w:afterLines="20" w:after="20"/>
      <w:jc w:val="both"/>
    </w:pPr>
    <w:rPr>
      <w:rFonts w:cstheme="minorBidi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Lines="0" w:after="330" w:line="576" w:lineRule="auto"/>
      <w:jc w:val="center"/>
      <w:outlineLvl w:val="0"/>
    </w:pPr>
    <w:rPr>
      <w:rFonts w:eastAsia="SimHei"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Lines="0" w:after="260" w:line="413" w:lineRule="auto"/>
      <w:outlineLvl w:val="1"/>
    </w:pPr>
    <w:rPr>
      <w:b/>
      <w:sz w:val="32"/>
    </w:rPr>
  </w:style>
  <w:style w:type="paragraph" w:styleId="Heading3">
    <w:name w:val="heading 3"/>
    <w:basedOn w:val="Normal"/>
    <w:next w:val="Normal"/>
    <w:unhideWhenUsed/>
    <w:qFormat/>
    <w:pPr>
      <w:spacing w:beforeAutospacing="1" w:after="0" w:afterAutospacing="1"/>
      <w:jc w:val="left"/>
      <w:outlineLvl w:val="2"/>
    </w:pPr>
    <w:rPr>
      <w:rFonts w:ascii="SimSun" w:hAnsi="SimSun" w:cs="SimSun" w:hint="eastAsia"/>
      <w:b/>
      <w:bCs/>
      <w:kern w:val="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afterLines="0" w:after="120"/>
      <w:ind w:leftChars="200" w:left="4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BodyTextIndent3">
    <w:name w:val="Body Text Indent 3"/>
    <w:basedOn w:val="Normal"/>
    <w:next w:val="BodyTextFirstIndent2"/>
    <w:link w:val="BodyTextIndent3Char"/>
    <w:qFormat/>
    <w:pPr>
      <w:ind w:firstLineChars="200" w:firstLine="480"/>
    </w:pPr>
    <w:rPr>
      <w:szCs w:val="20"/>
    </w:rPr>
  </w:style>
  <w:style w:type="paragraph" w:styleId="BodyTextFirstIndent2">
    <w:name w:val="Body Text First Indent 2"/>
    <w:basedOn w:val="BodyTextIndent"/>
    <w:autoRedefine/>
    <w:qFormat/>
    <w:pPr>
      <w:ind w:firstLineChars="200" w:firstLine="420"/>
    </w:pPr>
  </w:style>
  <w:style w:type="paragraph" w:styleId="NormalWeb">
    <w:name w:val="Normal (Web)"/>
    <w:basedOn w:val="Normal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customStyle="1" w:styleId="BodyTextIndent3Char">
    <w:name w:val="Body Text Indent 3 Char"/>
    <w:link w:val="BodyTextIndent3"/>
    <w:qFormat/>
    <w:rPr>
      <w:rFonts w:ascii="Times New Roman" w:eastAsia="SimSun" w:hAnsi="Times New Roman" w:cs="Times New Roman"/>
      <w:sz w:val="24"/>
      <w:szCs w:val="20"/>
    </w:rPr>
  </w:style>
  <w:style w:type="paragraph" w:customStyle="1" w:styleId="Revision1">
    <w:name w:val="Revision1"/>
    <w:hidden/>
    <w:uiPriority w:val="99"/>
    <w:unhideWhenUsed/>
    <w:qFormat/>
    <w:rPr>
      <w:rFonts w:cstheme="minorBidi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a0077ea6-9481-4de4-94ba-749304028101</errorID>
      <errorWord>Swich</errorWord>
      <group>L1_English</group>
      <groupName>英文问题</groupName>
      <ability>L2_EnglishSpell</ability>
      <abilityName>英文拼写检查</abilityName>
      <candidateList>
        <item>Switch</item>
      </candidateList>
      <explain>疑似单词拼写有误，建议将Swich修改为Switch</explain>
      <paraID>5E382388</paraID>
      <start>59</start>
      <end>64</end>
      <status>unmodified</status>
      <modifiedWord/>
      <trackRevisions>false</trackRevisions>
    </reviewItem>
    <reviewItem>
      <errorID>69115fd8-3665-4891-bd02-59e597c8d5ea</errorID>
      <errorWord>cytotoxity</errorWord>
      <group>L1_English</group>
      <groupName>英文问题</groupName>
      <ability>L2_EnglishSpell</ability>
      <abilityName>英文拼写检查</abilityName>
      <candidateList>
        <item>cytotoxicity</item>
      </candidateList>
      <explain>疑似单词拼写有误，建议将cytotoxity修改为cytotoxicity</explain>
      <paraID>2745881F</paraID>
      <start>14</start>
      <end>24</end>
      <status>unmodified</status>
      <modifiedWord/>
      <trackRevisions>false</trackRevisions>
    </reviewItem>
    <reviewItem>
      <errorID>fa05c3bd-92e5-42e3-a201-cdc1d68af985</errorID>
      <errorWord>cell</errorWord>
      <group>L1_English</group>
      <groupName>英文问题</groupName>
      <ability>L2_EnglishGrammar</ability>
      <abilityName>英文语法检查</abilityName>
      <candidateList>
        <item>cells</item>
      </candidateList>
      <explain>疑似名词单复数使用错误，建议将cell修改为cells</explain>
      <paraID>2745881F</paraID>
      <start>249</start>
      <end>254</end>
      <status>modified</status>
      <modifiedWord>cells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E52784-5AAE-412F-A5C2-33E699C5729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280</Words>
  <Characters>1759</Characters>
  <Application>Microsoft Office Word</Application>
  <DocSecurity>0</DocSecurity>
  <Lines>25</Lines>
  <Paragraphs>8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九千岁</dc:creator>
  <cp:lastModifiedBy>Jermaine Wilcock</cp:lastModifiedBy>
  <cp:revision>3</cp:revision>
  <dcterms:created xsi:type="dcterms:W3CDTF">2025-09-23T12:33:00Z</dcterms:created>
  <dcterms:modified xsi:type="dcterms:W3CDTF">2026-04-28T12:19:00Z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E3A1E8EF87B7418DBB39B7950B02EF57_13</vt:lpwstr>
  </property>
  <property fmtid="{D5CDD505-2E9C-101B-9397-08002B2CF9AE}" pid="4" name="KSOTemplateDocerSaveRecord">
    <vt:lpwstr>eyJoZGlkIjoiZjFmZWIzNDg2MmIzZjExOTIzMmViNTBmYTMwYTk0ZWYiLCJ1c2VySWQiOiI5ODY0MDc4MjAifQ==</vt:lpwstr>
  </property>
</Properties>
</file>