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D668E" w14:textId="77777777" w:rsidR="00F66F11" w:rsidRDefault="00F66F11" w:rsidP="00F66F11">
      <w:pPr>
        <w:pStyle w:val="EndNoteBibliography"/>
        <w:tabs>
          <w:tab w:val="left" w:pos="360"/>
        </w:tabs>
        <w:snapToGrid w:val="0"/>
        <w:rPr>
          <w:rFonts w:ascii="Arial" w:hAnsi="Arial" w:cs="Arial"/>
          <w:b/>
          <w:bCs/>
        </w:rPr>
      </w:pPr>
      <w:bookmarkStart w:id="0" w:name="_SUPPLEMENTAL_MATERIAL"/>
      <w:bookmarkEnd w:id="0"/>
      <w:r w:rsidRPr="00DB790B">
        <w:rPr>
          <w:rFonts w:ascii="Arial" w:hAnsi="Arial" w:cs="Arial"/>
          <w:b/>
          <w:bCs/>
        </w:rPr>
        <w:t>Supplemental Figure 1. Study design</w:t>
      </w:r>
    </w:p>
    <w:p w14:paraId="785430FF" w14:textId="77777777" w:rsidR="00F66F11" w:rsidRPr="002C7129" w:rsidRDefault="00F66F11" w:rsidP="00F66F11">
      <w:pPr>
        <w:pStyle w:val="EndNoteBibliography"/>
        <w:tabs>
          <w:tab w:val="left" w:pos="360"/>
        </w:tabs>
        <w:snapToGri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Description: </w:t>
      </w:r>
      <w:r w:rsidRPr="009E59F7">
        <w:rPr>
          <w:rFonts w:ascii="Arial" w:hAnsi="Arial" w:cs="Arial"/>
          <w:i/>
          <w:iCs/>
        </w:rPr>
        <w:t>Schema illustrating key elements and timing of the study design</w:t>
      </w:r>
      <w:r>
        <w:rPr>
          <w:rFonts w:ascii="Arial" w:hAnsi="Arial" w:cs="Arial"/>
          <w:i/>
          <w:iCs/>
        </w:rPr>
        <w:t xml:space="preserve"> </w:t>
      </w:r>
    </w:p>
    <w:p w14:paraId="67BF1D6A" w14:textId="2DE76BFE" w:rsidR="00AF63D0" w:rsidRPr="00AF63D0" w:rsidRDefault="00AF63D0" w:rsidP="00AF63D0">
      <w:pPr>
        <w:pStyle w:val="EndNoteBibliography"/>
        <w:tabs>
          <w:tab w:val="left" w:pos="360"/>
        </w:tabs>
        <w:snapToGrid w:val="0"/>
        <w:rPr>
          <w:rFonts w:ascii="Arial" w:hAnsi="Arial" w:cs="Arial"/>
          <w:color w:val="000000" w:themeColor="text1"/>
        </w:rPr>
      </w:pPr>
      <w:r w:rsidRPr="00AF63D0">
        <w:rPr>
          <w:rFonts w:ascii="Arial" w:hAnsi="Arial" w:cs="Arial"/>
          <w:color w:val="000000" w:themeColor="text1"/>
        </w:rPr>
        <w:drawing>
          <wp:inline distT="0" distB="0" distL="0" distR="0" wp14:anchorId="50E7CD63" wp14:editId="3689E8FB">
            <wp:extent cx="5943600" cy="1828800"/>
            <wp:effectExtent l="0" t="0" r="0" b="0"/>
            <wp:docPr id="876777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8978E" w14:textId="74936DD2" w:rsidR="00F66F11" w:rsidRPr="00DB790B" w:rsidRDefault="00F66F11" w:rsidP="00F66F11">
      <w:pPr>
        <w:pStyle w:val="EndNoteBibliography"/>
        <w:tabs>
          <w:tab w:val="left" w:pos="360"/>
        </w:tabs>
        <w:snapToGrid w:val="0"/>
        <w:rPr>
          <w:rFonts w:ascii="Arial" w:hAnsi="Arial" w:cs="Arial"/>
          <w:color w:val="000000" w:themeColor="text1"/>
        </w:rPr>
      </w:pPr>
      <w:r w:rsidRPr="00DB790B">
        <w:rPr>
          <w:rFonts w:ascii="Arial" w:hAnsi="Arial" w:cs="Arial"/>
          <w:color w:val="000000" w:themeColor="text1"/>
        </w:rPr>
        <w:t xml:space="preserve">IRIS, Intelligent Research in Sight; KRD, Komodo Research Dataset; TED, thyroid eye disease. </w:t>
      </w:r>
    </w:p>
    <w:p w14:paraId="1B41FC3A" w14:textId="77777777" w:rsidR="00BB09DD" w:rsidRDefault="00BB09DD">
      <w:pPr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</w:rPr>
        <w:br w:type="page"/>
      </w:r>
    </w:p>
    <w:p w14:paraId="060AF23D" w14:textId="7A549E18" w:rsidR="00F66F11" w:rsidRDefault="00F66F11" w:rsidP="00F66F11">
      <w:pPr>
        <w:pStyle w:val="EndNoteBibliography"/>
        <w:tabs>
          <w:tab w:val="left" w:pos="360"/>
        </w:tabs>
        <w:snapToGrid w:val="0"/>
        <w:rPr>
          <w:rFonts w:ascii="Arial" w:hAnsi="Arial" w:cs="Arial"/>
          <w:b/>
          <w:bCs/>
        </w:rPr>
      </w:pPr>
      <w:r w:rsidRPr="00DB790B">
        <w:rPr>
          <w:rFonts w:ascii="Arial" w:hAnsi="Arial" w:cs="Arial"/>
          <w:b/>
          <w:bCs/>
        </w:rPr>
        <w:lastRenderedPageBreak/>
        <w:t>Supplemental Figure 2. Study patient population</w:t>
      </w:r>
    </w:p>
    <w:p w14:paraId="6CFBC4DB" w14:textId="77777777" w:rsidR="00F66F11" w:rsidRPr="00CE132C" w:rsidRDefault="00F66F11" w:rsidP="00F66F11">
      <w:pPr>
        <w:pStyle w:val="EndNoteBibliography"/>
        <w:tabs>
          <w:tab w:val="left" w:pos="360"/>
        </w:tabs>
        <w:snapToGri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Description: </w:t>
      </w:r>
      <w:r w:rsidRPr="00077353">
        <w:rPr>
          <w:rFonts w:ascii="Arial" w:hAnsi="Arial" w:cs="Arial"/>
          <w:i/>
          <w:iCs/>
        </w:rPr>
        <w:t>Flowchart illustrating the selection criteria used to identify the eligible study population, including subgroups of interest</w:t>
      </w:r>
    </w:p>
    <w:p w14:paraId="1E76DB71" w14:textId="080B8B6E" w:rsidR="00AF63D0" w:rsidRPr="00AF63D0" w:rsidRDefault="00AF63D0" w:rsidP="00AF63D0">
      <w:pPr>
        <w:pStyle w:val="EndNoteBibliography"/>
        <w:tabs>
          <w:tab w:val="left" w:pos="360"/>
        </w:tabs>
        <w:snapToGrid w:val="0"/>
        <w:rPr>
          <w:rFonts w:ascii="Arial" w:hAnsi="Arial" w:cs="Arial"/>
          <w:color w:val="000000" w:themeColor="text1"/>
          <w:vertAlign w:val="superscript"/>
          <w:lang w:eastAsia="en-GB"/>
        </w:rPr>
      </w:pPr>
      <w:r w:rsidRPr="00AF63D0">
        <w:rPr>
          <w:rFonts w:ascii="Arial" w:hAnsi="Arial" w:cs="Arial"/>
          <w:color w:val="000000" w:themeColor="text1"/>
          <w:vertAlign w:val="superscript"/>
          <w:lang w:eastAsia="en-GB"/>
        </w:rPr>
        <w:drawing>
          <wp:inline distT="0" distB="0" distL="0" distR="0" wp14:anchorId="75822FF6" wp14:editId="5B53BD16">
            <wp:extent cx="5943600" cy="4999355"/>
            <wp:effectExtent l="0" t="0" r="0" b="0"/>
            <wp:docPr id="19947663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9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BF654" w14:textId="42CCD8C0" w:rsidR="00F66F11" w:rsidRPr="00DB790B" w:rsidRDefault="00F66F11" w:rsidP="00F66F11">
      <w:pPr>
        <w:pStyle w:val="EndNoteBibliography"/>
        <w:tabs>
          <w:tab w:val="left" w:pos="360"/>
        </w:tabs>
        <w:snapToGrid w:val="0"/>
        <w:rPr>
          <w:rFonts w:ascii="Arial" w:hAnsi="Arial" w:cs="Arial"/>
          <w:color w:val="000000" w:themeColor="text1"/>
          <w:lang w:val="en-CA" w:eastAsia="en-GB"/>
        </w:rPr>
      </w:pPr>
      <w:r w:rsidRPr="00DB790B">
        <w:rPr>
          <w:rFonts w:ascii="Arial" w:hAnsi="Arial" w:cs="Arial"/>
          <w:color w:val="000000" w:themeColor="text1"/>
          <w:vertAlign w:val="superscript"/>
          <w:lang w:val="en-CA" w:eastAsia="en-GB"/>
        </w:rPr>
        <w:t>1</w:t>
      </w:r>
      <w:r w:rsidRPr="00DB790B">
        <w:rPr>
          <w:rFonts w:ascii="Arial" w:hAnsi="Arial" w:cs="Arial"/>
          <w:color w:val="000000" w:themeColor="text1"/>
          <w:lang w:val="en-CA" w:eastAsia="en-GB"/>
        </w:rPr>
        <w:t>Some patients (N=338) could not be categorized into subgroups due to unknown TED duration at the index date and consequently were excluded from subgroup analyses.</w:t>
      </w:r>
    </w:p>
    <w:p w14:paraId="6B4E1E2D" w14:textId="7F589FAA" w:rsidR="00EA1063" w:rsidRDefault="00F66F11" w:rsidP="00AF63D0">
      <w:pPr>
        <w:pStyle w:val="EndNoteBibliography"/>
        <w:tabs>
          <w:tab w:val="left" w:pos="360"/>
        </w:tabs>
        <w:snapToGrid w:val="0"/>
        <w:rPr>
          <w:rFonts w:ascii="Arial" w:hAnsi="Arial" w:cs="Arial"/>
          <w:b/>
          <w:bCs/>
        </w:rPr>
      </w:pPr>
      <w:r w:rsidRPr="00DB790B">
        <w:rPr>
          <w:rFonts w:ascii="Arial" w:hAnsi="Arial" w:cs="Arial"/>
          <w:color w:val="000000" w:themeColor="text1"/>
        </w:rPr>
        <w:t xml:space="preserve">IRIS, Intelligent Research in Sight; KRD, Komodo Research Dataset; TED, thyroid eye disease. </w:t>
      </w:r>
      <w:r w:rsidR="00EA1063">
        <w:rPr>
          <w:rFonts w:ascii="Arial" w:hAnsi="Arial" w:cs="Arial"/>
          <w:b/>
          <w:bCs/>
        </w:rPr>
        <w:br w:type="page"/>
      </w:r>
    </w:p>
    <w:p w14:paraId="718CB45F" w14:textId="5C776442" w:rsidR="00F66F11" w:rsidRDefault="00F66F11" w:rsidP="00F66F11">
      <w:pPr>
        <w:pStyle w:val="EndNoteBibliography"/>
        <w:tabs>
          <w:tab w:val="left" w:pos="360"/>
        </w:tabs>
        <w:snapToGrid w:val="0"/>
        <w:rPr>
          <w:rFonts w:ascii="Arial" w:hAnsi="Arial" w:cs="Arial"/>
          <w:b/>
          <w:bCs/>
        </w:rPr>
      </w:pPr>
      <w:r w:rsidRPr="00DB790B">
        <w:rPr>
          <w:rFonts w:ascii="Arial" w:hAnsi="Arial" w:cs="Arial"/>
          <w:b/>
          <w:bCs/>
        </w:rPr>
        <w:lastRenderedPageBreak/>
        <w:t>Supplemental Figure 3. Teprotumumab infusion patterns by TED duration</w:t>
      </w:r>
    </w:p>
    <w:p w14:paraId="363A872A" w14:textId="2E79771F" w:rsidR="00727187" w:rsidRDefault="00F66F11" w:rsidP="00727187">
      <w:pPr>
        <w:pStyle w:val="EndNoteBibliography"/>
        <w:tabs>
          <w:tab w:val="left" w:pos="360"/>
        </w:tabs>
        <w:snapToGrid w:val="0"/>
        <w:rPr>
          <w:rFonts w:ascii="Arial" w:hAnsi="Arial" w:cs="Arial"/>
          <w:i/>
          <w:iCs/>
        </w:rPr>
      </w:pPr>
      <w:r w:rsidRPr="006D4442">
        <w:rPr>
          <w:rFonts w:ascii="Arial" w:hAnsi="Arial" w:cs="Arial"/>
          <w:i/>
          <w:iCs/>
        </w:rPr>
        <w:t xml:space="preserve">Description: </w:t>
      </w:r>
      <w:r w:rsidRPr="00107286">
        <w:rPr>
          <w:rFonts w:ascii="Arial" w:hAnsi="Arial" w:cs="Arial"/>
          <w:i/>
          <w:iCs/>
        </w:rPr>
        <w:t>Flowchart depicting infusion patterns across the first and second courses of teprotumumab treatment</w:t>
      </w:r>
      <w:r>
        <w:rPr>
          <w:rFonts w:ascii="Arial" w:hAnsi="Arial" w:cs="Arial"/>
          <w:i/>
          <w:iCs/>
        </w:rPr>
        <w:t xml:space="preserve"> among </w:t>
      </w:r>
      <w:r w:rsidRPr="00077353">
        <w:rPr>
          <w:rFonts w:ascii="Arial" w:hAnsi="Arial" w:cs="Arial"/>
          <w:i/>
          <w:iCs/>
        </w:rPr>
        <w:t>subgroups of interest</w:t>
      </w:r>
    </w:p>
    <w:p w14:paraId="6C9E1615" w14:textId="49A317E4" w:rsidR="00585E24" w:rsidRPr="00585E24" w:rsidRDefault="00585E24" w:rsidP="00585E24">
      <w:pPr>
        <w:pStyle w:val="EndNoteBibliography"/>
        <w:tabs>
          <w:tab w:val="left" w:pos="360"/>
        </w:tabs>
        <w:snapToGrid w:val="0"/>
        <w:rPr>
          <w:rFonts w:ascii="Arial" w:hAnsi="Arial" w:cs="Arial"/>
          <w:i/>
          <w:iCs/>
        </w:rPr>
      </w:pPr>
      <w:r w:rsidRPr="00585E24">
        <w:rPr>
          <w:rFonts w:ascii="Arial" w:hAnsi="Arial" w:cs="Arial"/>
          <w:i/>
          <w:iCs/>
        </w:rPr>
        <w:drawing>
          <wp:inline distT="0" distB="0" distL="0" distR="0" wp14:anchorId="11044A2B" wp14:editId="7E7AD750">
            <wp:extent cx="5943600" cy="2717165"/>
            <wp:effectExtent l="0" t="0" r="0" b="6985"/>
            <wp:docPr id="18606871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1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57A29" w14:textId="77777777" w:rsidR="00F66F11" w:rsidRPr="00DB790B" w:rsidRDefault="00F66F11" w:rsidP="00D778C9">
      <w:pPr>
        <w:pStyle w:val="EndNoteBibliography"/>
        <w:tabs>
          <w:tab w:val="left" w:pos="360"/>
        </w:tabs>
        <w:snapToGrid w:val="0"/>
        <w:spacing w:before="240"/>
        <w:rPr>
          <w:rFonts w:ascii="Arial" w:hAnsi="Arial" w:cs="Arial"/>
          <w:color w:val="000000" w:themeColor="text1"/>
        </w:rPr>
      </w:pPr>
      <w:r w:rsidRPr="00DB790B">
        <w:rPr>
          <w:rFonts w:ascii="Arial" w:hAnsi="Arial" w:cs="Arial"/>
          <w:color w:val="000000" w:themeColor="text1"/>
          <w:vertAlign w:val="superscript"/>
          <w:lang w:val="en-AU"/>
        </w:rPr>
        <w:t>1</w:t>
      </w:r>
      <w:r w:rsidRPr="00DB790B">
        <w:rPr>
          <w:rFonts w:ascii="Arial" w:hAnsi="Arial" w:cs="Arial"/>
          <w:color w:val="000000" w:themeColor="text1"/>
          <w:lang w:val="en-AU"/>
        </w:rPr>
        <w:t>Infusion patterns were reported based on all teprotumumab claims (which were required to be ≥10 days apart to be considered separate claims) observed between the index date and the end of follow-up.</w:t>
      </w:r>
      <w:r w:rsidRPr="00DB790B">
        <w:rPr>
          <w:rFonts w:ascii="Arial" w:hAnsi="Arial" w:cs="Arial"/>
          <w:color w:val="000000" w:themeColor="text1"/>
        </w:rPr>
        <w:t xml:space="preserve"> Patients who were potentially impacted by the COVID-19 supply chain disruption (i.e., patients who initiated teprotumumab in the second half of 2020 and discontinued in the first half of 2021; n=249) and patients with unknown disease duration at index (N=338) were excluded from the infusion pattern analyses.</w:t>
      </w:r>
      <w:r w:rsidRPr="00DB790B">
        <w:rPr>
          <w:rFonts w:ascii="Arial" w:hAnsi="Arial" w:cs="Arial"/>
          <w:color w:val="000000" w:themeColor="text1"/>
          <w:lang w:val="en-AU"/>
        </w:rPr>
        <w:t xml:space="preserve"> </w:t>
      </w:r>
      <w:r w:rsidRPr="00DB790B">
        <w:rPr>
          <w:rFonts w:ascii="Arial" w:hAnsi="Arial" w:cs="Arial"/>
          <w:color w:val="000000" w:themeColor="text1"/>
          <w:vertAlign w:val="superscript"/>
          <w:lang w:val="en-AU"/>
        </w:rPr>
        <w:t>2</w:t>
      </w:r>
      <w:r w:rsidRPr="00DB790B">
        <w:rPr>
          <w:rFonts w:ascii="Arial" w:hAnsi="Arial" w:cs="Arial"/>
          <w:i/>
          <w:iCs/>
          <w:color w:val="000000" w:themeColor="text1"/>
          <w:lang w:val="en-AU"/>
        </w:rPr>
        <w:t>First course</w:t>
      </w:r>
      <w:r w:rsidRPr="00DB790B">
        <w:rPr>
          <w:rFonts w:ascii="Arial" w:hAnsi="Arial" w:cs="Arial"/>
          <w:color w:val="000000" w:themeColor="text1"/>
          <w:lang w:val="en-AU"/>
        </w:rPr>
        <w:t xml:space="preserve"> </w:t>
      </w:r>
      <w:r w:rsidRPr="00DB790B">
        <w:rPr>
          <w:rFonts w:ascii="Arial" w:hAnsi="Arial" w:cs="Arial"/>
          <w:i/>
          <w:iCs/>
          <w:color w:val="000000" w:themeColor="text1"/>
          <w:lang w:val="en-AU"/>
        </w:rPr>
        <w:t>completers</w:t>
      </w:r>
      <w:r w:rsidRPr="00DB790B">
        <w:rPr>
          <w:rFonts w:ascii="Arial" w:hAnsi="Arial" w:cs="Arial"/>
          <w:color w:val="000000" w:themeColor="text1"/>
          <w:lang w:val="en-AU"/>
        </w:rPr>
        <w:t xml:space="preserve"> were defined as patients who received ≥8 teprotumumab infusions. </w:t>
      </w:r>
      <w:r w:rsidRPr="00DB790B">
        <w:rPr>
          <w:rFonts w:ascii="Arial" w:hAnsi="Arial" w:cs="Arial"/>
          <w:color w:val="000000" w:themeColor="text1"/>
          <w:vertAlign w:val="superscript"/>
          <w:lang w:val="en-AU"/>
        </w:rPr>
        <w:t>3</w:t>
      </w:r>
      <w:r w:rsidRPr="00DB790B">
        <w:rPr>
          <w:rFonts w:ascii="Arial" w:hAnsi="Arial" w:cs="Arial"/>
          <w:i/>
          <w:iCs/>
          <w:color w:val="000000" w:themeColor="text1"/>
          <w:lang w:val="en-AU"/>
        </w:rPr>
        <w:t>Discontinuers</w:t>
      </w:r>
      <w:r w:rsidRPr="00DB790B">
        <w:rPr>
          <w:rFonts w:ascii="Arial" w:hAnsi="Arial" w:cs="Arial"/>
          <w:color w:val="000000" w:themeColor="text1"/>
          <w:lang w:val="en-AU"/>
        </w:rPr>
        <w:t xml:space="preserve"> were defined as patients who received &lt;8 teprotumumab infusions. </w:t>
      </w:r>
      <w:r w:rsidRPr="00DB790B">
        <w:rPr>
          <w:rFonts w:ascii="Arial" w:hAnsi="Arial" w:cs="Arial"/>
          <w:color w:val="000000" w:themeColor="text1"/>
          <w:vertAlign w:val="superscript"/>
          <w:lang w:val="en-AU"/>
        </w:rPr>
        <w:t>4</w:t>
      </w:r>
      <w:r w:rsidRPr="00DB790B">
        <w:rPr>
          <w:rFonts w:ascii="Arial" w:hAnsi="Arial" w:cs="Arial"/>
          <w:i/>
          <w:iCs/>
          <w:color w:val="000000" w:themeColor="text1"/>
          <w:lang w:val="en-AU"/>
        </w:rPr>
        <w:t>Treatment gaps</w:t>
      </w:r>
      <w:r w:rsidRPr="00DB790B">
        <w:rPr>
          <w:rFonts w:ascii="Arial" w:hAnsi="Arial" w:cs="Arial"/>
          <w:color w:val="000000" w:themeColor="text1"/>
          <w:lang w:val="en-AU"/>
        </w:rPr>
        <w:t xml:space="preserve"> were defined as a period of </w:t>
      </w:r>
      <w:r w:rsidRPr="00DB790B">
        <w:rPr>
          <w:rFonts w:ascii="Arial" w:hAnsi="Arial" w:cs="Arial"/>
          <w:color w:val="000000" w:themeColor="text1"/>
        </w:rPr>
        <w:t xml:space="preserve">≥90 days between two consecutive teprotumumab infusions. </w:t>
      </w:r>
      <w:r w:rsidRPr="00DB790B">
        <w:rPr>
          <w:rFonts w:ascii="Arial" w:hAnsi="Arial" w:cs="Arial"/>
          <w:color w:val="000000" w:themeColor="text1"/>
          <w:vertAlign w:val="superscript"/>
          <w:lang w:val="en-AU"/>
        </w:rPr>
        <w:t>5</w:t>
      </w:r>
      <w:r w:rsidRPr="00DB790B">
        <w:rPr>
          <w:rFonts w:ascii="Arial" w:hAnsi="Arial" w:cs="Arial"/>
          <w:color w:val="000000" w:themeColor="text1"/>
          <w:lang w:val="en-AU"/>
        </w:rPr>
        <w:t xml:space="preserve">Among discontinuers, </w:t>
      </w:r>
      <w:r w:rsidRPr="00DB790B">
        <w:rPr>
          <w:rFonts w:ascii="Arial" w:hAnsi="Arial" w:cs="Arial"/>
          <w:i/>
          <w:iCs/>
          <w:color w:val="000000" w:themeColor="text1"/>
          <w:lang w:val="en-AU"/>
        </w:rPr>
        <w:t>reinitiation</w:t>
      </w:r>
      <w:r w:rsidRPr="00DB790B">
        <w:rPr>
          <w:rFonts w:ascii="Arial" w:hAnsi="Arial" w:cs="Arial"/>
          <w:color w:val="000000" w:themeColor="text1"/>
          <w:lang w:val="en-AU"/>
        </w:rPr>
        <w:t xml:space="preserve"> was defined as receiving a subsequent </w:t>
      </w:r>
      <w:r w:rsidRPr="00DB790B">
        <w:rPr>
          <w:rFonts w:ascii="Arial" w:hAnsi="Arial" w:cs="Arial"/>
          <w:color w:val="000000" w:themeColor="text1"/>
        </w:rPr>
        <w:t xml:space="preserve">infusion after a treatment gap (≥90 days), while </w:t>
      </w:r>
      <w:r w:rsidRPr="00DB790B">
        <w:rPr>
          <w:rFonts w:ascii="Arial" w:hAnsi="Arial" w:cs="Arial"/>
          <w:color w:val="000000" w:themeColor="text1"/>
        </w:rPr>
        <w:lastRenderedPageBreak/>
        <w:t>still receiving &lt;8 overall</w:t>
      </w:r>
      <w:r w:rsidRPr="00DB790B">
        <w:rPr>
          <w:rFonts w:ascii="Arial" w:hAnsi="Arial" w:cs="Arial"/>
          <w:color w:val="000000" w:themeColor="text1"/>
          <w:lang w:val="en-AU"/>
        </w:rPr>
        <w:t>.</w:t>
      </w:r>
      <w:r w:rsidRPr="00DB790B">
        <w:rPr>
          <w:rFonts w:ascii="Arial" w:hAnsi="Arial" w:cs="Arial"/>
          <w:color w:val="000000" w:themeColor="text1"/>
        </w:rPr>
        <w:t xml:space="preserve"> </w:t>
      </w:r>
      <w:r w:rsidRPr="00DB790B">
        <w:rPr>
          <w:rFonts w:ascii="Arial" w:hAnsi="Arial" w:cs="Arial"/>
          <w:color w:val="000000" w:themeColor="text1"/>
          <w:vertAlign w:val="superscript"/>
          <w:lang w:val="en-AU"/>
        </w:rPr>
        <w:t>6</w:t>
      </w:r>
      <w:r w:rsidRPr="00DB790B">
        <w:rPr>
          <w:rFonts w:ascii="Arial" w:hAnsi="Arial" w:cs="Arial"/>
          <w:color w:val="000000" w:themeColor="text1"/>
          <w:lang w:val="en-AU"/>
        </w:rPr>
        <w:t xml:space="preserve">Among completers, </w:t>
      </w:r>
      <w:r w:rsidRPr="00DB790B">
        <w:rPr>
          <w:rFonts w:ascii="Arial" w:hAnsi="Arial" w:cs="Arial"/>
          <w:i/>
          <w:iCs/>
          <w:color w:val="000000" w:themeColor="text1"/>
          <w:lang w:val="en-AU"/>
        </w:rPr>
        <w:t>retreatment</w:t>
      </w:r>
      <w:r w:rsidRPr="00DB790B">
        <w:rPr>
          <w:rFonts w:ascii="Arial" w:hAnsi="Arial" w:cs="Arial"/>
          <w:color w:val="000000" w:themeColor="text1"/>
          <w:lang w:val="en-AU"/>
        </w:rPr>
        <w:t xml:space="preserve"> was defined as</w:t>
      </w:r>
      <w:r w:rsidRPr="00DB790B">
        <w:rPr>
          <w:rFonts w:ascii="Arial" w:hAnsi="Arial" w:cs="Arial"/>
          <w:color w:val="000000" w:themeColor="text1"/>
        </w:rPr>
        <w:t xml:space="preserve"> receiving at least one </w:t>
      </w:r>
      <w:r w:rsidRPr="00DB790B">
        <w:rPr>
          <w:rFonts w:ascii="Arial" w:hAnsi="Arial" w:cs="Arial"/>
          <w:color w:val="000000" w:themeColor="text1"/>
          <w:lang w:val="en-AU"/>
        </w:rPr>
        <w:t xml:space="preserve">subsequent infusion after completion of a course (i.e., ≥9 infusions), with </w:t>
      </w:r>
      <w:r w:rsidRPr="00DB790B">
        <w:rPr>
          <w:rFonts w:ascii="Arial" w:hAnsi="Arial" w:cs="Arial"/>
          <w:i/>
          <w:iCs/>
          <w:color w:val="000000" w:themeColor="text1"/>
          <w:lang w:val="en-AU"/>
        </w:rPr>
        <w:t>second course completers</w:t>
      </w:r>
      <w:r w:rsidRPr="00DB790B">
        <w:rPr>
          <w:rFonts w:ascii="Arial" w:hAnsi="Arial" w:cs="Arial"/>
          <w:color w:val="000000" w:themeColor="text1"/>
          <w:lang w:val="en-AU"/>
        </w:rPr>
        <w:t xml:space="preserve"> defined as patients who received ≥16 teprotumumab infusions. </w:t>
      </w:r>
    </w:p>
    <w:p w14:paraId="0E8C5F0C" w14:textId="77777777" w:rsidR="00F66F11" w:rsidRPr="00DB790B" w:rsidRDefault="00F66F11" w:rsidP="00F66F11">
      <w:pPr>
        <w:pStyle w:val="EndNoteBibliography"/>
        <w:tabs>
          <w:tab w:val="left" w:pos="360"/>
        </w:tabs>
        <w:snapToGrid w:val="0"/>
        <w:rPr>
          <w:rFonts w:ascii="Arial" w:hAnsi="Arial" w:cs="Arial"/>
          <w:color w:val="000000" w:themeColor="text1"/>
          <w:lang w:eastAsia="en-GB"/>
        </w:rPr>
      </w:pPr>
      <w:r w:rsidRPr="00DB790B">
        <w:rPr>
          <w:rFonts w:ascii="Arial" w:hAnsi="Arial" w:cs="Arial"/>
          <w:color w:val="000000" w:themeColor="text1"/>
        </w:rPr>
        <w:t>IQR: interquartile range; SD, standard deviation; TED, thyroid eye disease.</w:t>
      </w:r>
    </w:p>
    <w:p w14:paraId="2A5EFF17" w14:textId="77777777" w:rsidR="00624E43" w:rsidRDefault="00624E43"/>
    <w:sectPr w:rsidR="00624E43" w:rsidSect="00F66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11"/>
    <w:rsid w:val="00034ECC"/>
    <w:rsid w:val="00246C60"/>
    <w:rsid w:val="005233C0"/>
    <w:rsid w:val="00573F2A"/>
    <w:rsid w:val="00585E24"/>
    <w:rsid w:val="005F23CC"/>
    <w:rsid w:val="00624E43"/>
    <w:rsid w:val="00644BA5"/>
    <w:rsid w:val="006941F9"/>
    <w:rsid w:val="00727187"/>
    <w:rsid w:val="007505D1"/>
    <w:rsid w:val="00780663"/>
    <w:rsid w:val="008A7ACF"/>
    <w:rsid w:val="008C4C60"/>
    <w:rsid w:val="0091271B"/>
    <w:rsid w:val="009428D3"/>
    <w:rsid w:val="00964AD3"/>
    <w:rsid w:val="00A53FCF"/>
    <w:rsid w:val="00AF63D0"/>
    <w:rsid w:val="00BB09DD"/>
    <w:rsid w:val="00C4794B"/>
    <w:rsid w:val="00D778C9"/>
    <w:rsid w:val="00DA4D0B"/>
    <w:rsid w:val="00DC4633"/>
    <w:rsid w:val="00E741F4"/>
    <w:rsid w:val="00EA1063"/>
    <w:rsid w:val="00EF757C"/>
    <w:rsid w:val="00F01E9B"/>
    <w:rsid w:val="00F66F11"/>
    <w:rsid w:val="00FF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07E08"/>
  <w15:chartTrackingRefBased/>
  <w15:docId w15:val="{14F74BF0-58CF-4E05-8172-7DCC8EA3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6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F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F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F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F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F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F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F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F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F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F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F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F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F11"/>
    <w:rPr>
      <w:b/>
      <w:bCs/>
      <w:smallCaps/>
      <w:color w:val="0F4761" w:themeColor="accent1" w:themeShade="BF"/>
      <w:spacing w:val="5"/>
    </w:rPr>
  </w:style>
  <w:style w:type="paragraph" w:customStyle="1" w:styleId="EndNoteBibliography">
    <w:name w:val="EndNote Bibliography"/>
    <w:basedOn w:val="Normal"/>
    <w:link w:val="EndNoteBibliographyChar"/>
    <w:rsid w:val="00F66F11"/>
    <w:pPr>
      <w:spacing w:line="480" w:lineRule="auto"/>
    </w:pPr>
    <w:rPr>
      <w:rFonts w:ascii="Times New Roman" w:hAnsi="Times New Roman"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66F11"/>
    <w:rPr>
      <w:rFonts w:ascii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A326B24075548822A2CA6BA71B0BF" ma:contentTypeVersion="10" ma:contentTypeDescription="Create a new document." ma:contentTypeScope="" ma:versionID="65bc559557012735eadce892a50a8b66">
  <xsd:schema xmlns:xsd="http://www.w3.org/2001/XMLSchema" xmlns:xs="http://www.w3.org/2001/XMLSchema" xmlns:p="http://schemas.microsoft.com/office/2006/metadata/properties" xmlns:ns2="2c57828e-6078-424c-a8e6-981c8e29ed57" xmlns:ns3="b8e64172-2f16-4d4e-8558-4e591c1202f6" targetNamespace="http://schemas.microsoft.com/office/2006/metadata/properties" ma:root="true" ma:fieldsID="b893fbccda290fc28a2ba6cfb694ae78" ns2:_="" ns3:_="">
    <xsd:import namespace="2c57828e-6078-424c-a8e6-981c8e29ed57"/>
    <xsd:import namespace="b8e64172-2f16-4d4e-8558-4e591c120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7828e-6078-424c-a8e6-981c8e29ed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f43072-ac08-40e1-8efb-78950c7406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64172-2f16-4d4e-8558-4e591c1202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a2db86-8b3f-4464-b7ef-3d7b374cf980}" ma:internalName="TaxCatchAll" ma:showField="CatchAllData" ma:web="b8e64172-2f16-4d4e-8558-4e591c1202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e64172-2f16-4d4e-8558-4e591c1202f6" xsi:nil="true"/>
    <lcf76f155ced4ddcb4097134ff3c332f xmlns="2c57828e-6078-424c-a8e6-981c8e29ed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91E726-B21C-4F93-B196-6A7427370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7828e-6078-424c-a8e6-981c8e29ed57"/>
    <ds:schemaRef ds:uri="b8e64172-2f16-4d4e-8558-4e591c120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AD04E6-A09E-4510-B43B-9920625A9B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A3424A-06B7-49F8-9817-008D735BDBA8}">
  <ds:schemaRefs>
    <ds:schemaRef ds:uri="http://schemas.microsoft.com/office/2006/metadata/properties"/>
    <ds:schemaRef ds:uri="http://schemas.microsoft.com/office/infopath/2007/PartnerControls"/>
    <ds:schemaRef ds:uri="b8e64172-2f16-4d4e-8558-4e591c1202f6"/>
    <ds:schemaRef ds:uri="2c57828e-6078-424c-a8e6-981c8e29ed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298</Words>
  <Characters>1815</Characters>
  <Application>Microsoft Office Word</Application>
  <DocSecurity>0</DocSecurity>
  <Lines>34</Lines>
  <Paragraphs>12</Paragraphs>
  <ScaleCrop>false</ScaleCrop>
  <Company>Analysis Group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Analysis Group</dc:creator>
  <cp:keywords/>
  <dc:description/>
  <cp:lastModifiedBy>Analysis Group</cp:lastModifiedBy>
  <cp:revision>6</cp:revision>
  <dcterms:created xsi:type="dcterms:W3CDTF">2026-06-01T18:54:00Z</dcterms:created>
  <dcterms:modified xsi:type="dcterms:W3CDTF">2026-06-01T18:56:00Z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0x010100864A326B24075548822A2CA6BA71B0BF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