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E6845" w14:textId="383B0C12" w:rsidR="00D62891" w:rsidRPr="001A476E" w:rsidRDefault="0066775F" w:rsidP="0046295A">
      <w:pPr>
        <w:jc w:val="center"/>
        <w:rPr>
          <w:b/>
          <w:bCs/>
          <w:color w:val="215E99" w:themeColor="text2" w:themeTint="BF"/>
          <w:sz w:val="28"/>
          <w:szCs w:val="28"/>
        </w:rPr>
      </w:pPr>
      <w:r w:rsidRPr="001A476E">
        <w:rPr>
          <w:b/>
          <w:bCs/>
          <w:color w:val="215E99" w:themeColor="text2" w:themeTint="BF"/>
          <w:sz w:val="28"/>
          <w:szCs w:val="28"/>
        </w:rPr>
        <w:t>Appendix 1: Patient Questionnaire</w:t>
      </w:r>
    </w:p>
    <w:p w14:paraId="341C7913" w14:textId="77777777" w:rsidR="00D62891" w:rsidRDefault="00D62891" w:rsidP="00D62891">
      <w:pPr>
        <w:jc w:val="center"/>
      </w:pPr>
    </w:p>
    <w:p w14:paraId="3AA7F784" w14:textId="77777777" w:rsidR="003A6599" w:rsidRDefault="00567533" w:rsidP="003A6599">
      <w:pPr>
        <w:keepNext/>
      </w:pPr>
      <w:r>
        <w:rPr>
          <w:noProof/>
        </w:rPr>
        <w:drawing>
          <wp:inline distT="0" distB="0" distL="0" distR="0" wp14:anchorId="3D395A0C" wp14:editId="4EC8CF9E">
            <wp:extent cx="5760720" cy="7860030"/>
            <wp:effectExtent l="0" t="0" r="0" b="7620"/>
            <wp:docPr id="17308919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9198" name="Bilde 17308919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860030"/>
                    </a:xfrm>
                    <a:prstGeom prst="rect">
                      <a:avLst/>
                    </a:prstGeom>
                  </pic:spPr>
                </pic:pic>
              </a:graphicData>
            </a:graphic>
          </wp:inline>
        </w:drawing>
      </w:r>
    </w:p>
    <w:p w14:paraId="4E371856" w14:textId="70C303A6" w:rsidR="001A476E" w:rsidRPr="00625836" w:rsidRDefault="003A6599" w:rsidP="00625836">
      <w:pPr>
        <w:pStyle w:val="Bildetekst"/>
        <w:rPr>
          <w:sz w:val="24"/>
          <w:szCs w:val="24"/>
        </w:rPr>
      </w:pPr>
      <w:r w:rsidRPr="009D58C2">
        <w:rPr>
          <w:b/>
          <w:bCs/>
          <w:i w:val="0"/>
          <w:iCs w:val="0"/>
          <w:sz w:val="24"/>
          <w:szCs w:val="24"/>
        </w:rPr>
        <w:t xml:space="preserve">Figure </w:t>
      </w:r>
      <w:r w:rsidR="007E15B0" w:rsidRPr="009D58C2">
        <w:rPr>
          <w:b/>
          <w:bCs/>
          <w:i w:val="0"/>
          <w:iCs w:val="0"/>
          <w:sz w:val="24"/>
          <w:szCs w:val="24"/>
        </w:rPr>
        <w:t>S</w:t>
      </w:r>
      <w:r w:rsidRPr="009D58C2">
        <w:rPr>
          <w:b/>
          <w:bCs/>
          <w:i w:val="0"/>
          <w:iCs w:val="0"/>
          <w:sz w:val="24"/>
          <w:szCs w:val="24"/>
        </w:rPr>
        <w:fldChar w:fldCharType="begin"/>
      </w:r>
      <w:r w:rsidRPr="009D58C2">
        <w:rPr>
          <w:b/>
          <w:bCs/>
          <w:i w:val="0"/>
          <w:iCs w:val="0"/>
          <w:sz w:val="24"/>
          <w:szCs w:val="24"/>
        </w:rPr>
        <w:instrText xml:space="preserve"> SEQ Figure \* ARABIC </w:instrText>
      </w:r>
      <w:r w:rsidRPr="009D58C2">
        <w:rPr>
          <w:b/>
          <w:bCs/>
          <w:i w:val="0"/>
          <w:iCs w:val="0"/>
          <w:sz w:val="24"/>
          <w:szCs w:val="24"/>
        </w:rPr>
        <w:fldChar w:fldCharType="separate"/>
      </w:r>
      <w:r w:rsidR="00153165">
        <w:rPr>
          <w:b/>
          <w:bCs/>
          <w:i w:val="0"/>
          <w:iCs w:val="0"/>
          <w:noProof/>
          <w:sz w:val="24"/>
          <w:szCs w:val="24"/>
        </w:rPr>
        <w:t>1</w:t>
      </w:r>
      <w:r w:rsidRPr="009D58C2">
        <w:rPr>
          <w:b/>
          <w:bCs/>
          <w:i w:val="0"/>
          <w:iCs w:val="0"/>
          <w:sz w:val="24"/>
          <w:szCs w:val="24"/>
        </w:rPr>
        <w:fldChar w:fldCharType="end"/>
      </w:r>
      <w:r w:rsidRPr="009D58C2">
        <w:rPr>
          <w:b/>
          <w:bCs/>
          <w:i w:val="0"/>
          <w:iCs w:val="0"/>
          <w:sz w:val="24"/>
          <w:szCs w:val="24"/>
        </w:rPr>
        <w:t>.</w:t>
      </w:r>
      <w:r w:rsidRPr="007E15B0">
        <w:rPr>
          <w:sz w:val="24"/>
          <w:szCs w:val="24"/>
        </w:rPr>
        <w:t xml:space="preserve"> </w:t>
      </w:r>
      <w:r w:rsidRPr="007E15B0">
        <w:rPr>
          <w:i w:val="0"/>
          <w:iCs w:val="0"/>
          <w:sz w:val="24"/>
          <w:szCs w:val="24"/>
        </w:rPr>
        <w:t>Patient questionnaire distributed to cardiovascular medication users at a hospital pharmacy.</w:t>
      </w:r>
    </w:p>
    <w:p w14:paraId="1E0365DA" w14:textId="4BD9FAC2" w:rsidR="00A23EB9" w:rsidRDefault="0066775F" w:rsidP="00A23EB9">
      <w:pPr>
        <w:spacing w:after="60" w:line="360" w:lineRule="auto"/>
        <w:jc w:val="center"/>
        <w:rPr>
          <w:b/>
          <w:bCs/>
          <w:color w:val="215E99" w:themeColor="text2" w:themeTint="BF"/>
          <w:sz w:val="28"/>
          <w:szCs w:val="28"/>
        </w:rPr>
      </w:pPr>
      <w:r w:rsidRPr="00884D15">
        <w:rPr>
          <w:b/>
          <w:bCs/>
          <w:color w:val="215E99" w:themeColor="text2" w:themeTint="BF"/>
          <w:sz w:val="28"/>
          <w:szCs w:val="28"/>
        </w:rPr>
        <w:lastRenderedPageBreak/>
        <w:t>Appendix 2: Interview Guide – Physicians and Nurses</w:t>
      </w:r>
    </w:p>
    <w:p w14:paraId="2A3B74FB" w14:textId="77777777" w:rsidR="009D58C2" w:rsidRDefault="0065039A" w:rsidP="009D58C2">
      <w:pPr>
        <w:keepNext/>
        <w:spacing w:after="80" w:line="360" w:lineRule="auto"/>
      </w:pPr>
      <w:r>
        <w:rPr>
          <w:noProof/>
        </w:rPr>
        <w:drawing>
          <wp:inline distT="0" distB="0" distL="0" distR="0" wp14:anchorId="519282F3" wp14:editId="19694AE1">
            <wp:extent cx="5760720" cy="6227445"/>
            <wp:effectExtent l="0" t="0" r="0" b="1905"/>
            <wp:docPr id="193749402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94020" name="Bilde 1937494020"/>
                    <pic:cNvPicPr/>
                  </pic:nvPicPr>
                  <pic:blipFill rotWithShape="1">
                    <a:blip r:embed="rId6" cstate="print">
                      <a:extLst>
                        <a:ext uri="{28A0092B-C50C-407E-A947-70E740481C1C}">
                          <a14:useLocalDpi xmlns:a14="http://schemas.microsoft.com/office/drawing/2010/main" val="0"/>
                        </a:ext>
                      </a:extLst>
                    </a:blip>
                    <a:srcRect t="15942"/>
                    <a:stretch>
                      <a:fillRect/>
                    </a:stretch>
                  </pic:blipFill>
                  <pic:spPr bwMode="auto">
                    <a:xfrm>
                      <a:off x="0" y="0"/>
                      <a:ext cx="5760720" cy="6227445"/>
                    </a:xfrm>
                    <a:prstGeom prst="rect">
                      <a:avLst/>
                    </a:prstGeom>
                    <a:ln>
                      <a:noFill/>
                    </a:ln>
                    <a:extLst>
                      <a:ext uri="{53640926-AAD7-44D8-BBD7-CCE9431645EC}">
                        <a14:shadowObscured xmlns:a14="http://schemas.microsoft.com/office/drawing/2010/main"/>
                      </a:ext>
                    </a:extLst>
                  </pic:spPr>
                </pic:pic>
              </a:graphicData>
            </a:graphic>
          </wp:inline>
        </w:drawing>
      </w:r>
    </w:p>
    <w:p w14:paraId="512D2122" w14:textId="4E70362E" w:rsidR="007E15B0" w:rsidRPr="009D58C2" w:rsidRDefault="009D58C2" w:rsidP="009D58C2">
      <w:pPr>
        <w:pStyle w:val="Bildetekst"/>
        <w:rPr>
          <w:i w:val="0"/>
          <w:iCs w:val="0"/>
          <w:color w:val="auto"/>
          <w:sz w:val="24"/>
          <w:szCs w:val="24"/>
        </w:rPr>
      </w:pPr>
      <w:r w:rsidRPr="009D58C2">
        <w:rPr>
          <w:b/>
          <w:bCs/>
          <w:i w:val="0"/>
          <w:iCs w:val="0"/>
          <w:sz w:val="24"/>
          <w:szCs w:val="24"/>
        </w:rPr>
        <w:t>Figure S</w:t>
      </w:r>
      <w:r w:rsidRPr="009D58C2">
        <w:rPr>
          <w:b/>
          <w:bCs/>
          <w:i w:val="0"/>
          <w:iCs w:val="0"/>
          <w:sz w:val="24"/>
          <w:szCs w:val="24"/>
        </w:rPr>
        <w:fldChar w:fldCharType="begin"/>
      </w:r>
      <w:r w:rsidRPr="009D58C2">
        <w:rPr>
          <w:b/>
          <w:bCs/>
          <w:i w:val="0"/>
          <w:iCs w:val="0"/>
          <w:sz w:val="24"/>
          <w:szCs w:val="24"/>
        </w:rPr>
        <w:instrText xml:space="preserve"> SEQ Figure \* ARABIC </w:instrText>
      </w:r>
      <w:r w:rsidRPr="009D58C2">
        <w:rPr>
          <w:b/>
          <w:bCs/>
          <w:i w:val="0"/>
          <w:iCs w:val="0"/>
          <w:sz w:val="24"/>
          <w:szCs w:val="24"/>
        </w:rPr>
        <w:fldChar w:fldCharType="separate"/>
      </w:r>
      <w:r w:rsidR="00153165">
        <w:rPr>
          <w:b/>
          <w:bCs/>
          <w:i w:val="0"/>
          <w:iCs w:val="0"/>
          <w:noProof/>
          <w:sz w:val="24"/>
          <w:szCs w:val="24"/>
        </w:rPr>
        <w:t>2</w:t>
      </w:r>
      <w:r w:rsidRPr="009D58C2">
        <w:rPr>
          <w:b/>
          <w:bCs/>
          <w:i w:val="0"/>
          <w:iCs w:val="0"/>
          <w:sz w:val="24"/>
          <w:szCs w:val="24"/>
        </w:rPr>
        <w:fldChar w:fldCharType="end"/>
      </w:r>
      <w:r w:rsidRPr="009D58C2">
        <w:rPr>
          <w:b/>
          <w:bCs/>
          <w:i w:val="0"/>
          <w:iCs w:val="0"/>
          <w:sz w:val="24"/>
          <w:szCs w:val="24"/>
        </w:rPr>
        <w:t>.</w:t>
      </w:r>
      <w:r w:rsidRPr="009D58C2">
        <w:rPr>
          <w:i w:val="0"/>
          <w:iCs w:val="0"/>
          <w:sz w:val="24"/>
          <w:szCs w:val="24"/>
        </w:rPr>
        <w:t xml:space="preserve"> An interview guide used in semi-structured individual interviews with physicians and nurses.</w:t>
      </w:r>
    </w:p>
    <w:p w14:paraId="03E14020" w14:textId="77777777" w:rsidR="009D58C2" w:rsidRDefault="009D58C2" w:rsidP="00B63842">
      <w:pPr>
        <w:spacing w:after="60" w:line="360" w:lineRule="auto"/>
        <w:jc w:val="center"/>
        <w:rPr>
          <w:b/>
          <w:bCs/>
          <w:color w:val="215E99" w:themeColor="text2" w:themeTint="BF"/>
          <w:sz w:val="28"/>
          <w:szCs w:val="28"/>
        </w:rPr>
      </w:pPr>
    </w:p>
    <w:p w14:paraId="43800FE5" w14:textId="77777777" w:rsidR="00023FD2" w:rsidRDefault="00023FD2" w:rsidP="00B63842">
      <w:pPr>
        <w:spacing w:after="60" w:line="360" w:lineRule="auto"/>
        <w:jc w:val="center"/>
        <w:rPr>
          <w:b/>
          <w:bCs/>
          <w:color w:val="215E99" w:themeColor="text2" w:themeTint="BF"/>
          <w:sz w:val="28"/>
          <w:szCs w:val="28"/>
        </w:rPr>
      </w:pPr>
    </w:p>
    <w:p w14:paraId="373CEA10" w14:textId="77777777" w:rsidR="00023FD2" w:rsidRDefault="00023FD2" w:rsidP="00B63842">
      <w:pPr>
        <w:spacing w:after="60" w:line="360" w:lineRule="auto"/>
        <w:jc w:val="center"/>
        <w:rPr>
          <w:b/>
          <w:bCs/>
          <w:color w:val="215E99" w:themeColor="text2" w:themeTint="BF"/>
          <w:sz w:val="28"/>
          <w:szCs w:val="28"/>
        </w:rPr>
      </w:pPr>
    </w:p>
    <w:p w14:paraId="1E15D292" w14:textId="77777777" w:rsidR="00023FD2" w:rsidRDefault="00023FD2" w:rsidP="00B63842">
      <w:pPr>
        <w:spacing w:after="60" w:line="360" w:lineRule="auto"/>
        <w:jc w:val="center"/>
        <w:rPr>
          <w:b/>
          <w:bCs/>
          <w:color w:val="215E99" w:themeColor="text2" w:themeTint="BF"/>
          <w:sz w:val="28"/>
          <w:szCs w:val="28"/>
        </w:rPr>
      </w:pPr>
    </w:p>
    <w:p w14:paraId="035B2E0A" w14:textId="77777777" w:rsidR="00023FD2" w:rsidRDefault="00023FD2" w:rsidP="00B63842">
      <w:pPr>
        <w:spacing w:after="60" w:line="360" w:lineRule="auto"/>
        <w:jc w:val="center"/>
        <w:rPr>
          <w:b/>
          <w:bCs/>
          <w:color w:val="215E99" w:themeColor="text2" w:themeTint="BF"/>
          <w:sz w:val="28"/>
          <w:szCs w:val="28"/>
        </w:rPr>
      </w:pPr>
    </w:p>
    <w:p w14:paraId="383F97E8" w14:textId="2D93383D" w:rsidR="0066775F" w:rsidRPr="00B63842" w:rsidRDefault="0066775F" w:rsidP="00B63842">
      <w:pPr>
        <w:spacing w:after="60" w:line="360" w:lineRule="auto"/>
        <w:jc w:val="center"/>
        <w:rPr>
          <w:color w:val="215E99" w:themeColor="text2" w:themeTint="BF"/>
        </w:rPr>
      </w:pPr>
      <w:r w:rsidRPr="00884D15">
        <w:rPr>
          <w:b/>
          <w:bCs/>
          <w:color w:val="215E99" w:themeColor="text2" w:themeTint="BF"/>
          <w:sz w:val="28"/>
          <w:szCs w:val="28"/>
        </w:rPr>
        <w:lastRenderedPageBreak/>
        <w:t>Appendix 3: Interview Guide – Pharmacists</w:t>
      </w:r>
    </w:p>
    <w:p w14:paraId="0418ABB1" w14:textId="77777777" w:rsidR="009D58C2" w:rsidRDefault="00A25DC7" w:rsidP="009D58C2">
      <w:pPr>
        <w:keepNext/>
      </w:pPr>
      <w:r>
        <w:rPr>
          <w:noProof/>
          <w:lang w:val="en-GB"/>
        </w:rPr>
        <w:drawing>
          <wp:inline distT="0" distB="0" distL="0" distR="0" wp14:anchorId="086F6623" wp14:editId="3C60FCEF">
            <wp:extent cx="5760720" cy="6484620"/>
            <wp:effectExtent l="0" t="0" r="0" b="0"/>
            <wp:docPr id="108266235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62355" name="Bilde 1082662355"/>
                    <pic:cNvPicPr/>
                  </pic:nvPicPr>
                  <pic:blipFill rotWithShape="1">
                    <a:blip r:embed="rId7" cstate="print">
                      <a:extLst>
                        <a:ext uri="{28A0092B-C50C-407E-A947-70E740481C1C}">
                          <a14:useLocalDpi xmlns:a14="http://schemas.microsoft.com/office/drawing/2010/main" val="0"/>
                        </a:ext>
                      </a:extLst>
                    </a:blip>
                    <a:srcRect t="15126"/>
                    <a:stretch>
                      <a:fillRect/>
                    </a:stretch>
                  </pic:blipFill>
                  <pic:spPr bwMode="auto">
                    <a:xfrm>
                      <a:off x="0" y="0"/>
                      <a:ext cx="5760720" cy="6484620"/>
                    </a:xfrm>
                    <a:prstGeom prst="rect">
                      <a:avLst/>
                    </a:prstGeom>
                    <a:ln>
                      <a:noFill/>
                    </a:ln>
                    <a:extLst>
                      <a:ext uri="{53640926-AAD7-44D8-BBD7-CCE9431645EC}">
                        <a14:shadowObscured xmlns:a14="http://schemas.microsoft.com/office/drawing/2010/main"/>
                      </a:ext>
                    </a:extLst>
                  </pic:spPr>
                </pic:pic>
              </a:graphicData>
            </a:graphic>
          </wp:inline>
        </w:drawing>
      </w:r>
    </w:p>
    <w:p w14:paraId="4F80ACBA" w14:textId="370F3F55" w:rsidR="009D58C2" w:rsidRPr="009D58C2" w:rsidRDefault="009D58C2" w:rsidP="009D58C2">
      <w:pPr>
        <w:pStyle w:val="Bildetekst"/>
        <w:rPr>
          <w:i w:val="0"/>
          <w:iCs w:val="0"/>
          <w:color w:val="auto"/>
          <w:sz w:val="24"/>
          <w:szCs w:val="24"/>
        </w:rPr>
      </w:pPr>
      <w:r w:rsidRPr="009D58C2">
        <w:rPr>
          <w:b/>
          <w:bCs/>
          <w:i w:val="0"/>
          <w:iCs w:val="0"/>
          <w:sz w:val="24"/>
          <w:szCs w:val="24"/>
        </w:rPr>
        <w:t>Figure S</w:t>
      </w:r>
      <w:r w:rsidRPr="009D58C2">
        <w:rPr>
          <w:b/>
          <w:bCs/>
          <w:i w:val="0"/>
          <w:iCs w:val="0"/>
          <w:sz w:val="24"/>
          <w:szCs w:val="24"/>
        </w:rPr>
        <w:fldChar w:fldCharType="begin"/>
      </w:r>
      <w:r w:rsidRPr="009D58C2">
        <w:rPr>
          <w:b/>
          <w:bCs/>
          <w:i w:val="0"/>
          <w:iCs w:val="0"/>
          <w:sz w:val="24"/>
          <w:szCs w:val="24"/>
        </w:rPr>
        <w:instrText xml:space="preserve"> SEQ Figure \* ARABIC </w:instrText>
      </w:r>
      <w:r w:rsidRPr="009D58C2">
        <w:rPr>
          <w:b/>
          <w:bCs/>
          <w:i w:val="0"/>
          <w:iCs w:val="0"/>
          <w:sz w:val="24"/>
          <w:szCs w:val="24"/>
        </w:rPr>
        <w:fldChar w:fldCharType="separate"/>
      </w:r>
      <w:r w:rsidR="00153165">
        <w:rPr>
          <w:b/>
          <w:bCs/>
          <w:i w:val="0"/>
          <w:iCs w:val="0"/>
          <w:noProof/>
          <w:sz w:val="24"/>
          <w:szCs w:val="24"/>
        </w:rPr>
        <w:t>3</w:t>
      </w:r>
      <w:r w:rsidRPr="009D58C2">
        <w:rPr>
          <w:b/>
          <w:bCs/>
          <w:i w:val="0"/>
          <w:iCs w:val="0"/>
          <w:sz w:val="24"/>
          <w:szCs w:val="24"/>
        </w:rPr>
        <w:fldChar w:fldCharType="end"/>
      </w:r>
      <w:r w:rsidRPr="009D58C2">
        <w:rPr>
          <w:i w:val="0"/>
          <w:iCs w:val="0"/>
          <w:sz w:val="24"/>
          <w:szCs w:val="24"/>
        </w:rPr>
        <w:t>. Interview guide for semi-structured individual interviews with pharmacists.</w:t>
      </w:r>
    </w:p>
    <w:p w14:paraId="44D95DE0" w14:textId="77777777" w:rsidR="009D58C2" w:rsidRDefault="009D58C2" w:rsidP="0066775F">
      <w:pPr>
        <w:spacing w:after="60" w:line="360" w:lineRule="auto"/>
        <w:jc w:val="center"/>
        <w:rPr>
          <w:b/>
          <w:bCs/>
          <w:color w:val="215E99" w:themeColor="text2" w:themeTint="BF"/>
          <w:sz w:val="28"/>
          <w:szCs w:val="28"/>
        </w:rPr>
      </w:pPr>
    </w:p>
    <w:p w14:paraId="52864FC1" w14:textId="77777777" w:rsidR="00023FD2" w:rsidRDefault="00023FD2" w:rsidP="0066775F">
      <w:pPr>
        <w:spacing w:after="60" w:line="360" w:lineRule="auto"/>
        <w:jc w:val="center"/>
        <w:rPr>
          <w:b/>
          <w:bCs/>
          <w:color w:val="215E99" w:themeColor="text2" w:themeTint="BF"/>
          <w:sz w:val="28"/>
          <w:szCs w:val="28"/>
        </w:rPr>
      </w:pPr>
    </w:p>
    <w:p w14:paraId="7F3ABB93" w14:textId="77777777" w:rsidR="00023FD2" w:rsidRDefault="00023FD2" w:rsidP="0066775F">
      <w:pPr>
        <w:spacing w:after="60" w:line="360" w:lineRule="auto"/>
        <w:jc w:val="center"/>
        <w:rPr>
          <w:b/>
          <w:bCs/>
          <w:color w:val="215E99" w:themeColor="text2" w:themeTint="BF"/>
          <w:sz w:val="28"/>
          <w:szCs w:val="28"/>
        </w:rPr>
      </w:pPr>
    </w:p>
    <w:p w14:paraId="76163B1D" w14:textId="77777777" w:rsidR="00023FD2" w:rsidRDefault="00023FD2" w:rsidP="0066775F">
      <w:pPr>
        <w:spacing w:after="60" w:line="360" w:lineRule="auto"/>
        <w:jc w:val="center"/>
        <w:rPr>
          <w:b/>
          <w:bCs/>
          <w:color w:val="215E99" w:themeColor="text2" w:themeTint="BF"/>
          <w:sz w:val="28"/>
          <w:szCs w:val="28"/>
        </w:rPr>
      </w:pPr>
    </w:p>
    <w:p w14:paraId="03A5F042" w14:textId="77777777" w:rsidR="00E711B1" w:rsidRDefault="00E711B1" w:rsidP="0066775F">
      <w:pPr>
        <w:spacing w:after="60" w:line="360" w:lineRule="auto"/>
        <w:jc w:val="center"/>
        <w:rPr>
          <w:b/>
          <w:bCs/>
          <w:color w:val="215E99" w:themeColor="text2" w:themeTint="BF"/>
          <w:sz w:val="28"/>
          <w:szCs w:val="28"/>
        </w:rPr>
      </w:pPr>
    </w:p>
    <w:p w14:paraId="06BA8CFA" w14:textId="166F3F3A" w:rsidR="0066775F" w:rsidRPr="00884D15" w:rsidRDefault="0066775F" w:rsidP="0066775F">
      <w:pPr>
        <w:spacing w:after="60" w:line="360" w:lineRule="auto"/>
        <w:jc w:val="center"/>
        <w:rPr>
          <w:color w:val="215E99" w:themeColor="text2" w:themeTint="BF"/>
        </w:rPr>
      </w:pPr>
      <w:r w:rsidRPr="00884D15">
        <w:rPr>
          <w:b/>
          <w:bCs/>
          <w:color w:val="215E99" w:themeColor="text2" w:themeTint="BF"/>
          <w:sz w:val="28"/>
          <w:szCs w:val="28"/>
        </w:rPr>
        <w:lastRenderedPageBreak/>
        <w:t>Appendix 4: Interview Guide – Patients and Next of Kin</w:t>
      </w:r>
    </w:p>
    <w:p w14:paraId="0155FBB2" w14:textId="77777777" w:rsidR="009D58C2" w:rsidRDefault="003F3211" w:rsidP="009D58C2">
      <w:pPr>
        <w:keepNext/>
        <w:spacing w:after="80" w:line="360" w:lineRule="auto"/>
      </w:pPr>
      <w:r>
        <w:rPr>
          <w:b/>
          <w:bCs/>
          <w:noProof/>
          <w:lang w:val="en-GB"/>
        </w:rPr>
        <w:drawing>
          <wp:inline distT="0" distB="0" distL="0" distR="0" wp14:anchorId="71BFA209" wp14:editId="21338371">
            <wp:extent cx="5760720" cy="7449820"/>
            <wp:effectExtent l="0" t="0" r="0" b="0"/>
            <wp:docPr id="77660207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2072" name="Bilde 7766020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449820"/>
                    </a:xfrm>
                    <a:prstGeom prst="rect">
                      <a:avLst/>
                    </a:prstGeom>
                  </pic:spPr>
                </pic:pic>
              </a:graphicData>
            </a:graphic>
          </wp:inline>
        </w:drawing>
      </w:r>
    </w:p>
    <w:p w14:paraId="5590705D" w14:textId="11E9830E" w:rsidR="003F3211" w:rsidRPr="009D58C2" w:rsidRDefault="009D58C2" w:rsidP="009D58C2">
      <w:pPr>
        <w:pStyle w:val="Bildetekst"/>
        <w:rPr>
          <w:i w:val="0"/>
          <w:iCs w:val="0"/>
          <w:color w:val="auto"/>
          <w:sz w:val="24"/>
          <w:szCs w:val="24"/>
        </w:rPr>
      </w:pPr>
      <w:r w:rsidRPr="009D58C2">
        <w:rPr>
          <w:b/>
          <w:bCs/>
          <w:i w:val="0"/>
          <w:iCs w:val="0"/>
          <w:sz w:val="24"/>
          <w:szCs w:val="24"/>
        </w:rPr>
        <w:t>Figure S</w:t>
      </w:r>
      <w:r w:rsidRPr="009D58C2">
        <w:rPr>
          <w:b/>
          <w:bCs/>
          <w:i w:val="0"/>
          <w:iCs w:val="0"/>
          <w:sz w:val="24"/>
          <w:szCs w:val="24"/>
        </w:rPr>
        <w:fldChar w:fldCharType="begin"/>
      </w:r>
      <w:r w:rsidRPr="009D58C2">
        <w:rPr>
          <w:b/>
          <w:bCs/>
          <w:i w:val="0"/>
          <w:iCs w:val="0"/>
          <w:sz w:val="24"/>
          <w:szCs w:val="24"/>
        </w:rPr>
        <w:instrText xml:space="preserve"> SEQ Figure \* ARABIC </w:instrText>
      </w:r>
      <w:r w:rsidRPr="009D58C2">
        <w:rPr>
          <w:b/>
          <w:bCs/>
          <w:i w:val="0"/>
          <w:iCs w:val="0"/>
          <w:sz w:val="24"/>
          <w:szCs w:val="24"/>
        </w:rPr>
        <w:fldChar w:fldCharType="separate"/>
      </w:r>
      <w:r w:rsidR="00153165">
        <w:rPr>
          <w:b/>
          <w:bCs/>
          <w:i w:val="0"/>
          <w:iCs w:val="0"/>
          <w:noProof/>
          <w:sz w:val="24"/>
          <w:szCs w:val="24"/>
        </w:rPr>
        <w:t>4</w:t>
      </w:r>
      <w:r w:rsidRPr="009D58C2">
        <w:rPr>
          <w:b/>
          <w:bCs/>
          <w:i w:val="0"/>
          <w:iCs w:val="0"/>
          <w:sz w:val="24"/>
          <w:szCs w:val="24"/>
        </w:rPr>
        <w:fldChar w:fldCharType="end"/>
      </w:r>
      <w:r w:rsidRPr="009D58C2">
        <w:rPr>
          <w:b/>
          <w:bCs/>
          <w:i w:val="0"/>
          <w:iCs w:val="0"/>
          <w:sz w:val="24"/>
          <w:szCs w:val="24"/>
        </w:rPr>
        <w:t>.</w:t>
      </w:r>
      <w:r w:rsidRPr="009D58C2">
        <w:rPr>
          <w:i w:val="0"/>
          <w:iCs w:val="0"/>
          <w:sz w:val="24"/>
          <w:szCs w:val="24"/>
        </w:rPr>
        <w:t xml:space="preserve"> Interview guide for interviews with patients and next of kin.</w:t>
      </w:r>
    </w:p>
    <w:p w14:paraId="2F105218" w14:textId="77777777" w:rsidR="003A6599" w:rsidRDefault="003A6599" w:rsidP="0066775F">
      <w:pPr>
        <w:spacing w:after="60" w:line="360" w:lineRule="auto"/>
        <w:jc w:val="center"/>
        <w:rPr>
          <w:b/>
          <w:bCs/>
          <w:color w:val="215E99" w:themeColor="text2" w:themeTint="BF"/>
          <w:sz w:val="28"/>
          <w:szCs w:val="28"/>
        </w:rPr>
      </w:pPr>
    </w:p>
    <w:p w14:paraId="62FFFCEA" w14:textId="77777777" w:rsidR="00CB2429" w:rsidRDefault="00CB2429" w:rsidP="0066775F">
      <w:pPr>
        <w:spacing w:after="60" w:line="360" w:lineRule="auto"/>
        <w:jc w:val="center"/>
        <w:rPr>
          <w:b/>
          <w:bCs/>
          <w:color w:val="215E99" w:themeColor="text2" w:themeTint="BF"/>
          <w:sz w:val="28"/>
          <w:szCs w:val="28"/>
        </w:rPr>
      </w:pPr>
    </w:p>
    <w:p w14:paraId="66B600FE" w14:textId="4DF89C49" w:rsidR="0066775F" w:rsidRPr="00884D15" w:rsidRDefault="0066775F" w:rsidP="0066775F">
      <w:pPr>
        <w:spacing w:after="60" w:line="360" w:lineRule="auto"/>
        <w:jc w:val="center"/>
        <w:rPr>
          <w:color w:val="215E99" w:themeColor="text2" w:themeTint="BF"/>
        </w:rPr>
      </w:pPr>
      <w:r w:rsidRPr="00884D15">
        <w:rPr>
          <w:b/>
          <w:bCs/>
          <w:color w:val="215E99" w:themeColor="text2" w:themeTint="BF"/>
          <w:sz w:val="28"/>
          <w:szCs w:val="28"/>
        </w:rPr>
        <w:lastRenderedPageBreak/>
        <w:t>Appendix 5: Workshop Materials</w:t>
      </w:r>
    </w:p>
    <w:p w14:paraId="6F50FBDE" w14:textId="77777777" w:rsidR="0066775F" w:rsidRPr="00884D15" w:rsidRDefault="0066775F" w:rsidP="0066775F">
      <w:pPr>
        <w:spacing w:after="80" w:line="360" w:lineRule="auto"/>
        <w:rPr>
          <w:sz w:val="22"/>
          <w:szCs w:val="22"/>
        </w:rPr>
      </w:pPr>
      <w:r w:rsidRPr="003116F5">
        <w:t>Two workshop sessions were conducted (March 23–24, 2023), comprising six and eight participants, respectively. Each workshop lasted approximately 180 minutes and was audio-recorded and transcribed verbatim.</w:t>
      </w:r>
      <w:r w:rsidRPr="00884D15">
        <w:rPr>
          <w:i/>
          <w:iCs/>
          <w:sz w:val="22"/>
          <w:szCs w:val="22"/>
        </w:rPr>
        <w:br/>
      </w:r>
    </w:p>
    <w:p w14:paraId="10DB6D8F" w14:textId="77777777" w:rsidR="0066775F" w:rsidRPr="00884D15" w:rsidRDefault="0066775F" w:rsidP="0066775F">
      <w:pPr>
        <w:spacing w:after="120" w:line="360" w:lineRule="auto"/>
        <w:rPr>
          <w:b/>
          <w:bCs/>
          <w:color w:val="2E5FA3"/>
        </w:rPr>
      </w:pPr>
      <w:r w:rsidRPr="00884D15">
        <w:rPr>
          <w:b/>
          <w:bCs/>
          <w:color w:val="2E5FA3"/>
        </w:rPr>
        <w:t>Goals for the workshops</w:t>
      </w:r>
    </w:p>
    <w:p w14:paraId="4D06CECE" w14:textId="77777777" w:rsidR="0066775F" w:rsidRPr="00884D15" w:rsidRDefault="0066775F" w:rsidP="0066775F">
      <w:pPr>
        <w:spacing w:after="120" w:line="360" w:lineRule="auto"/>
      </w:pPr>
      <w:r w:rsidRPr="00884D15">
        <w:t>In-depth investigation of patients’, next of kin, and healthcare professionals’ (</w:t>
      </w:r>
      <w:proofErr w:type="spellStart"/>
      <w:r w:rsidRPr="00884D15">
        <w:t>HCPs’</w:t>
      </w:r>
      <w:proofErr w:type="spellEnd"/>
      <w:r w:rsidRPr="00884D15">
        <w:t>) understanding and experiences related to medication adherence, as well as their perspectives on what is important and how HCPs can contribute to medication adherence.</w:t>
      </w:r>
      <w:r w:rsidRPr="00884D15">
        <w:br/>
      </w:r>
    </w:p>
    <w:p w14:paraId="19389618" w14:textId="77777777" w:rsidR="0066775F" w:rsidRPr="00884D15" w:rsidRDefault="0066775F" w:rsidP="0066775F">
      <w:pPr>
        <w:spacing w:after="120" w:line="360" w:lineRule="auto"/>
        <w:rPr>
          <w:b/>
          <w:bCs/>
          <w:color w:val="2E5FA3"/>
        </w:rPr>
      </w:pPr>
      <w:r w:rsidRPr="00884D15">
        <w:rPr>
          <w:b/>
          <w:bCs/>
          <w:color w:val="2E5FA3"/>
        </w:rPr>
        <w:t>Pre-workshop activities</w:t>
      </w:r>
    </w:p>
    <w:p w14:paraId="2AE2E7B8" w14:textId="77777777" w:rsidR="0066775F" w:rsidRPr="00884D15" w:rsidRDefault="0066775F" w:rsidP="0066775F">
      <w:pPr>
        <w:spacing w:after="120" w:line="360" w:lineRule="auto"/>
      </w:pPr>
      <w:r w:rsidRPr="00884D15">
        <w:t>The workshop was planned by a project group of six investigators comprising the authors, a nurse, and a pharmacist. The project group identified which topics to include in the workshop activities and helped recruit participants. Participants were recruited by distributing invitations to local GP offices, outpatient departments at Aalesund Hospital, pharmacies, and a patient organization.</w:t>
      </w:r>
    </w:p>
    <w:p w14:paraId="5DE03EE1" w14:textId="77777777" w:rsidR="0066775F" w:rsidRPr="00884D15" w:rsidRDefault="0066775F" w:rsidP="0066775F">
      <w:pPr>
        <w:spacing w:after="120" w:line="360" w:lineRule="auto"/>
      </w:pPr>
      <w:r w:rsidRPr="00884D15">
        <w:t xml:space="preserve">NEL completed a course for user representatives at the University of Bergen, and TK participated in a Design Thinking course organized by Tekna and </w:t>
      </w:r>
      <w:proofErr w:type="spellStart"/>
      <w:r w:rsidRPr="00884D15">
        <w:t>iCreative</w:t>
      </w:r>
      <w:proofErr w:type="spellEnd"/>
      <w:r w:rsidRPr="00884D15">
        <w:t xml:space="preserve">. </w:t>
      </w:r>
      <w:r w:rsidRPr="00884D15">
        <w:br/>
        <w:t>A brief review of the latest literature on adherence, as well as results from questionnaire surveys, was conducted in preparation for the workshops (HS, TK, NEL, and HMD)</w:t>
      </w:r>
      <w:r w:rsidRPr="00884D15">
        <w:br/>
      </w:r>
    </w:p>
    <w:p w14:paraId="0C4D7737" w14:textId="77777777" w:rsidR="00884D15" w:rsidRDefault="0066775F" w:rsidP="0066775F">
      <w:pPr>
        <w:spacing w:after="120" w:line="360" w:lineRule="auto"/>
        <w:rPr>
          <w:b/>
          <w:bCs/>
          <w:color w:val="2E5FA3"/>
        </w:rPr>
      </w:pPr>
      <w:r w:rsidRPr="00884D15">
        <w:rPr>
          <w:b/>
          <w:bCs/>
          <w:color w:val="2E5FA3"/>
        </w:rPr>
        <w:t xml:space="preserve">Workshop </w:t>
      </w:r>
    </w:p>
    <w:p w14:paraId="27AE4A8B" w14:textId="773306B6" w:rsidR="0084550D" w:rsidRDefault="00884D15" w:rsidP="0084550D">
      <w:pPr>
        <w:spacing w:after="80" w:line="360" w:lineRule="auto"/>
        <w:rPr>
          <w:lang w:val="en-GB"/>
        </w:rPr>
      </w:pPr>
      <w:r w:rsidRPr="00884D15">
        <w:rPr>
          <w:lang w:val="en-GB"/>
        </w:rPr>
        <w:t xml:space="preserve">A two-day co-design workshop was conducted at Aalesund Hospital (Auditorium, main south entrance) on March 23rd (commencing 15:30) and March 24th (commencing 11:30), 2023. </w:t>
      </w:r>
      <w:r w:rsidR="003116F5">
        <w:rPr>
          <w:lang w:val="en-GB"/>
        </w:rPr>
        <w:br/>
      </w:r>
      <w:r w:rsidRPr="00884D15">
        <w:rPr>
          <w:lang w:val="en-GB"/>
        </w:rPr>
        <w:t>The workshop comprised structured group discussions and plenary sessions addressing medication use, patient challenges, and person-</w:t>
      </w:r>
      <w:proofErr w:type="spellStart"/>
      <w:r w:rsidRPr="00884D15">
        <w:rPr>
          <w:lang w:val="en-GB"/>
        </w:rPr>
        <w:t>centered</w:t>
      </w:r>
      <w:proofErr w:type="spellEnd"/>
      <w:r w:rsidRPr="00884D15">
        <w:rPr>
          <w:lang w:val="en-GB"/>
        </w:rPr>
        <w:t xml:space="preserve"> communication. </w:t>
      </w:r>
      <w:r w:rsidR="0084550D">
        <w:rPr>
          <w:lang w:val="en-GB"/>
        </w:rPr>
        <w:br/>
      </w:r>
    </w:p>
    <w:p w14:paraId="559BCBFE" w14:textId="77777777" w:rsidR="000B010B" w:rsidRDefault="000B010B" w:rsidP="0084550D">
      <w:pPr>
        <w:spacing w:after="80" w:line="360" w:lineRule="auto"/>
        <w:rPr>
          <w:lang w:val="en-GB"/>
        </w:rPr>
      </w:pPr>
    </w:p>
    <w:p w14:paraId="5F43DBB8" w14:textId="05264193" w:rsidR="0066775F" w:rsidRPr="00884D15" w:rsidRDefault="0066775F" w:rsidP="0084550D">
      <w:pPr>
        <w:spacing w:after="80" w:line="360" w:lineRule="auto"/>
      </w:pPr>
      <w:r w:rsidRPr="00884D15">
        <w:rPr>
          <w:b/>
          <w:bCs/>
          <w:color w:val="2E5FA3"/>
        </w:rPr>
        <w:lastRenderedPageBreak/>
        <w:t>Content of workshop</w:t>
      </w:r>
    </w:p>
    <w:p w14:paraId="49510499" w14:textId="698830FA" w:rsidR="0066775F" w:rsidRPr="00884D15" w:rsidRDefault="0066775F" w:rsidP="0066775F">
      <w:pPr>
        <w:spacing w:after="120" w:line="360" w:lineRule="auto"/>
      </w:pPr>
      <w:r w:rsidRPr="00884D15">
        <w:t>1</w:t>
      </w:r>
      <w:r w:rsidR="00884D15" w:rsidRPr="00884D15">
        <w:t>. Introduction</w:t>
      </w:r>
      <w:r w:rsidRPr="00884D15">
        <w:t xml:space="preserve"> and welcome (5 min).</w:t>
      </w:r>
    </w:p>
    <w:p w14:paraId="442A4ADB" w14:textId="30A16BE8" w:rsidR="0066775F" w:rsidRPr="00884D15" w:rsidRDefault="0066775F" w:rsidP="0066775F">
      <w:pPr>
        <w:spacing w:after="120" w:line="360" w:lineRule="auto"/>
      </w:pPr>
      <w:r w:rsidRPr="00884D15">
        <w:t>2</w:t>
      </w:r>
      <w:r w:rsidR="00884D15" w:rsidRPr="00884D15">
        <w:t>. Presentation</w:t>
      </w:r>
      <w:r w:rsidRPr="00884D15">
        <w:t xml:space="preserve"> of the project (5 min).</w:t>
      </w:r>
    </w:p>
    <w:p w14:paraId="25869544" w14:textId="3BB56A3D" w:rsidR="0066775F" w:rsidRPr="00884D15" w:rsidRDefault="0066775F" w:rsidP="0066775F">
      <w:pPr>
        <w:spacing w:after="120" w:line="360" w:lineRule="auto"/>
      </w:pPr>
      <w:r w:rsidRPr="00884D15">
        <w:t>3. Importance of user involvement (5–10 min).</w:t>
      </w:r>
    </w:p>
    <w:p w14:paraId="37192626" w14:textId="72D3D6F6" w:rsidR="0066775F" w:rsidRPr="00884D15" w:rsidRDefault="0066775F" w:rsidP="0066775F">
      <w:pPr>
        <w:spacing w:after="120" w:line="360" w:lineRule="auto"/>
      </w:pPr>
      <w:r w:rsidRPr="00884D15">
        <w:t>4. What is safe medication management and adherence? (5 min).</w:t>
      </w:r>
    </w:p>
    <w:p w14:paraId="5AD94E7A" w14:textId="39B98086" w:rsidR="0066775F" w:rsidRPr="00884D15" w:rsidRDefault="0066775F" w:rsidP="0066775F">
      <w:pPr>
        <w:spacing w:after="120" w:line="360" w:lineRule="auto"/>
      </w:pPr>
      <w:r w:rsidRPr="00884D15">
        <w:t>5. Presentation of workshop activities (1–2 min).</w:t>
      </w:r>
    </w:p>
    <w:p w14:paraId="0012BB42" w14:textId="2288C377" w:rsidR="00BE28B0" w:rsidRDefault="0066775F" w:rsidP="00C514F9">
      <w:pPr>
        <w:spacing w:after="120" w:line="360" w:lineRule="auto"/>
      </w:pPr>
      <w:r w:rsidRPr="00884D15">
        <w:t>6. Reflections and discussions</w:t>
      </w:r>
      <w:r w:rsidR="006B2C98">
        <w:t xml:space="preserve"> </w:t>
      </w:r>
      <w:r w:rsidR="000C7C47" w:rsidRPr="008E7029">
        <w:rPr>
          <w:lang w:val="en-GB"/>
        </w:rPr>
        <w:t>(</w:t>
      </w:r>
      <w:r w:rsidR="008E7029" w:rsidRPr="008E7029">
        <w:rPr>
          <w:lang w:val="en-GB"/>
        </w:rPr>
        <w:t>120 min)</w:t>
      </w:r>
      <w:r w:rsidRPr="00884D15">
        <w:t>.</w:t>
      </w:r>
      <w:r w:rsidR="00F90580">
        <w:t xml:space="preserve"> </w:t>
      </w:r>
    </w:p>
    <w:p w14:paraId="6F47FDD4" w14:textId="5737EF0C" w:rsidR="00153165" w:rsidRPr="00924566" w:rsidRDefault="00153165" w:rsidP="00153165">
      <w:pPr>
        <w:spacing w:after="80" w:line="360" w:lineRule="auto"/>
        <w:rPr>
          <w:lang w:val="en-GB"/>
        </w:rPr>
      </w:pPr>
      <w:r>
        <w:t xml:space="preserve">7. </w:t>
      </w:r>
      <w:r w:rsidRPr="00730EE6">
        <w:t>Summary and conclusions in plenary</w:t>
      </w:r>
      <w:r>
        <w:t xml:space="preserve"> (30 min).</w:t>
      </w:r>
      <w:r w:rsidR="00625836">
        <w:br/>
      </w:r>
    </w:p>
    <w:p w14:paraId="15EAE460" w14:textId="5621A5C8" w:rsidR="00153165" w:rsidRPr="00BA6765" w:rsidRDefault="00BA6765" w:rsidP="00BA6765">
      <w:pPr>
        <w:spacing w:after="80" w:line="360" w:lineRule="auto"/>
      </w:pPr>
      <w:r w:rsidRPr="00884D15">
        <w:rPr>
          <w:b/>
          <w:bCs/>
          <w:color w:val="2E5FA3"/>
        </w:rPr>
        <w:t>Reflections and discussions</w:t>
      </w:r>
    </w:p>
    <w:p w14:paraId="40367AD7" w14:textId="77777777" w:rsidR="008F6034" w:rsidRPr="008F6034" w:rsidRDefault="008F6034" w:rsidP="008F6034">
      <w:pPr>
        <w:spacing w:after="120" w:line="360" w:lineRule="auto"/>
        <w:rPr>
          <w:lang w:val="en-GB"/>
        </w:rPr>
      </w:pPr>
      <w:r w:rsidRPr="008F6034">
        <w:rPr>
          <w:lang w:val="en-GB"/>
        </w:rPr>
        <w:t>This session begins by presenting the following patient journey steps as a framework for discussion:</w:t>
      </w:r>
    </w:p>
    <w:p w14:paraId="051354BD" w14:textId="77777777" w:rsidR="008F6034" w:rsidRPr="008F6034" w:rsidRDefault="008F6034" w:rsidP="008F6034">
      <w:pPr>
        <w:spacing w:after="120" w:line="360" w:lineRule="auto"/>
        <w:rPr>
          <w:lang w:val="en-GB"/>
        </w:rPr>
      </w:pPr>
      <w:r w:rsidRPr="008F6034">
        <w:rPr>
          <w:i/>
          <w:iCs/>
          <w:lang w:val="en-GB"/>
        </w:rPr>
        <w:t>At the doctor's office (treatment choice or modification) → At the pharmacy (picking up medication) → At home (incorporation of medication use into daily life).</w:t>
      </w:r>
    </w:p>
    <w:p w14:paraId="1A070969" w14:textId="704DE8DC" w:rsidR="00153165" w:rsidRDefault="008A4B9C" w:rsidP="00153165">
      <w:pPr>
        <w:keepNext/>
        <w:spacing w:after="120" w:line="360" w:lineRule="auto"/>
      </w:pPr>
      <w:r w:rsidRPr="008A4B9C">
        <w:t>Participants were invited to think first as if they were patients, and then to reflect on their own role in supporting medication adherence. In addition, the group discussed how pharmacists could contribute to improving medication adherence</w:t>
      </w:r>
      <w:r w:rsidR="00457560" w:rsidRPr="00457560">
        <w:t>. Key elements of the workshop discussions and reflections are described in the discussion guide</w:t>
      </w:r>
      <w:r w:rsidR="00457560">
        <w:t xml:space="preserve"> </w:t>
      </w:r>
      <w:r w:rsidR="00B34CFC" w:rsidRPr="00B34CFC">
        <w:t>(</w:t>
      </w:r>
      <w:r w:rsidR="00B34CFC">
        <w:t xml:space="preserve">see </w:t>
      </w:r>
      <w:r w:rsidR="00B34CFC" w:rsidRPr="00B34CFC">
        <w:t>Figure S5</w:t>
      </w:r>
      <w:r w:rsidR="00B34CFC">
        <w:t>).</w:t>
      </w:r>
      <w:r w:rsidR="00C15873">
        <w:br/>
      </w:r>
      <w:r w:rsidR="00CB2429">
        <w:rPr>
          <w:lang w:val="en-GB"/>
        </w:rPr>
        <w:lastRenderedPageBreak/>
        <w:br/>
      </w:r>
      <w:r w:rsidR="00153165">
        <w:rPr>
          <w:noProof/>
          <w:lang w:val="en-GB"/>
        </w:rPr>
        <w:drawing>
          <wp:inline distT="0" distB="0" distL="0" distR="0" wp14:anchorId="0DC9DBD8" wp14:editId="67F98B42">
            <wp:extent cx="5760720" cy="7815190"/>
            <wp:effectExtent l="0" t="0" r="0" b="0"/>
            <wp:docPr id="53711439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4394" name="Bilde 537114394"/>
                    <pic:cNvPicPr/>
                  </pic:nvPicPr>
                  <pic:blipFill rotWithShape="1">
                    <a:blip r:embed="rId9" cstate="print">
                      <a:extLst>
                        <a:ext uri="{28A0092B-C50C-407E-A947-70E740481C1C}">
                          <a14:useLocalDpi xmlns:a14="http://schemas.microsoft.com/office/drawing/2010/main" val="0"/>
                        </a:ext>
                      </a:extLst>
                    </a:blip>
                    <a:srcRect t="1855"/>
                    <a:stretch>
                      <a:fillRect/>
                    </a:stretch>
                  </pic:blipFill>
                  <pic:spPr bwMode="auto">
                    <a:xfrm>
                      <a:off x="0" y="0"/>
                      <a:ext cx="5760720" cy="7815190"/>
                    </a:xfrm>
                    <a:prstGeom prst="rect">
                      <a:avLst/>
                    </a:prstGeom>
                    <a:ln>
                      <a:noFill/>
                    </a:ln>
                    <a:extLst>
                      <a:ext uri="{53640926-AAD7-44D8-BBD7-CCE9431645EC}">
                        <a14:shadowObscured xmlns:a14="http://schemas.microsoft.com/office/drawing/2010/main"/>
                      </a:ext>
                    </a:extLst>
                  </pic:spPr>
                </pic:pic>
              </a:graphicData>
            </a:graphic>
          </wp:inline>
        </w:drawing>
      </w:r>
    </w:p>
    <w:p w14:paraId="5DA493E2" w14:textId="009E8C01" w:rsidR="0066775F" w:rsidRPr="00153165" w:rsidRDefault="00153165" w:rsidP="00153165">
      <w:pPr>
        <w:pStyle w:val="Bildetekst"/>
        <w:rPr>
          <w:i w:val="0"/>
          <w:iCs w:val="0"/>
          <w:sz w:val="24"/>
          <w:szCs w:val="24"/>
          <w:lang w:val="en-GB"/>
        </w:rPr>
      </w:pPr>
      <w:r w:rsidRPr="00153165">
        <w:rPr>
          <w:b/>
          <w:bCs/>
          <w:i w:val="0"/>
          <w:iCs w:val="0"/>
          <w:sz w:val="24"/>
          <w:szCs w:val="24"/>
        </w:rPr>
        <w:t>Figure S</w:t>
      </w:r>
      <w:r w:rsidRPr="00153165">
        <w:rPr>
          <w:b/>
          <w:bCs/>
          <w:i w:val="0"/>
          <w:iCs w:val="0"/>
          <w:sz w:val="24"/>
          <w:szCs w:val="24"/>
        </w:rPr>
        <w:fldChar w:fldCharType="begin"/>
      </w:r>
      <w:r w:rsidRPr="00153165">
        <w:rPr>
          <w:b/>
          <w:bCs/>
          <w:i w:val="0"/>
          <w:iCs w:val="0"/>
          <w:sz w:val="24"/>
          <w:szCs w:val="24"/>
        </w:rPr>
        <w:instrText xml:space="preserve"> SEQ Figure \* ARABIC </w:instrText>
      </w:r>
      <w:r w:rsidRPr="00153165">
        <w:rPr>
          <w:b/>
          <w:bCs/>
          <w:i w:val="0"/>
          <w:iCs w:val="0"/>
          <w:sz w:val="24"/>
          <w:szCs w:val="24"/>
        </w:rPr>
        <w:fldChar w:fldCharType="separate"/>
      </w:r>
      <w:r w:rsidRPr="00153165">
        <w:rPr>
          <w:b/>
          <w:bCs/>
          <w:i w:val="0"/>
          <w:iCs w:val="0"/>
          <w:noProof/>
          <w:sz w:val="24"/>
          <w:szCs w:val="24"/>
        </w:rPr>
        <w:t>5</w:t>
      </w:r>
      <w:r w:rsidRPr="00153165">
        <w:rPr>
          <w:b/>
          <w:bCs/>
          <w:i w:val="0"/>
          <w:iCs w:val="0"/>
          <w:sz w:val="24"/>
          <w:szCs w:val="24"/>
        </w:rPr>
        <w:fldChar w:fldCharType="end"/>
      </w:r>
      <w:r w:rsidRPr="00153165">
        <w:rPr>
          <w:b/>
          <w:bCs/>
          <w:i w:val="0"/>
          <w:iCs w:val="0"/>
          <w:sz w:val="24"/>
          <w:szCs w:val="24"/>
        </w:rPr>
        <w:t>.</w:t>
      </w:r>
      <w:r w:rsidRPr="00153165">
        <w:rPr>
          <w:i w:val="0"/>
          <w:iCs w:val="0"/>
          <w:sz w:val="24"/>
          <w:szCs w:val="24"/>
        </w:rPr>
        <w:t xml:space="preserve"> Workshop discussion guide used in the co-design workshop with patients, next of kin, and healthcare professionals.</w:t>
      </w:r>
    </w:p>
    <w:sectPr w:rsidR="0066775F" w:rsidRPr="00153165" w:rsidSect="004629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60C43"/>
    <w:multiLevelType w:val="hybridMultilevel"/>
    <w:tmpl w:val="4E6E5D44"/>
    <w:lvl w:ilvl="0" w:tplc="905814E8">
      <w:start w:val="1"/>
      <w:numFmt w:val="bullet"/>
      <w:lvlText w:val="•"/>
      <w:lvlJc w:val="left"/>
      <w:pPr>
        <w:ind w:left="600" w:hanging="360"/>
      </w:pPr>
    </w:lvl>
    <w:lvl w:ilvl="1" w:tplc="633A3874">
      <w:numFmt w:val="decimal"/>
      <w:lvlText w:val=""/>
      <w:lvlJc w:val="left"/>
    </w:lvl>
    <w:lvl w:ilvl="2" w:tplc="231A150C">
      <w:numFmt w:val="decimal"/>
      <w:lvlText w:val=""/>
      <w:lvlJc w:val="left"/>
    </w:lvl>
    <w:lvl w:ilvl="3" w:tplc="CAC4352C">
      <w:numFmt w:val="decimal"/>
      <w:lvlText w:val=""/>
      <w:lvlJc w:val="left"/>
    </w:lvl>
    <w:lvl w:ilvl="4" w:tplc="6484A162">
      <w:numFmt w:val="decimal"/>
      <w:lvlText w:val=""/>
      <w:lvlJc w:val="left"/>
    </w:lvl>
    <w:lvl w:ilvl="5" w:tplc="BE566F84">
      <w:numFmt w:val="decimal"/>
      <w:lvlText w:val=""/>
      <w:lvlJc w:val="left"/>
    </w:lvl>
    <w:lvl w:ilvl="6" w:tplc="76480D2A">
      <w:numFmt w:val="decimal"/>
      <w:lvlText w:val=""/>
      <w:lvlJc w:val="left"/>
    </w:lvl>
    <w:lvl w:ilvl="7" w:tplc="78E0B260">
      <w:numFmt w:val="decimal"/>
      <w:lvlText w:val=""/>
      <w:lvlJc w:val="left"/>
    </w:lvl>
    <w:lvl w:ilvl="8" w:tplc="7952DCC2">
      <w:numFmt w:val="decimal"/>
      <w:lvlText w:val=""/>
      <w:lvlJc w:val="left"/>
    </w:lvl>
  </w:abstractNum>
  <w:abstractNum w:abstractNumId="1" w15:restartNumberingAfterBreak="0">
    <w:nsid w:val="1FE14306"/>
    <w:multiLevelType w:val="hybridMultilevel"/>
    <w:tmpl w:val="FFB2D6AA"/>
    <w:lvl w:ilvl="0" w:tplc="EA66D7D8">
      <w:start w:val="1"/>
      <w:numFmt w:val="bullet"/>
      <w:lvlText w:val="•"/>
      <w:lvlJc w:val="left"/>
      <w:pPr>
        <w:ind w:left="600" w:hanging="360"/>
      </w:pPr>
    </w:lvl>
    <w:lvl w:ilvl="1" w:tplc="01CAE1A6">
      <w:numFmt w:val="decimal"/>
      <w:lvlText w:val=""/>
      <w:lvlJc w:val="left"/>
    </w:lvl>
    <w:lvl w:ilvl="2" w:tplc="48F40B98">
      <w:numFmt w:val="decimal"/>
      <w:lvlText w:val=""/>
      <w:lvlJc w:val="left"/>
    </w:lvl>
    <w:lvl w:ilvl="3" w:tplc="13FAB8BC">
      <w:numFmt w:val="decimal"/>
      <w:lvlText w:val=""/>
      <w:lvlJc w:val="left"/>
    </w:lvl>
    <w:lvl w:ilvl="4" w:tplc="B4D26FE6">
      <w:numFmt w:val="decimal"/>
      <w:lvlText w:val=""/>
      <w:lvlJc w:val="left"/>
    </w:lvl>
    <w:lvl w:ilvl="5" w:tplc="50449444">
      <w:numFmt w:val="decimal"/>
      <w:lvlText w:val=""/>
      <w:lvlJc w:val="left"/>
    </w:lvl>
    <w:lvl w:ilvl="6" w:tplc="5F300D88">
      <w:numFmt w:val="decimal"/>
      <w:lvlText w:val=""/>
      <w:lvlJc w:val="left"/>
    </w:lvl>
    <w:lvl w:ilvl="7" w:tplc="6F5A3A6C">
      <w:numFmt w:val="decimal"/>
      <w:lvlText w:val=""/>
      <w:lvlJc w:val="left"/>
    </w:lvl>
    <w:lvl w:ilvl="8" w:tplc="903A83C4">
      <w:numFmt w:val="decimal"/>
      <w:lvlText w:val=""/>
      <w:lvlJc w:val="left"/>
    </w:lvl>
  </w:abstractNum>
  <w:abstractNum w:abstractNumId="2" w15:restartNumberingAfterBreak="0">
    <w:nsid w:val="42F61C76"/>
    <w:multiLevelType w:val="hybridMultilevel"/>
    <w:tmpl w:val="430EEA52"/>
    <w:lvl w:ilvl="0" w:tplc="0809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4857129"/>
    <w:multiLevelType w:val="hybridMultilevel"/>
    <w:tmpl w:val="16FC3714"/>
    <w:lvl w:ilvl="0" w:tplc="8A788BB2">
      <w:start w:val="1"/>
      <w:numFmt w:val="bullet"/>
      <w:lvlText w:val="•"/>
      <w:lvlJc w:val="left"/>
      <w:pPr>
        <w:ind w:left="600" w:hanging="360"/>
      </w:pPr>
    </w:lvl>
    <w:lvl w:ilvl="1" w:tplc="8DCE95DE">
      <w:numFmt w:val="decimal"/>
      <w:lvlText w:val=""/>
      <w:lvlJc w:val="left"/>
    </w:lvl>
    <w:lvl w:ilvl="2" w:tplc="09C41F48">
      <w:numFmt w:val="decimal"/>
      <w:lvlText w:val=""/>
      <w:lvlJc w:val="left"/>
    </w:lvl>
    <w:lvl w:ilvl="3" w:tplc="542478F6">
      <w:numFmt w:val="decimal"/>
      <w:lvlText w:val=""/>
      <w:lvlJc w:val="left"/>
    </w:lvl>
    <w:lvl w:ilvl="4" w:tplc="FF4210AE">
      <w:numFmt w:val="decimal"/>
      <w:lvlText w:val=""/>
      <w:lvlJc w:val="left"/>
    </w:lvl>
    <w:lvl w:ilvl="5" w:tplc="4412EB4C">
      <w:numFmt w:val="decimal"/>
      <w:lvlText w:val=""/>
      <w:lvlJc w:val="left"/>
    </w:lvl>
    <w:lvl w:ilvl="6" w:tplc="56624EA6">
      <w:numFmt w:val="decimal"/>
      <w:lvlText w:val=""/>
      <w:lvlJc w:val="left"/>
    </w:lvl>
    <w:lvl w:ilvl="7" w:tplc="8FF06E54">
      <w:numFmt w:val="decimal"/>
      <w:lvlText w:val=""/>
      <w:lvlJc w:val="left"/>
    </w:lvl>
    <w:lvl w:ilvl="8" w:tplc="F4E8FF5E">
      <w:numFmt w:val="decimal"/>
      <w:lvlText w:val=""/>
      <w:lvlJc w:val="left"/>
    </w:lvl>
  </w:abstractNum>
  <w:abstractNum w:abstractNumId="4" w15:restartNumberingAfterBreak="0">
    <w:nsid w:val="4C854481"/>
    <w:multiLevelType w:val="hybridMultilevel"/>
    <w:tmpl w:val="2E12E3F2"/>
    <w:lvl w:ilvl="0" w:tplc="0809000F">
      <w:start w:val="1"/>
      <w:numFmt w:val="decimal"/>
      <w:lvlText w:val="%1."/>
      <w:lvlJc w:val="left"/>
      <w:pPr>
        <w:ind w:left="6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2B24B0E"/>
    <w:multiLevelType w:val="hybridMultilevel"/>
    <w:tmpl w:val="367CC324"/>
    <w:lvl w:ilvl="0" w:tplc="F2400370">
      <w:start w:val="1"/>
      <w:numFmt w:val="bullet"/>
      <w:lvlText w:val="•"/>
      <w:lvlJc w:val="left"/>
      <w:pPr>
        <w:ind w:left="600" w:hanging="360"/>
      </w:pPr>
    </w:lvl>
    <w:lvl w:ilvl="1" w:tplc="2BA82108">
      <w:numFmt w:val="decimal"/>
      <w:lvlText w:val=""/>
      <w:lvlJc w:val="left"/>
    </w:lvl>
    <w:lvl w:ilvl="2" w:tplc="BAEA4126">
      <w:numFmt w:val="decimal"/>
      <w:lvlText w:val=""/>
      <w:lvlJc w:val="left"/>
    </w:lvl>
    <w:lvl w:ilvl="3" w:tplc="C0C49D28">
      <w:numFmt w:val="decimal"/>
      <w:lvlText w:val=""/>
      <w:lvlJc w:val="left"/>
    </w:lvl>
    <w:lvl w:ilvl="4" w:tplc="7AA6A2CE">
      <w:numFmt w:val="decimal"/>
      <w:lvlText w:val=""/>
      <w:lvlJc w:val="left"/>
    </w:lvl>
    <w:lvl w:ilvl="5" w:tplc="5A6414CE">
      <w:numFmt w:val="decimal"/>
      <w:lvlText w:val=""/>
      <w:lvlJc w:val="left"/>
    </w:lvl>
    <w:lvl w:ilvl="6" w:tplc="AA40FC54">
      <w:numFmt w:val="decimal"/>
      <w:lvlText w:val=""/>
      <w:lvlJc w:val="left"/>
    </w:lvl>
    <w:lvl w:ilvl="7" w:tplc="D56E915E">
      <w:numFmt w:val="decimal"/>
      <w:lvlText w:val=""/>
      <w:lvlJc w:val="left"/>
    </w:lvl>
    <w:lvl w:ilvl="8" w:tplc="2AC2CA76">
      <w:numFmt w:val="decimal"/>
      <w:lvlText w:val=""/>
      <w:lvlJc w:val="left"/>
    </w:lvl>
  </w:abstractNum>
  <w:abstractNum w:abstractNumId="6" w15:restartNumberingAfterBreak="0">
    <w:nsid w:val="676556CE"/>
    <w:multiLevelType w:val="hybridMultilevel"/>
    <w:tmpl w:val="D5D04958"/>
    <w:lvl w:ilvl="0" w:tplc="0809000F">
      <w:start w:val="1"/>
      <w:numFmt w:val="decimal"/>
      <w:lvlText w:val="%1."/>
      <w:lvlJc w:val="left"/>
      <w:pPr>
        <w:ind w:left="787" w:hanging="360"/>
      </w:pPr>
    </w:lvl>
    <w:lvl w:ilvl="1" w:tplc="04140019" w:tentative="1">
      <w:start w:val="1"/>
      <w:numFmt w:val="lowerLetter"/>
      <w:lvlText w:val="%2."/>
      <w:lvlJc w:val="left"/>
      <w:pPr>
        <w:ind w:left="1507" w:hanging="360"/>
      </w:pPr>
    </w:lvl>
    <w:lvl w:ilvl="2" w:tplc="0414001B" w:tentative="1">
      <w:start w:val="1"/>
      <w:numFmt w:val="lowerRoman"/>
      <w:lvlText w:val="%3."/>
      <w:lvlJc w:val="right"/>
      <w:pPr>
        <w:ind w:left="2227" w:hanging="180"/>
      </w:pPr>
    </w:lvl>
    <w:lvl w:ilvl="3" w:tplc="0414000F" w:tentative="1">
      <w:start w:val="1"/>
      <w:numFmt w:val="decimal"/>
      <w:lvlText w:val="%4."/>
      <w:lvlJc w:val="left"/>
      <w:pPr>
        <w:ind w:left="2947" w:hanging="360"/>
      </w:pPr>
    </w:lvl>
    <w:lvl w:ilvl="4" w:tplc="04140019" w:tentative="1">
      <w:start w:val="1"/>
      <w:numFmt w:val="lowerLetter"/>
      <w:lvlText w:val="%5."/>
      <w:lvlJc w:val="left"/>
      <w:pPr>
        <w:ind w:left="3667" w:hanging="360"/>
      </w:pPr>
    </w:lvl>
    <w:lvl w:ilvl="5" w:tplc="0414001B" w:tentative="1">
      <w:start w:val="1"/>
      <w:numFmt w:val="lowerRoman"/>
      <w:lvlText w:val="%6."/>
      <w:lvlJc w:val="right"/>
      <w:pPr>
        <w:ind w:left="4387" w:hanging="180"/>
      </w:pPr>
    </w:lvl>
    <w:lvl w:ilvl="6" w:tplc="0414000F" w:tentative="1">
      <w:start w:val="1"/>
      <w:numFmt w:val="decimal"/>
      <w:lvlText w:val="%7."/>
      <w:lvlJc w:val="left"/>
      <w:pPr>
        <w:ind w:left="5107" w:hanging="360"/>
      </w:pPr>
    </w:lvl>
    <w:lvl w:ilvl="7" w:tplc="04140019" w:tentative="1">
      <w:start w:val="1"/>
      <w:numFmt w:val="lowerLetter"/>
      <w:lvlText w:val="%8."/>
      <w:lvlJc w:val="left"/>
      <w:pPr>
        <w:ind w:left="5827" w:hanging="360"/>
      </w:pPr>
    </w:lvl>
    <w:lvl w:ilvl="8" w:tplc="0414001B" w:tentative="1">
      <w:start w:val="1"/>
      <w:numFmt w:val="lowerRoman"/>
      <w:lvlText w:val="%9."/>
      <w:lvlJc w:val="right"/>
      <w:pPr>
        <w:ind w:left="6547" w:hanging="180"/>
      </w:pPr>
    </w:lvl>
  </w:abstractNum>
  <w:num w:numId="1" w16cid:durableId="85856813">
    <w:abstractNumId w:val="5"/>
    <w:lvlOverride w:ilvl="0">
      <w:startOverride w:val="1"/>
    </w:lvlOverride>
  </w:num>
  <w:num w:numId="2" w16cid:durableId="2117477387">
    <w:abstractNumId w:val="3"/>
    <w:lvlOverride w:ilvl="0">
      <w:startOverride w:val="1"/>
    </w:lvlOverride>
  </w:num>
  <w:num w:numId="3" w16cid:durableId="189223738">
    <w:abstractNumId w:val="0"/>
    <w:lvlOverride w:ilvl="0">
      <w:startOverride w:val="1"/>
    </w:lvlOverride>
  </w:num>
  <w:num w:numId="4" w16cid:durableId="723408262">
    <w:abstractNumId w:val="1"/>
    <w:lvlOverride w:ilvl="0">
      <w:startOverride w:val="1"/>
    </w:lvlOverride>
  </w:num>
  <w:num w:numId="5" w16cid:durableId="1952585143">
    <w:abstractNumId w:val="2"/>
  </w:num>
  <w:num w:numId="6" w16cid:durableId="1488323689">
    <w:abstractNumId w:val="6"/>
  </w:num>
  <w:num w:numId="7" w16cid:durableId="778796321">
    <w:abstractNumId w:val="5"/>
  </w:num>
  <w:num w:numId="8" w16cid:durableId="1173881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5F"/>
    <w:rsid w:val="00023FD2"/>
    <w:rsid w:val="00030176"/>
    <w:rsid w:val="000A0B4C"/>
    <w:rsid w:val="000B010B"/>
    <w:rsid w:val="000B1BB0"/>
    <w:rsid w:val="000C7C47"/>
    <w:rsid w:val="000D3331"/>
    <w:rsid w:val="00116C47"/>
    <w:rsid w:val="00133ACE"/>
    <w:rsid w:val="00153165"/>
    <w:rsid w:val="00156737"/>
    <w:rsid w:val="001A476E"/>
    <w:rsid w:val="001C28F0"/>
    <w:rsid w:val="002F7E30"/>
    <w:rsid w:val="003116F5"/>
    <w:rsid w:val="00350658"/>
    <w:rsid w:val="00353E97"/>
    <w:rsid w:val="003837C6"/>
    <w:rsid w:val="003A6599"/>
    <w:rsid w:val="003A6EC9"/>
    <w:rsid w:val="003B6502"/>
    <w:rsid w:val="003F3211"/>
    <w:rsid w:val="003F44A7"/>
    <w:rsid w:val="003F5182"/>
    <w:rsid w:val="003F751C"/>
    <w:rsid w:val="00440686"/>
    <w:rsid w:val="00457560"/>
    <w:rsid w:val="0046295A"/>
    <w:rsid w:val="00490DB0"/>
    <w:rsid w:val="0049512F"/>
    <w:rsid w:val="004C5C0C"/>
    <w:rsid w:val="0053674E"/>
    <w:rsid w:val="005621DA"/>
    <w:rsid w:val="005638D7"/>
    <w:rsid w:val="00567533"/>
    <w:rsid w:val="00586826"/>
    <w:rsid w:val="005A288B"/>
    <w:rsid w:val="005D603C"/>
    <w:rsid w:val="005F7EF5"/>
    <w:rsid w:val="00625836"/>
    <w:rsid w:val="0065039A"/>
    <w:rsid w:val="0066775F"/>
    <w:rsid w:val="00681E14"/>
    <w:rsid w:val="00693D70"/>
    <w:rsid w:val="006B2C98"/>
    <w:rsid w:val="006E7E0B"/>
    <w:rsid w:val="00705957"/>
    <w:rsid w:val="00730EE6"/>
    <w:rsid w:val="00765F19"/>
    <w:rsid w:val="007B0F15"/>
    <w:rsid w:val="007C5CA4"/>
    <w:rsid w:val="007E15B0"/>
    <w:rsid w:val="007E600C"/>
    <w:rsid w:val="00820147"/>
    <w:rsid w:val="00834AA9"/>
    <w:rsid w:val="00840C64"/>
    <w:rsid w:val="0084550D"/>
    <w:rsid w:val="00870C25"/>
    <w:rsid w:val="00884D15"/>
    <w:rsid w:val="00891E4D"/>
    <w:rsid w:val="008A4B9C"/>
    <w:rsid w:val="008E7029"/>
    <w:rsid w:val="008F6034"/>
    <w:rsid w:val="00915165"/>
    <w:rsid w:val="00924566"/>
    <w:rsid w:val="00953852"/>
    <w:rsid w:val="009D58C2"/>
    <w:rsid w:val="009E37DC"/>
    <w:rsid w:val="00A04891"/>
    <w:rsid w:val="00A23EB9"/>
    <w:rsid w:val="00A25DC7"/>
    <w:rsid w:val="00A4442A"/>
    <w:rsid w:val="00A849EF"/>
    <w:rsid w:val="00A8517B"/>
    <w:rsid w:val="00A931F3"/>
    <w:rsid w:val="00AA7E5C"/>
    <w:rsid w:val="00B046C0"/>
    <w:rsid w:val="00B34CFC"/>
    <w:rsid w:val="00B51612"/>
    <w:rsid w:val="00B57B82"/>
    <w:rsid w:val="00B63842"/>
    <w:rsid w:val="00B74D50"/>
    <w:rsid w:val="00BA4948"/>
    <w:rsid w:val="00BA6765"/>
    <w:rsid w:val="00BA7908"/>
    <w:rsid w:val="00BC33C1"/>
    <w:rsid w:val="00BC584D"/>
    <w:rsid w:val="00BE0075"/>
    <w:rsid w:val="00BE28B0"/>
    <w:rsid w:val="00C01F50"/>
    <w:rsid w:val="00C15873"/>
    <w:rsid w:val="00C201A7"/>
    <w:rsid w:val="00C21943"/>
    <w:rsid w:val="00C21EE0"/>
    <w:rsid w:val="00C33CF0"/>
    <w:rsid w:val="00C50D56"/>
    <w:rsid w:val="00C514F9"/>
    <w:rsid w:val="00C975B4"/>
    <w:rsid w:val="00CB2429"/>
    <w:rsid w:val="00CD0F91"/>
    <w:rsid w:val="00CE3E5D"/>
    <w:rsid w:val="00CF49EF"/>
    <w:rsid w:val="00D065DD"/>
    <w:rsid w:val="00D0699E"/>
    <w:rsid w:val="00D55AFC"/>
    <w:rsid w:val="00D62891"/>
    <w:rsid w:val="00D657F8"/>
    <w:rsid w:val="00DA22D9"/>
    <w:rsid w:val="00DC693F"/>
    <w:rsid w:val="00DE614E"/>
    <w:rsid w:val="00E231FE"/>
    <w:rsid w:val="00E428BE"/>
    <w:rsid w:val="00E447E0"/>
    <w:rsid w:val="00E54E6E"/>
    <w:rsid w:val="00E711B1"/>
    <w:rsid w:val="00E9532D"/>
    <w:rsid w:val="00EB74F4"/>
    <w:rsid w:val="00EC37CD"/>
    <w:rsid w:val="00EC3A14"/>
    <w:rsid w:val="00F4586B"/>
    <w:rsid w:val="00F90580"/>
    <w:rsid w:val="00FA4FB4"/>
    <w:rsid w:val="00FB0A4E"/>
    <w:rsid w:val="00FB15D5"/>
    <w:rsid w:val="00FB3EB9"/>
    <w:rsid w:val="00FC16F8"/>
    <w:rsid w:val="00FF62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AE76"/>
  <w15:chartTrackingRefBased/>
  <w15:docId w15:val="{2133E06D-DAEC-457B-AA15-45CF8031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Palatino Linotype"/>
        <w:sz w:val="24"/>
        <w:szCs w:val="28"/>
        <w:lang w:val="nb-N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75F"/>
    <w:pPr>
      <w:spacing w:after="0" w:line="240" w:lineRule="auto"/>
    </w:pPr>
    <w:rPr>
      <w:rFonts w:ascii="Arial" w:eastAsia="Arial" w:hAnsi="Arial" w:cs="Arial"/>
      <w:szCs w:val="24"/>
      <w:lang w:val="en-US" w:eastAsia="nb-NO"/>
    </w:rPr>
  </w:style>
  <w:style w:type="paragraph" w:styleId="Overskrift1">
    <w:name w:val="heading 1"/>
    <w:basedOn w:val="Normal"/>
    <w:next w:val="Normal"/>
    <w:link w:val="Overskrift1Tegn"/>
    <w:uiPriority w:val="9"/>
    <w:qFormat/>
    <w:rsid w:val="006677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677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6775F"/>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Overskrift4">
    <w:name w:val="heading 4"/>
    <w:basedOn w:val="Normal"/>
    <w:next w:val="Normal"/>
    <w:link w:val="Overskrift4Tegn"/>
    <w:uiPriority w:val="9"/>
    <w:semiHidden/>
    <w:unhideWhenUsed/>
    <w:qFormat/>
    <w:rsid w:val="0066775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6775F"/>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66775F"/>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6775F"/>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66775F"/>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6775F"/>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6775F"/>
    <w:rPr>
      <w:rFonts w:asciiTheme="majorHAnsi" w:eastAsiaTheme="majorEastAsia" w:hAnsiTheme="majorHAnsi" w:cstheme="majorBidi"/>
      <w:color w:val="0F4761" w:themeColor="accent1" w:themeShade="BF"/>
      <w:sz w:val="40"/>
      <w:szCs w:val="40"/>
      <w:lang w:val="en-US"/>
    </w:rPr>
  </w:style>
  <w:style w:type="character" w:customStyle="1" w:styleId="Overskrift2Tegn">
    <w:name w:val="Overskrift 2 Tegn"/>
    <w:basedOn w:val="Standardskriftforavsnitt"/>
    <w:link w:val="Overskrift2"/>
    <w:uiPriority w:val="9"/>
    <w:semiHidden/>
    <w:rsid w:val="0066775F"/>
    <w:rPr>
      <w:rFonts w:asciiTheme="majorHAnsi" w:eastAsiaTheme="majorEastAsia" w:hAnsiTheme="majorHAnsi" w:cstheme="majorBidi"/>
      <w:color w:val="0F4761" w:themeColor="accent1" w:themeShade="BF"/>
      <w:sz w:val="32"/>
      <w:szCs w:val="32"/>
      <w:lang w:val="en-US"/>
    </w:rPr>
  </w:style>
  <w:style w:type="character" w:customStyle="1" w:styleId="Overskrift3Tegn">
    <w:name w:val="Overskrift 3 Tegn"/>
    <w:basedOn w:val="Standardskriftforavsnitt"/>
    <w:link w:val="Overskrift3"/>
    <w:uiPriority w:val="9"/>
    <w:semiHidden/>
    <w:rsid w:val="0066775F"/>
    <w:rPr>
      <w:rFonts w:asciiTheme="minorHAnsi" w:eastAsiaTheme="majorEastAsia" w:hAnsiTheme="minorHAnsi" w:cstheme="majorBidi"/>
      <w:color w:val="0F4761" w:themeColor="accent1" w:themeShade="BF"/>
      <w:sz w:val="28"/>
      <w:lang w:val="en-US"/>
    </w:rPr>
  </w:style>
  <w:style w:type="character" w:customStyle="1" w:styleId="Overskrift4Tegn">
    <w:name w:val="Overskrift 4 Tegn"/>
    <w:basedOn w:val="Standardskriftforavsnitt"/>
    <w:link w:val="Overskrift4"/>
    <w:uiPriority w:val="9"/>
    <w:semiHidden/>
    <w:rsid w:val="0066775F"/>
    <w:rPr>
      <w:rFonts w:asciiTheme="minorHAnsi" w:eastAsiaTheme="majorEastAsia" w:hAnsiTheme="minorHAnsi" w:cstheme="majorBidi"/>
      <w:i/>
      <w:iCs/>
      <w:color w:val="0F4761" w:themeColor="accent1" w:themeShade="BF"/>
      <w:lang w:val="en-US"/>
    </w:rPr>
  </w:style>
  <w:style w:type="character" w:customStyle="1" w:styleId="Overskrift5Tegn">
    <w:name w:val="Overskrift 5 Tegn"/>
    <w:basedOn w:val="Standardskriftforavsnitt"/>
    <w:link w:val="Overskrift5"/>
    <w:uiPriority w:val="9"/>
    <w:semiHidden/>
    <w:rsid w:val="0066775F"/>
    <w:rPr>
      <w:rFonts w:asciiTheme="minorHAnsi" w:eastAsiaTheme="majorEastAsia" w:hAnsiTheme="minorHAnsi" w:cstheme="majorBidi"/>
      <w:color w:val="0F4761" w:themeColor="accent1" w:themeShade="BF"/>
      <w:lang w:val="en-US"/>
    </w:rPr>
  </w:style>
  <w:style w:type="character" w:customStyle="1" w:styleId="Overskrift6Tegn">
    <w:name w:val="Overskrift 6 Tegn"/>
    <w:basedOn w:val="Standardskriftforavsnitt"/>
    <w:link w:val="Overskrift6"/>
    <w:uiPriority w:val="9"/>
    <w:semiHidden/>
    <w:rsid w:val="0066775F"/>
    <w:rPr>
      <w:rFonts w:asciiTheme="minorHAnsi" w:eastAsiaTheme="majorEastAsia" w:hAnsiTheme="minorHAnsi" w:cstheme="majorBidi"/>
      <w:i/>
      <w:iCs/>
      <w:color w:val="595959" w:themeColor="text1" w:themeTint="A6"/>
      <w:lang w:val="en-US"/>
    </w:rPr>
  </w:style>
  <w:style w:type="character" w:customStyle="1" w:styleId="Overskrift7Tegn">
    <w:name w:val="Overskrift 7 Tegn"/>
    <w:basedOn w:val="Standardskriftforavsnitt"/>
    <w:link w:val="Overskrift7"/>
    <w:uiPriority w:val="9"/>
    <w:semiHidden/>
    <w:rsid w:val="0066775F"/>
    <w:rPr>
      <w:rFonts w:asciiTheme="minorHAnsi" w:eastAsiaTheme="majorEastAsia" w:hAnsiTheme="minorHAnsi" w:cstheme="majorBidi"/>
      <w:color w:val="595959" w:themeColor="text1" w:themeTint="A6"/>
      <w:lang w:val="en-US"/>
    </w:rPr>
  </w:style>
  <w:style w:type="character" w:customStyle="1" w:styleId="Overskrift8Tegn">
    <w:name w:val="Overskrift 8 Tegn"/>
    <w:basedOn w:val="Standardskriftforavsnitt"/>
    <w:link w:val="Overskrift8"/>
    <w:uiPriority w:val="9"/>
    <w:semiHidden/>
    <w:rsid w:val="0066775F"/>
    <w:rPr>
      <w:rFonts w:asciiTheme="minorHAnsi" w:eastAsiaTheme="majorEastAsia" w:hAnsiTheme="minorHAnsi" w:cstheme="majorBidi"/>
      <w:i/>
      <w:iCs/>
      <w:color w:val="272727" w:themeColor="text1" w:themeTint="D8"/>
      <w:lang w:val="en-US"/>
    </w:rPr>
  </w:style>
  <w:style w:type="character" w:customStyle="1" w:styleId="Overskrift9Tegn">
    <w:name w:val="Overskrift 9 Tegn"/>
    <w:basedOn w:val="Standardskriftforavsnitt"/>
    <w:link w:val="Overskrift9"/>
    <w:uiPriority w:val="9"/>
    <w:semiHidden/>
    <w:rsid w:val="0066775F"/>
    <w:rPr>
      <w:rFonts w:asciiTheme="minorHAnsi" w:eastAsiaTheme="majorEastAsia" w:hAnsiTheme="minorHAnsi" w:cstheme="majorBidi"/>
      <w:color w:val="272727" w:themeColor="text1" w:themeTint="D8"/>
      <w:lang w:val="en-US"/>
    </w:rPr>
  </w:style>
  <w:style w:type="paragraph" w:styleId="Tittel">
    <w:name w:val="Title"/>
    <w:basedOn w:val="Normal"/>
    <w:next w:val="Normal"/>
    <w:link w:val="TittelTegn"/>
    <w:uiPriority w:val="10"/>
    <w:qFormat/>
    <w:rsid w:val="0066775F"/>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6775F"/>
    <w:rPr>
      <w:rFonts w:asciiTheme="majorHAnsi" w:eastAsiaTheme="majorEastAsia" w:hAnsiTheme="majorHAnsi" w:cstheme="majorBidi"/>
      <w:spacing w:val="-10"/>
      <w:kern w:val="28"/>
      <w:sz w:val="56"/>
      <w:szCs w:val="56"/>
      <w:lang w:val="en-US"/>
    </w:rPr>
  </w:style>
  <w:style w:type="paragraph" w:styleId="Undertittel">
    <w:name w:val="Subtitle"/>
    <w:basedOn w:val="Normal"/>
    <w:next w:val="Normal"/>
    <w:link w:val="UndertittelTegn"/>
    <w:uiPriority w:val="11"/>
    <w:qFormat/>
    <w:rsid w:val="0066775F"/>
    <w:pPr>
      <w:numPr>
        <w:ilvl w:val="1"/>
      </w:numPr>
    </w:pPr>
    <w:rPr>
      <w:rFonts w:asciiTheme="minorHAnsi" w:eastAsiaTheme="majorEastAsia" w:hAnsiTheme="minorHAnsi" w:cstheme="majorBidi"/>
      <w:color w:val="595959" w:themeColor="text1" w:themeTint="A6"/>
      <w:spacing w:val="15"/>
      <w:sz w:val="28"/>
    </w:rPr>
  </w:style>
  <w:style w:type="character" w:customStyle="1" w:styleId="UndertittelTegn">
    <w:name w:val="Undertittel Tegn"/>
    <w:basedOn w:val="Standardskriftforavsnitt"/>
    <w:link w:val="Undertittel"/>
    <w:uiPriority w:val="11"/>
    <w:rsid w:val="0066775F"/>
    <w:rPr>
      <w:rFonts w:asciiTheme="minorHAnsi" w:eastAsiaTheme="majorEastAsia" w:hAnsiTheme="minorHAnsi" w:cstheme="majorBidi"/>
      <w:color w:val="595959" w:themeColor="text1" w:themeTint="A6"/>
      <w:spacing w:val="15"/>
      <w:sz w:val="28"/>
      <w:lang w:val="en-US"/>
    </w:rPr>
  </w:style>
  <w:style w:type="paragraph" w:styleId="Sitat">
    <w:name w:val="Quote"/>
    <w:basedOn w:val="Normal"/>
    <w:next w:val="Normal"/>
    <w:link w:val="SitatTegn"/>
    <w:uiPriority w:val="29"/>
    <w:qFormat/>
    <w:rsid w:val="0066775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6775F"/>
    <w:rPr>
      <w:i/>
      <w:iCs/>
      <w:color w:val="404040" w:themeColor="text1" w:themeTint="BF"/>
      <w:lang w:val="en-US"/>
    </w:rPr>
  </w:style>
  <w:style w:type="paragraph" w:styleId="Listeavsnitt">
    <w:name w:val="List Paragraph"/>
    <w:basedOn w:val="Normal"/>
    <w:qFormat/>
    <w:rsid w:val="0066775F"/>
    <w:pPr>
      <w:ind w:left="720"/>
      <w:contextualSpacing/>
    </w:pPr>
  </w:style>
  <w:style w:type="character" w:styleId="Sterkutheving">
    <w:name w:val="Intense Emphasis"/>
    <w:basedOn w:val="Standardskriftforavsnitt"/>
    <w:uiPriority w:val="21"/>
    <w:qFormat/>
    <w:rsid w:val="0066775F"/>
    <w:rPr>
      <w:i/>
      <w:iCs/>
      <w:color w:val="0F4761" w:themeColor="accent1" w:themeShade="BF"/>
    </w:rPr>
  </w:style>
  <w:style w:type="paragraph" w:styleId="Sterktsitat">
    <w:name w:val="Intense Quote"/>
    <w:basedOn w:val="Normal"/>
    <w:next w:val="Normal"/>
    <w:link w:val="SterktsitatTegn"/>
    <w:uiPriority w:val="30"/>
    <w:qFormat/>
    <w:rsid w:val="006677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6775F"/>
    <w:rPr>
      <w:i/>
      <w:iCs/>
      <w:color w:val="0F4761" w:themeColor="accent1" w:themeShade="BF"/>
      <w:lang w:val="en-US"/>
    </w:rPr>
  </w:style>
  <w:style w:type="character" w:styleId="Sterkreferanse">
    <w:name w:val="Intense Reference"/>
    <w:basedOn w:val="Standardskriftforavsnitt"/>
    <w:uiPriority w:val="32"/>
    <w:qFormat/>
    <w:rsid w:val="0066775F"/>
    <w:rPr>
      <w:b/>
      <w:bCs/>
      <w:smallCaps/>
      <w:color w:val="0F4761" w:themeColor="accent1" w:themeShade="BF"/>
      <w:spacing w:val="5"/>
    </w:rPr>
  </w:style>
  <w:style w:type="paragraph" w:styleId="Bildetekst">
    <w:name w:val="caption"/>
    <w:basedOn w:val="Normal"/>
    <w:next w:val="Normal"/>
    <w:uiPriority w:val="35"/>
    <w:unhideWhenUsed/>
    <w:qFormat/>
    <w:rsid w:val="003B6502"/>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ed13d9f-21df-485d-909a-231f3c6d16f0}" enabled="0" method="" siteId="{fed13d9f-21df-485d-909a-231f3c6d16f0}" removed="1"/>
</clbl:labelList>
</file>

<file path=docProps/app.xml><?xml version="1.0" encoding="utf-8"?>
<Properties xmlns="http://schemas.openxmlformats.org/officeDocument/2006/extended-properties" xmlns:vt="http://schemas.openxmlformats.org/officeDocument/2006/docPropsVTypes">
  <Template>Normal</Template>
  <TotalTime>1180</TotalTime>
  <Pages>7</Pages>
  <Words>543</Words>
  <Characters>2881</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Nord universitet</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Kudusova</dc:creator>
  <cp:keywords/>
  <dc:description/>
  <cp:lastModifiedBy>Tamara Kudusova</cp:lastModifiedBy>
  <cp:revision>119</cp:revision>
  <dcterms:created xsi:type="dcterms:W3CDTF">2026-04-20T09:18:00Z</dcterms:created>
  <dcterms:modified xsi:type="dcterms:W3CDTF">2026-04-24T12:00:00Z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bf145c3e-cc70-4397-b01a-8a46400ed36a</vt:lpwstr>
  </property>
</Properties>
</file>