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4ABF" w14:textId="77777777" w:rsidR="00D97CBA" w:rsidRDefault="00D97CBA" w:rsidP="00D97CBA">
      <w:pPr>
        <w:spacing w:line="360" w:lineRule="auto"/>
        <w:rPr>
          <w:rFonts w:eastAsia="等线" w:cs="Times New Roman"/>
          <w:b/>
          <w:bCs/>
          <w:kern w:val="0"/>
          <w:sz w:val="22"/>
        </w:rPr>
      </w:pPr>
      <w:r>
        <w:rPr>
          <w:rFonts w:eastAsia="等线" w:cs="Times New Roman" w:hint="eastAsia"/>
          <w:b/>
          <w:bCs/>
          <w:kern w:val="0"/>
          <w:sz w:val="22"/>
        </w:rPr>
        <w:t xml:space="preserve">Supplementary </w:t>
      </w:r>
      <w:r>
        <w:rPr>
          <w:rFonts w:eastAsia="等线" w:cs="Times New Roman"/>
          <w:b/>
          <w:bCs/>
          <w:kern w:val="0"/>
          <w:sz w:val="22"/>
        </w:rPr>
        <w:t>material</w:t>
      </w:r>
      <w:r>
        <w:rPr>
          <w:rFonts w:eastAsia="等线" w:cs="Times New Roman" w:hint="eastAsia"/>
          <w:b/>
          <w:bCs/>
          <w:kern w:val="0"/>
          <w:sz w:val="22"/>
        </w:rPr>
        <w:t xml:space="preserve"> </w:t>
      </w:r>
    </w:p>
    <w:p w14:paraId="1E944CEB" w14:textId="77777777" w:rsidR="00D97CBA" w:rsidRDefault="00D97CBA" w:rsidP="00D97CBA">
      <w:pPr>
        <w:spacing w:line="360" w:lineRule="auto"/>
        <w:rPr>
          <w:rFonts w:eastAsiaTheme="minorEastAsia" w:cs="Times New Roman"/>
          <w:sz w:val="22"/>
        </w:rPr>
      </w:pPr>
      <w:bookmarkStart w:id="0" w:name="_Hlk219991617"/>
      <w:r w:rsidRPr="005964A9">
        <w:rPr>
          <w:rFonts w:eastAsiaTheme="minorEastAsia" w:cs="Times New Roman"/>
          <w:b/>
          <w:bCs/>
          <w:sz w:val="22"/>
        </w:rPr>
        <w:t xml:space="preserve">Supplementary </w:t>
      </w:r>
      <w:bookmarkEnd w:id="0"/>
      <w:r w:rsidRPr="005964A9">
        <w:rPr>
          <w:rFonts w:eastAsiaTheme="minorEastAsia" w:cs="Times New Roman"/>
          <w:b/>
          <w:bCs/>
          <w:sz w:val="22"/>
        </w:rPr>
        <w:t xml:space="preserve">Figure 1: Change in clinical indicators during follow-up in IMN patients with anti-PLA2R-antibody negative. </w:t>
      </w:r>
      <w:r w:rsidRPr="005964A9">
        <w:rPr>
          <w:rFonts w:eastAsiaTheme="minorEastAsia" w:cs="Times New Roman"/>
          <w:sz w:val="22"/>
        </w:rPr>
        <w:t xml:space="preserve">(A) proteinuria and serum albumin in total population; (B) eGFR in total population; (C) proteinuria and serum albumin in </w:t>
      </w:r>
      <w:proofErr w:type="spellStart"/>
      <w:r w:rsidRPr="005964A9">
        <w:rPr>
          <w:rFonts w:eastAsiaTheme="minorEastAsia" w:cs="Times New Roman"/>
          <w:sz w:val="22"/>
        </w:rPr>
        <w:t>SAb</w:t>
      </w:r>
      <w:proofErr w:type="spellEnd"/>
      <w:r w:rsidRPr="005964A9">
        <w:rPr>
          <w:rFonts w:eastAsiaTheme="minorEastAsia" w:cs="Times New Roman"/>
          <w:sz w:val="22"/>
        </w:rPr>
        <w:t>-/</w:t>
      </w:r>
      <w:proofErr w:type="spellStart"/>
      <w:r w:rsidRPr="005964A9">
        <w:rPr>
          <w:rFonts w:eastAsiaTheme="minorEastAsia" w:cs="Times New Roman"/>
          <w:sz w:val="22"/>
        </w:rPr>
        <w:t>GAg</w:t>
      </w:r>
      <w:proofErr w:type="spellEnd"/>
      <w:r w:rsidRPr="005964A9">
        <w:rPr>
          <w:rFonts w:eastAsiaTheme="minorEastAsia" w:cs="Times New Roman"/>
          <w:sz w:val="22"/>
        </w:rPr>
        <w:t xml:space="preserve">+; (D) eGFR in </w:t>
      </w:r>
      <w:proofErr w:type="spellStart"/>
      <w:r w:rsidRPr="005964A9">
        <w:rPr>
          <w:rFonts w:eastAsiaTheme="minorEastAsia" w:cs="Times New Roman"/>
          <w:sz w:val="22"/>
        </w:rPr>
        <w:t>SAb</w:t>
      </w:r>
      <w:proofErr w:type="spellEnd"/>
      <w:r w:rsidRPr="005964A9">
        <w:rPr>
          <w:rFonts w:eastAsiaTheme="minorEastAsia" w:cs="Times New Roman"/>
          <w:sz w:val="22"/>
        </w:rPr>
        <w:t>-/</w:t>
      </w:r>
      <w:proofErr w:type="spellStart"/>
      <w:r w:rsidRPr="005964A9">
        <w:rPr>
          <w:rFonts w:eastAsiaTheme="minorEastAsia" w:cs="Times New Roman"/>
          <w:sz w:val="22"/>
        </w:rPr>
        <w:t>GAg</w:t>
      </w:r>
      <w:proofErr w:type="spellEnd"/>
      <w:r w:rsidRPr="005964A9">
        <w:rPr>
          <w:rFonts w:eastAsiaTheme="minorEastAsia" w:cs="Times New Roman"/>
          <w:sz w:val="22"/>
        </w:rPr>
        <w:t xml:space="preserve">+. Data are presented as mean </w:t>
      </w:r>
      <w:r w:rsidRPr="005964A9">
        <w:rPr>
          <w:rFonts w:eastAsiaTheme="minorEastAsia" w:cs="Times New Roman"/>
          <w:sz w:val="22"/>
        </w:rPr>
        <w:sym w:font="Symbol" w:char="F0B1"/>
      </w:r>
      <w:r w:rsidRPr="005964A9">
        <w:rPr>
          <w:rFonts w:eastAsiaTheme="minorEastAsia" w:cs="Times New Roman"/>
          <w:sz w:val="22"/>
        </w:rPr>
        <w:t xml:space="preserve"> standard deviation by assigned treatment. eGFR: estimated glomerular filtration rate; RTX: rituximab.</w:t>
      </w:r>
    </w:p>
    <w:p w14:paraId="3A578A72" w14:textId="77777777" w:rsidR="00D97CBA" w:rsidRPr="005964A9" w:rsidRDefault="00D97CBA" w:rsidP="00D97CBA">
      <w:pPr>
        <w:spacing w:line="360" w:lineRule="auto"/>
        <w:rPr>
          <w:rFonts w:eastAsiaTheme="minorEastAsia" w:cs="Times New Roman"/>
          <w:b/>
          <w:bCs/>
          <w:sz w:val="22"/>
        </w:rPr>
      </w:pPr>
    </w:p>
    <w:p w14:paraId="4B66FE4C" w14:textId="77777777" w:rsidR="00D97CBA" w:rsidRDefault="00D97CBA" w:rsidP="00D97CBA">
      <w:pPr>
        <w:spacing w:line="360" w:lineRule="auto"/>
        <w:rPr>
          <w:rFonts w:eastAsia="等线" w:cs="Times New Roman"/>
          <w:b/>
          <w:bCs/>
          <w:kern w:val="0"/>
          <w:sz w:val="22"/>
        </w:rPr>
      </w:pPr>
      <w:r>
        <w:rPr>
          <w:rFonts w:eastAsia="等线" w:cs="Times New Roman" w:hint="eastAsia"/>
          <w:b/>
          <w:bCs/>
          <w:noProof/>
          <w:kern w:val="0"/>
          <w:sz w:val="22"/>
        </w:rPr>
        <w:drawing>
          <wp:inline distT="0" distB="0" distL="0" distR="0" wp14:anchorId="0A908ADB" wp14:editId="662BA097">
            <wp:extent cx="6644640" cy="4259580"/>
            <wp:effectExtent l="0" t="0" r="3810" b="7620"/>
            <wp:docPr id="1652039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425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67D01" w14:textId="77777777" w:rsidR="00D97CBA" w:rsidRDefault="00D97CBA" w:rsidP="00D97CBA">
      <w:pPr>
        <w:spacing w:line="360" w:lineRule="auto"/>
        <w:rPr>
          <w:rFonts w:eastAsia="等线" w:cs="Times New Roman"/>
          <w:b/>
          <w:bCs/>
          <w:kern w:val="0"/>
          <w:sz w:val="22"/>
        </w:rPr>
        <w:sectPr w:rsidR="00D97CBA" w:rsidSect="00D97CBA">
          <w:pgSz w:w="11906" w:h="16838" w:code="9"/>
          <w:pgMar w:top="720" w:right="720" w:bottom="720" w:left="720" w:header="1701" w:footer="1701" w:gutter="0"/>
          <w:cols w:space="425"/>
          <w:docGrid w:type="linesAndChars" w:linePitch="326"/>
        </w:sectPr>
      </w:pPr>
    </w:p>
    <w:p w14:paraId="4A666F92" w14:textId="77777777" w:rsidR="00D97CBA" w:rsidRDefault="00D97CBA" w:rsidP="00D97CBA">
      <w:pPr>
        <w:spacing w:line="360" w:lineRule="auto"/>
        <w:rPr>
          <w:rFonts w:eastAsiaTheme="minorEastAsia" w:cs="Times New Roman"/>
          <w:color w:val="000000" w:themeColor="text1"/>
          <w:sz w:val="22"/>
        </w:rPr>
      </w:pPr>
      <w:r w:rsidRPr="005964A9">
        <w:rPr>
          <w:rFonts w:eastAsiaTheme="minorEastAsia" w:cs="Times New Roman"/>
          <w:b/>
          <w:bCs/>
          <w:sz w:val="22"/>
        </w:rPr>
        <w:lastRenderedPageBreak/>
        <w:t>Supplementary Figure 2: Subgroup</w:t>
      </w:r>
      <w:r w:rsidRPr="005964A9">
        <w:rPr>
          <w:rFonts w:eastAsiaTheme="minorEastAsia" w:cs="Times New Roman"/>
          <w:b/>
          <w:bCs/>
          <w:color w:val="000000" w:themeColor="text1"/>
          <w:sz w:val="22"/>
        </w:rPr>
        <w:t xml:space="preserve"> analyses of the association between treatment regimen and 15 months complete remission.</w:t>
      </w:r>
      <w:r w:rsidRPr="005964A9">
        <w:rPr>
          <w:rFonts w:eastAsiaTheme="minorEastAsia" w:cs="Times New Roman"/>
          <w:color w:val="000000" w:themeColor="text1"/>
          <w:sz w:val="22"/>
        </w:rPr>
        <w:t xml:space="preserve"> </w:t>
      </w:r>
      <w:r w:rsidRPr="005964A9">
        <w:rPr>
          <w:rFonts w:eastAsiaTheme="minorEastAsia" w:cs="Times New Roman"/>
          <w:sz w:val="22"/>
        </w:rPr>
        <w:t xml:space="preserve">(A) all population; (B) </w:t>
      </w:r>
      <w:proofErr w:type="spellStart"/>
      <w:r w:rsidRPr="005964A9">
        <w:rPr>
          <w:rFonts w:eastAsiaTheme="minorEastAsia" w:cs="Times New Roman"/>
          <w:sz w:val="22"/>
        </w:rPr>
        <w:t>SAb</w:t>
      </w:r>
      <w:proofErr w:type="spellEnd"/>
      <w:r w:rsidRPr="005964A9">
        <w:rPr>
          <w:rFonts w:eastAsiaTheme="minorEastAsia" w:cs="Times New Roman"/>
          <w:sz w:val="22"/>
        </w:rPr>
        <w:t>-/</w:t>
      </w:r>
      <w:proofErr w:type="spellStart"/>
      <w:r w:rsidRPr="005964A9">
        <w:rPr>
          <w:rFonts w:eastAsiaTheme="minorEastAsia" w:cs="Times New Roman"/>
          <w:sz w:val="22"/>
        </w:rPr>
        <w:t>GAg</w:t>
      </w:r>
      <w:proofErr w:type="spellEnd"/>
      <w:r w:rsidRPr="005964A9">
        <w:rPr>
          <w:rFonts w:eastAsiaTheme="minorEastAsia" w:cs="Times New Roman"/>
          <w:sz w:val="22"/>
        </w:rPr>
        <w:t>+ subgroup.</w:t>
      </w:r>
      <w:r>
        <w:rPr>
          <w:rFonts w:eastAsiaTheme="minorEastAsia" w:cs="Times New Roman" w:hint="eastAsia"/>
          <w:sz w:val="22"/>
        </w:rPr>
        <w:t xml:space="preserve"> </w:t>
      </w:r>
      <w:r w:rsidRPr="005964A9">
        <w:rPr>
          <w:rFonts w:eastAsiaTheme="minorEastAsia" w:cs="Times New Roman"/>
          <w:color w:val="000000" w:themeColor="text1"/>
          <w:sz w:val="22"/>
        </w:rPr>
        <w:t>Adjusted for age, sex, SBP, DBP, pathological, proteinuria, eGFR, and albumin.</w:t>
      </w:r>
    </w:p>
    <w:p w14:paraId="56D31692" w14:textId="77777777" w:rsidR="00D97CBA" w:rsidRPr="005964A9" w:rsidRDefault="00D97CBA" w:rsidP="00D97CBA">
      <w:pPr>
        <w:spacing w:line="360" w:lineRule="auto"/>
        <w:rPr>
          <w:rFonts w:eastAsiaTheme="minorEastAsia" w:cs="Times New Roman"/>
          <w:color w:val="000000" w:themeColor="text1"/>
          <w:sz w:val="22"/>
        </w:rPr>
      </w:pPr>
    </w:p>
    <w:p w14:paraId="7B15B368" w14:textId="77777777" w:rsidR="00D97CBA" w:rsidRPr="000B78B9" w:rsidRDefault="00D97CBA" w:rsidP="00D97CBA">
      <w:pPr>
        <w:spacing w:line="360" w:lineRule="auto"/>
        <w:rPr>
          <w:rFonts w:eastAsia="等线" w:cs="Times New Roman"/>
          <w:b/>
          <w:bCs/>
          <w:kern w:val="0"/>
          <w:sz w:val="22"/>
        </w:rPr>
      </w:pPr>
      <w:r>
        <w:rPr>
          <w:rFonts w:eastAsia="等线" w:cs="Times New Roman" w:hint="eastAsia"/>
          <w:b/>
          <w:bCs/>
          <w:noProof/>
          <w:kern w:val="0"/>
          <w:sz w:val="22"/>
        </w:rPr>
        <w:drawing>
          <wp:inline distT="0" distB="0" distL="0" distR="0" wp14:anchorId="32BCA111" wp14:editId="097BC559">
            <wp:extent cx="6644640" cy="3649980"/>
            <wp:effectExtent l="0" t="0" r="3810" b="7620"/>
            <wp:docPr id="178848918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D94F3" w14:textId="77777777" w:rsidR="0039488E" w:rsidRDefault="0039488E"/>
    <w:sectPr w:rsidR="0039488E" w:rsidSect="00D97CBA">
      <w:pgSz w:w="11906" w:h="16838" w:code="9"/>
      <w:pgMar w:top="720" w:right="720" w:bottom="720" w:left="720" w:header="1701" w:footer="1701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80FBF" w14:textId="77777777" w:rsidR="003367DD" w:rsidRDefault="003367DD" w:rsidP="00D97CBA">
      <w:pPr>
        <w:rPr>
          <w:rFonts w:hint="eastAsia"/>
        </w:rPr>
      </w:pPr>
      <w:r>
        <w:separator/>
      </w:r>
    </w:p>
  </w:endnote>
  <w:endnote w:type="continuationSeparator" w:id="0">
    <w:p w14:paraId="7FB5EED9" w14:textId="77777777" w:rsidR="003367DD" w:rsidRDefault="003367DD" w:rsidP="00D97C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1877B" w14:textId="77777777" w:rsidR="003367DD" w:rsidRDefault="003367DD" w:rsidP="00D97CBA">
      <w:pPr>
        <w:rPr>
          <w:rFonts w:hint="eastAsia"/>
        </w:rPr>
      </w:pPr>
      <w:r>
        <w:separator/>
      </w:r>
    </w:p>
  </w:footnote>
  <w:footnote w:type="continuationSeparator" w:id="0">
    <w:p w14:paraId="783DF8B6" w14:textId="77777777" w:rsidR="003367DD" w:rsidRDefault="003367DD" w:rsidP="00D97CB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8E"/>
    <w:rsid w:val="003367DD"/>
    <w:rsid w:val="003561FE"/>
    <w:rsid w:val="0039488E"/>
    <w:rsid w:val="00D9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BB88B5B-68B7-4290-8C3C-A035CE59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CBA"/>
    <w:pPr>
      <w:spacing w:after="0" w:line="240" w:lineRule="auto"/>
      <w:jc w:val="both"/>
    </w:pPr>
    <w:rPr>
      <w:rFonts w:ascii="Times New Roman" w:eastAsia="Times New Roman" w:hAnsi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488E"/>
    <w:pPr>
      <w:keepNext/>
      <w:keepLines/>
      <w:widowControl w:val="0"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88E"/>
    <w:pPr>
      <w:keepNext/>
      <w:keepLines/>
      <w:widowControl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88E"/>
    <w:pPr>
      <w:keepNext/>
      <w:keepLines/>
      <w:widowControl w:val="0"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88E"/>
    <w:pPr>
      <w:keepNext/>
      <w:keepLines/>
      <w:widowControl w:val="0"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88E"/>
    <w:pPr>
      <w:keepNext/>
      <w:keepLines/>
      <w:widowControl w:val="0"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88E"/>
    <w:pPr>
      <w:keepNext/>
      <w:keepLines/>
      <w:widowControl w:val="0"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88E"/>
    <w:pPr>
      <w:keepNext/>
      <w:keepLines/>
      <w:widowControl w:val="0"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88E"/>
    <w:pPr>
      <w:keepNext/>
      <w:keepLines/>
      <w:widowControl w:val="0"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88E"/>
    <w:pPr>
      <w:keepNext/>
      <w:keepLines/>
      <w:widowControl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8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8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8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8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8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8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8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88E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94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88E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94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88E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94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88E"/>
    <w:pPr>
      <w:widowControl w:val="0"/>
      <w:spacing w:after="160" w:line="278" w:lineRule="auto"/>
      <w:ind w:left="720"/>
      <w:contextualSpacing/>
      <w:jc w:val="left"/>
    </w:pPr>
    <w:rPr>
      <w:rFonts w:asciiTheme="minorHAnsi" w:eastAsiaTheme="minorEastAsia" w:hAnsiTheme="minorHAns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948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88E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948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88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97CBA"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97CB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97CBA"/>
    <w:pPr>
      <w:widowControl w:val="0"/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97C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590</Characters>
  <Application>Microsoft Office Word</Application>
  <DocSecurity>0</DocSecurity>
  <Lines>13</Lines>
  <Paragraphs>4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 木</dc:creator>
  <cp:keywords/>
  <dc:description/>
  <cp:lastModifiedBy>日 木</cp:lastModifiedBy>
  <cp:revision>2</cp:revision>
  <dcterms:created xsi:type="dcterms:W3CDTF">2026-04-08T02:07:00Z</dcterms:created>
  <dcterms:modified xsi:type="dcterms:W3CDTF">2026-04-08T02:07:00Z</dcterms:modified>
</cp:coreProperties>
</file>