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1CDF" w14:textId="77777777" w:rsidR="00EB2E81" w:rsidRPr="0001487D" w:rsidRDefault="00EB2E81" w:rsidP="00EB2E81">
      <w:pPr>
        <w:spacing w:before="300" w:after="120" w:line="288" w:lineRule="auto"/>
        <w:jc w:val="left"/>
        <w:outlineLvl w:val="2"/>
        <w:rPr>
          <w:rFonts w:ascii="Arial" w:eastAsia="DengXian" w:hAnsi="Arial" w:cs="Arial"/>
          <w:b/>
          <w:color w:val="000000"/>
          <w:sz w:val="22"/>
          <w:lang w:eastAsia="zh-CN"/>
        </w:rPr>
      </w:pPr>
      <w:r w:rsidRPr="0001487D">
        <w:rPr>
          <w:rFonts w:ascii="Arial" w:eastAsia="DengXian" w:hAnsi="Arial" w:cs="Arial"/>
          <w:b/>
          <w:color w:val="000000"/>
          <w:sz w:val="22"/>
          <w:lang w:eastAsia="zh-CN"/>
        </w:rPr>
        <w:t>Supplementary Table S1 Variance inflation factor (VIF) of each variable in the final model</w:t>
      </w:r>
    </w:p>
    <w:tbl>
      <w:tblPr>
        <w:tblStyle w:val="a"/>
        <w:tblW w:w="8425" w:type="dxa"/>
        <w:tblLayout w:type="fixed"/>
        <w:tblLook w:val="04A0" w:firstRow="1" w:lastRow="0" w:firstColumn="1" w:lastColumn="0" w:noHBand="0" w:noVBand="1"/>
      </w:tblPr>
      <w:tblGrid>
        <w:gridCol w:w="3137"/>
        <w:gridCol w:w="968"/>
        <w:gridCol w:w="3097"/>
        <w:gridCol w:w="1223"/>
      </w:tblGrid>
      <w:tr w:rsidR="00EB2E81" w:rsidRPr="0001487D" w14:paraId="002D70B4" w14:textId="77777777" w:rsidTr="005E4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37" w:type="dxa"/>
          </w:tcPr>
          <w:p w14:paraId="14F881B6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 xml:space="preserve">Variables at </w:t>
            </w: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  <w:lang w:eastAsia="zh-CN"/>
              </w:rPr>
              <w:t xml:space="preserve">the 2ed </w:t>
            </w: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 xml:space="preserve">Month </w:t>
            </w:r>
          </w:p>
        </w:tc>
        <w:tc>
          <w:tcPr>
            <w:tcW w:w="968" w:type="dxa"/>
          </w:tcPr>
          <w:p w14:paraId="1C94EFC5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VIF</w:t>
            </w:r>
          </w:p>
        </w:tc>
        <w:tc>
          <w:tcPr>
            <w:tcW w:w="3097" w:type="dxa"/>
          </w:tcPr>
          <w:p w14:paraId="18BF2B71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  <w:lang w:eastAsia="zh-CN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 xml:space="preserve">Variables at </w:t>
            </w: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  <w:lang w:eastAsia="zh-CN"/>
              </w:rPr>
              <w:t xml:space="preserve">the 6th </w:t>
            </w: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 xml:space="preserve">Month </w:t>
            </w:r>
          </w:p>
        </w:tc>
        <w:tc>
          <w:tcPr>
            <w:tcW w:w="1223" w:type="dxa"/>
          </w:tcPr>
          <w:p w14:paraId="78F23D7A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VIF</w:t>
            </w:r>
          </w:p>
        </w:tc>
      </w:tr>
      <w:tr w:rsidR="00EB2E81" w:rsidRPr="0001487D" w14:paraId="2E4B0119" w14:textId="77777777" w:rsidTr="005E4812">
        <w:tc>
          <w:tcPr>
            <w:tcW w:w="3137" w:type="dxa"/>
          </w:tcPr>
          <w:p w14:paraId="6A4954C6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COPD</w:t>
            </w:r>
          </w:p>
        </w:tc>
        <w:tc>
          <w:tcPr>
            <w:tcW w:w="968" w:type="dxa"/>
          </w:tcPr>
          <w:p w14:paraId="1A46104B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1.205</w:t>
            </w:r>
          </w:p>
        </w:tc>
        <w:tc>
          <w:tcPr>
            <w:tcW w:w="3097" w:type="dxa"/>
          </w:tcPr>
          <w:p w14:paraId="0CEBBF60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Sputum culture</w:t>
            </w:r>
          </w:p>
        </w:tc>
        <w:tc>
          <w:tcPr>
            <w:tcW w:w="1223" w:type="dxa"/>
          </w:tcPr>
          <w:p w14:paraId="4B198D35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1.398</w:t>
            </w:r>
          </w:p>
        </w:tc>
      </w:tr>
      <w:tr w:rsidR="00EB2E81" w:rsidRPr="0001487D" w14:paraId="6025EAF7" w14:textId="77777777" w:rsidTr="005E4812">
        <w:tc>
          <w:tcPr>
            <w:tcW w:w="3137" w:type="dxa"/>
          </w:tcPr>
          <w:p w14:paraId="0E75E391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PNI</w:t>
            </w:r>
          </w:p>
        </w:tc>
        <w:tc>
          <w:tcPr>
            <w:tcW w:w="968" w:type="dxa"/>
          </w:tcPr>
          <w:p w14:paraId="5BA7F017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1.662</w:t>
            </w:r>
          </w:p>
        </w:tc>
        <w:tc>
          <w:tcPr>
            <w:tcW w:w="3097" w:type="dxa"/>
          </w:tcPr>
          <w:p w14:paraId="54B287F5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PLR</w:t>
            </w:r>
          </w:p>
        </w:tc>
        <w:tc>
          <w:tcPr>
            <w:tcW w:w="1223" w:type="dxa"/>
          </w:tcPr>
          <w:p w14:paraId="6016A788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2.091</w:t>
            </w:r>
          </w:p>
        </w:tc>
      </w:tr>
      <w:tr w:rsidR="00EB2E81" w:rsidRPr="0001487D" w14:paraId="0487B84F" w14:textId="77777777" w:rsidTr="005E4812">
        <w:tc>
          <w:tcPr>
            <w:tcW w:w="3137" w:type="dxa"/>
          </w:tcPr>
          <w:p w14:paraId="29B3E86A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Age</w:t>
            </w:r>
          </w:p>
        </w:tc>
        <w:tc>
          <w:tcPr>
            <w:tcW w:w="968" w:type="dxa"/>
          </w:tcPr>
          <w:p w14:paraId="75E7E673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1.337</w:t>
            </w:r>
          </w:p>
        </w:tc>
        <w:tc>
          <w:tcPr>
            <w:tcW w:w="3097" w:type="dxa"/>
          </w:tcPr>
          <w:p w14:paraId="5C80AF9A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ALB</w:t>
            </w:r>
          </w:p>
        </w:tc>
        <w:tc>
          <w:tcPr>
            <w:tcW w:w="1223" w:type="dxa"/>
          </w:tcPr>
          <w:p w14:paraId="4FDDA174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1.236</w:t>
            </w:r>
          </w:p>
        </w:tc>
      </w:tr>
      <w:tr w:rsidR="00EB2E81" w:rsidRPr="0001487D" w14:paraId="24DC2F38" w14:textId="77777777" w:rsidTr="005E4812">
        <w:tc>
          <w:tcPr>
            <w:tcW w:w="3137" w:type="dxa"/>
          </w:tcPr>
          <w:p w14:paraId="65B66804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Pulmonary cavity</w:t>
            </w:r>
          </w:p>
        </w:tc>
        <w:tc>
          <w:tcPr>
            <w:tcW w:w="968" w:type="dxa"/>
          </w:tcPr>
          <w:p w14:paraId="21C15FEF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1.055</w:t>
            </w:r>
          </w:p>
        </w:tc>
        <w:tc>
          <w:tcPr>
            <w:tcW w:w="3097" w:type="dxa"/>
          </w:tcPr>
          <w:p w14:paraId="128A1EAE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PNI</w:t>
            </w:r>
          </w:p>
        </w:tc>
        <w:tc>
          <w:tcPr>
            <w:tcW w:w="1223" w:type="dxa"/>
          </w:tcPr>
          <w:p w14:paraId="57C7BE4B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1.626</w:t>
            </w:r>
          </w:p>
        </w:tc>
      </w:tr>
      <w:tr w:rsidR="00EB2E81" w:rsidRPr="0001487D" w14:paraId="6E1E49BA" w14:textId="77777777" w:rsidTr="005E4812">
        <w:tc>
          <w:tcPr>
            <w:tcW w:w="3137" w:type="dxa"/>
          </w:tcPr>
          <w:p w14:paraId="2E0C475E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CD4</w:t>
            </w: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  <w:vertAlign w:val="superscript"/>
              </w:rPr>
              <w:t>+</w:t>
            </w:r>
          </w:p>
        </w:tc>
        <w:tc>
          <w:tcPr>
            <w:tcW w:w="968" w:type="dxa"/>
          </w:tcPr>
          <w:p w14:paraId="281ABAB1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1.501</w:t>
            </w:r>
          </w:p>
        </w:tc>
        <w:tc>
          <w:tcPr>
            <w:tcW w:w="3097" w:type="dxa"/>
          </w:tcPr>
          <w:p w14:paraId="2478CE1A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–</w:t>
            </w:r>
          </w:p>
        </w:tc>
        <w:tc>
          <w:tcPr>
            <w:tcW w:w="1223" w:type="dxa"/>
          </w:tcPr>
          <w:p w14:paraId="49877EF5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–</w:t>
            </w:r>
          </w:p>
        </w:tc>
      </w:tr>
      <w:tr w:rsidR="00EB2E81" w:rsidRPr="0001487D" w14:paraId="7B6D8E8C" w14:textId="77777777" w:rsidTr="005E4812">
        <w:tc>
          <w:tcPr>
            <w:tcW w:w="3137" w:type="dxa"/>
          </w:tcPr>
          <w:p w14:paraId="1AFF64C6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PLR</w:t>
            </w:r>
          </w:p>
        </w:tc>
        <w:tc>
          <w:tcPr>
            <w:tcW w:w="968" w:type="dxa"/>
          </w:tcPr>
          <w:p w14:paraId="52C9D1AD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1.743</w:t>
            </w:r>
          </w:p>
        </w:tc>
        <w:tc>
          <w:tcPr>
            <w:tcW w:w="3097" w:type="dxa"/>
          </w:tcPr>
          <w:p w14:paraId="237DBA35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–</w:t>
            </w:r>
          </w:p>
        </w:tc>
        <w:tc>
          <w:tcPr>
            <w:tcW w:w="1223" w:type="dxa"/>
          </w:tcPr>
          <w:p w14:paraId="295D4D5C" w14:textId="77777777" w:rsidR="00EB2E81" w:rsidRPr="0001487D" w:rsidRDefault="00EB2E81" w:rsidP="005E4812">
            <w:pPr>
              <w:spacing w:line="375" w:lineRule="atLeast"/>
              <w:rPr>
                <w:rFonts w:ascii="Segoe UI" w:eastAsia="SimSun" w:hAnsi="Segoe UI" w:cs="Segoe UI"/>
                <w:color w:val="000000"/>
                <w:sz w:val="23"/>
                <w:szCs w:val="23"/>
              </w:rPr>
            </w:pPr>
            <w:r w:rsidRPr="0001487D">
              <w:rPr>
                <w:rFonts w:ascii="Segoe UI" w:eastAsia="SimSun" w:hAnsi="Segoe UI" w:cs="Segoe UI"/>
                <w:color w:val="000000"/>
                <w:sz w:val="23"/>
                <w:szCs w:val="23"/>
              </w:rPr>
              <w:t>–</w:t>
            </w:r>
          </w:p>
        </w:tc>
      </w:tr>
    </w:tbl>
    <w:p w14:paraId="35027FAE" w14:textId="77777777" w:rsidR="00EB2E81" w:rsidRPr="0001487D" w:rsidRDefault="00EB2E81" w:rsidP="00EB2E81">
      <w:pPr>
        <w:spacing w:before="300" w:after="120" w:line="288" w:lineRule="auto"/>
        <w:jc w:val="left"/>
        <w:outlineLvl w:val="2"/>
        <w:rPr>
          <w:rFonts w:ascii="Arial" w:eastAsia="DengXian" w:hAnsi="Arial" w:cs="Arial"/>
          <w:color w:val="000000"/>
          <w:sz w:val="22"/>
          <w:lang w:eastAsia="zh-CN"/>
        </w:rPr>
      </w:pPr>
      <w:r w:rsidRPr="0001487D">
        <w:rPr>
          <w:rFonts w:ascii="Arial" w:eastAsia="DengXian" w:hAnsi="Arial" w:cs="Arial"/>
          <w:b/>
          <w:color w:val="000000"/>
          <w:sz w:val="22"/>
          <w:lang w:eastAsia="zh-CN"/>
        </w:rPr>
        <w:t xml:space="preserve">Note: </w:t>
      </w:r>
      <w:r w:rsidRPr="0001487D">
        <w:rPr>
          <w:rFonts w:ascii="Arial" w:eastAsia="DengXian" w:hAnsi="Arial" w:cs="Arial"/>
          <w:color w:val="000000"/>
          <w:sz w:val="22"/>
          <w:lang w:eastAsia="zh-CN"/>
        </w:rPr>
        <w:t>VIF &lt; 5 indicates no severe multicollinearity.</w:t>
      </w:r>
    </w:p>
    <w:p w14:paraId="6D0A20EF" w14:textId="77777777" w:rsidR="005C5F57" w:rsidRDefault="005C5F57"/>
    <w:sectPr w:rsidR="005C5F5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7441" w14:textId="77777777" w:rsidR="00D06B75" w:rsidRDefault="00D06B75" w:rsidP="00EB2E81">
      <w:r>
        <w:separator/>
      </w:r>
    </w:p>
  </w:endnote>
  <w:endnote w:type="continuationSeparator" w:id="0">
    <w:p w14:paraId="6AE62F3A" w14:textId="77777777" w:rsidR="00D06B75" w:rsidRDefault="00D06B75" w:rsidP="00EB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1607" w14:textId="65B0A317" w:rsidR="00EB2E81" w:rsidRDefault="00EB2E8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DA0CB" wp14:editId="095754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414611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9BAB" w14:textId="76F1D758" w:rsidR="00EB2E81" w:rsidRPr="00EB2E81" w:rsidRDefault="00EB2E81" w:rsidP="00EB2E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2E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DA0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BC59BAB" w14:textId="76F1D758" w:rsidR="00EB2E81" w:rsidRPr="00EB2E81" w:rsidRDefault="00EB2E81" w:rsidP="00EB2E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2E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2DC9" w14:textId="247808ED" w:rsidR="00EB2E81" w:rsidRDefault="00EB2E8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FB365A" wp14:editId="3422079B">
              <wp:simplePos x="91440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998398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7EF1D" w14:textId="74ECFAE2" w:rsidR="00EB2E81" w:rsidRPr="00EB2E81" w:rsidRDefault="00EB2E81" w:rsidP="00EB2E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2E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B36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87EF1D" w14:textId="74ECFAE2" w:rsidR="00EB2E81" w:rsidRPr="00EB2E81" w:rsidRDefault="00EB2E81" w:rsidP="00EB2E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2E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F330" w14:textId="1A348C88" w:rsidR="00EB2E81" w:rsidRDefault="00EB2E8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00057C" wp14:editId="4BF920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158014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087A6" w14:textId="6180A992" w:rsidR="00EB2E81" w:rsidRPr="00EB2E81" w:rsidRDefault="00EB2E81" w:rsidP="00EB2E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2E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005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8A087A6" w14:textId="6180A992" w:rsidR="00EB2E81" w:rsidRPr="00EB2E81" w:rsidRDefault="00EB2E81" w:rsidP="00EB2E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2E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31CB" w14:textId="77777777" w:rsidR="00D06B75" w:rsidRDefault="00D06B75" w:rsidP="00EB2E81">
      <w:r>
        <w:separator/>
      </w:r>
    </w:p>
  </w:footnote>
  <w:footnote w:type="continuationSeparator" w:id="0">
    <w:p w14:paraId="44B76319" w14:textId="77777777" w:rsidR="00D06B75" w:rsidRDefault="00D06B75" w:rsidP="00EB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81"/>
    <w:rsid w:val="005C5F57"/>
    <w:rsid w:val="007C1C51"/>
    <w:rsid w:val="00A52A61"/>
    <w:rsid w:val="00D06B75"/>
    <w:rsid w:val="00D8703E"/>
    <w:rsid w:val="00E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0494"/>
  <w15:chartTrackingRefBased/>
  <w15:docId w15:val="{53224212-3E4C-47ED-80B1-542162E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81"/>
    <w:pPr>
      <w:widowControl w:val="0"/>
      <w:spacing w:after="0" w:line="240" w:lineRule="auto"/>
      <w:jc w:val="both"/>
    </w:pPr>
    <w:rPr>
      <w:rFonts w:eastAsiaTheme="minorEastAsia"/>
      <w:kern w:val="0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E81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E8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E81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E81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E81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E81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E81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E81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E81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E8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81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E81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2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E81"/>
    <w:pPr>
      <w:widowControl/>
      <w:spacing w:after="160" w:line="259" w:lineRule="auto"/>
      <w:ind w:left="720"/>
      <w:contextualSpacing/>
      <w:jc w:val="left"/>
    </w:pPr>
    <w:rPr>
      <w:rFonts w:eastAsiaTheme="minorHAnsi"/>
      <w:kern w:val="2"/>
      <w:sz w:val="2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2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E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E81"/>
    <w:rPr>
      <w:b/>
      <w:bCs/>
      <w:smallCaps/>
      <w:color w:val="0F4761" w:themeColor="accent1" w:themeShade="BF"/>
      <w:spacing w:val="5"/>
    </w:rPr>
  </w:style>
  <w:style w:type="table" w:customStyle="1" w:styleId="a">
    <w:name w:val="三线表"/>
    <w:basedOn w:val="TableNormal"/>
    <w:uiPriority w:val="99"/>
    <w:qFormat/>
    <w:rsid w:val="00EB2E81"/>
    <w:pPr>
      <w:spacing w:after="0" w:line="360" w:lineRule="exact"/>
    </w:pPr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B2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E81"/>
    <w:rPr>
      <w:rFonts w:eastAsiaTheme="minorEastAsia"/>
      <w:kern w:val="0"/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Grace</dc:creator>
  <cp:keywords/>
  <dc:description/>
  <cp:lastModifiedBy>Buchanan, Grace</cp:lastModifiedBy>
  <cp:revision>1</cp:revision>
  <dcterms:created xsi:type="dcterms:W3CDTF">2026-05-06T19:45:00Z</dcterms:created>
  <dcterms:modified xsi:type="dcterms:W3CDTF">2026-05-06T19:46:00Z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6c3aee8c,263beb6e,713d413c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2026-05-06T19:46:20Z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ade86312-7c59-411d-911b-dc3b8adff3e3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