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ACF7">
      <w:pPr>
        <w:spacing w:line="360" w:lineRule="auto"/>
        <w:rPr>
          <w:rFonts w:hint="eastAsia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</w:rPr>
        <w:t>Supplementary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1 </w:t>
      </w:r>
      <w:r>
        <w:rPr>
          <w:rFonts w:hint="default" w:ascii="Times New Roman" w:hAnsi="Times New Roman" w:cs="Times New Roman"/>
          <w:b/>
          <w:bCs/>
        </w:rPr>
        <w:t>Primer sequences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in </w:t>
      </w:r>
      <w:r>
        <w:rPr>
          <w:rFonts w:hint="eastAsia" w:ascii="Times New Roman" w:hAnsi="Times New Roman" w:cs="Times New Roman"/>
          <w:b/>
          <w:bCs/>
          <w:lang w:eastAsia="zh-CN"/>
        </w:rPr>
        <w:t>qRT-PCR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01"/>
        <w:gridCol w:w="6605"/>
      </w:tblGrid>
      <w:tr w14:paraId="7150B1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C71DCA">
            <w:pPr>
              <w:pStyle w:val="3"/>
              <w:spacing w:line="360" w:lineRule="auto"/>
              <w:ind w:firstLine="0" w:firstLineChars="0"/>
              <w:rPr>
                <w:rStyle w:val="6"/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Gene</w:t>
            </w:r>
          </w:p>
        </w:tc>
        <w:tc>
          <w:tcPr>
            <w:tcW w:w="6605" w:type="dxa"/>
            <w:tcBorders>
              <w:bottom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ED867">
            <w:pPr>
              <w:pStyle w:val="3"/>
              <w:spacing w:line="360" w:lineRule="auto"/>
              <w:ind w:firstLine="0" w:firstLineChars="0"/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S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equence（5</w:t>
            </w:r>
            <w:r>
              <w:rPr>
                <w:rStyle w:val="6"/>
                <w:rFonts w:hint="default" w:ascii="Times New Roman" w:hAnsi="Times New Roman" w:eastAsia="微软雅黑" w:cs="Times New Roman"/>
                <w:sz w:val="21"/>
                <w:szCs w:val="21"/>
              </w:rPr>
              <w:t>'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-3</w:t>
            </w:r>
            <w:r>
              <w:rPr>
                <w:rStyle w:val="6"/>
                <w:rFonts w:hint="default" w:ascii="Times New Roman" w:hAnsi="Times New Roman" w:eastAsia="微软雅黑" w:cs="Times New Roman"/>
                <w:sz w:val="21"/>
                <w:szCs w:val="21"/>
              </w:rPr>
              <w:t>'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14:paraId="6ECEF6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AB7DB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FKBP5-F</w:t>
            </w:r>
          </w:p>
        </w:tc>
        <w:tc>
          <w:tcPr>
            <w:tcW w:w="6605" w:type="dxa"/>
            <w:tcBorders>
              <w:top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C1E9B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GAATGCTGTGACAAGGCCC</w:t>
            </w:r>
          </w:p>
        </w:tc>
      </w:tr>
      <w:tr w14:paraId="24A1E8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E1377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FKB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Cs w:val="21"/>
              </w:rPr>
              <w:t>P5-R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DA50E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GTCACCCTTGGCTGACTCAA</w:t>
            </w:r>
          </w:p>
        </w:tc>
      </w:tr>
      <w:tr w14:paraId="43CAA6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164D7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HLA-DQA1-F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67886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TGAAACACTGGGAGCCTGAG</w:t>
            </w:r>
          </w:p>
        </w:tc>
      </w:tr>
      <w:tr w14:paraId="4AA879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A55C2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HLA-DQA1-R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8EBBC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CATGAGGCCCACAGACAACC</w:t>
            </w:r>
          </w:p>
        </w:tc>
      </w:tr>
      <w:tr w14:paraId="354CA6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B6E36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GAPDH-F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FDD61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AGGCCGGATGTGTTCGC</w:t>
            </w:r>
          </w:p>
        </w:tc>
      </w:tr>
      <w:tr w14:paraId="50E51E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0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500BD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GAPDH-R</w:t>
            </w:r>
          </w:p>
        </w:tc>
        <w:tc>
          <w:tcPr>
            <w:tcW w:w="66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A503D">
            <w:pPr>
              <w:widowControl/>
              <w:spacing w:line="435" w:lineRule="atLeast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CAAATCCGTTGACTCCGACC</w:t>
            </w:r>
          </w:p>
        </w:tc>
      </w:tr>
      <w:bookmarkEnd w:id="0"/>
    </w:tbl>
    <w:p w14:paraId="710A586E"/>
    <w:p w14:paraId="3610FEB4">
      <w:pPr>
        <w:pStyle w:val="3"/>
        <w:widowControl/>
        <w:spacing w:beforeAutospacing="0" w:afterAutospacing="0" w:line="360" w:lineRule="auto"/>
        <w:jc w:val="both"/>
        <w:rPr>
          <w:rFonts w:ascii="Times New Roman" w:hAnsi="Times New Roman" w:eastAsia="宋体"/>
          <w:b/>
          <w:bCs/>
          <w:color w:val="0000FF"/>
          <w:sz w:val="18"/>
          <w:szCs w:val="18"/>
        </w:rPr>
      </w:pPr>
      <w:r>
        <w:rPr>
          <w:rFonts w:ascii="Times New Roman" w:hAnsi="Times New Roman" w:eastAsia="宋体"/>
          <w:b/>
          <w:bCs/>
          <w:color w:val="0000FF"/>
          <w:sz w:val="18"/>
          <w:szCs w:val="18"/>
        </w:rPr>
        <w:drawing>
          <wp:inline distT="0" distB="0" distL="114300" distR="114300">
            <wp:extent cx="5273675" cy="1885315"/>
            <wp:effectExtent l="0" t="0" r="3175" b="635"/>
            <wp:docPr id="2" name="图片 2" descr="v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en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DC3A7">
      <w:pPr>
        <w:pStyle w:val="3"/>
        <w:widowControl/>
        <w:spacing w:beforeAutospacing="0" w:afterAutospacing="0" w:line="360" w:lineRule="auto"/>
        <w:jc w:val="left"/>
        <w:rPr>
          <w:rFonts w:ascii="Times New Roman" w:hAnsi="Times New Roman" w:eastAsia="宋体"/>
          <w:b/>
          <w:color w:val="0E101A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 xml:space="preserve">Figure </w:t>
      </w:r>
      <w:r>
        <w:rPr>
          <w:rStyle w:val="6"/>
          <w:rFonts w:hint="eastAsia" w:ascii="Times New Roman" w:hAnsi="Times New Roman" w:eastAsia="宋体"/>
          <w:color w:val="0E101A"/>
          <w:sz w:val="21"/>
          <w:szCs w:val="21"/>
          <w:lang w:val="en-US" w:eastAsia="zh-CN"/>
        </w:rPr>
        <w:t>1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>. Venn diagram</w:t>
      </w:r>
    </w:p>
    <w:p w14:paraId="32CEEA6B"/>
    <w:p w14:paraId="7A1AA09B">
      <w:pPr>
        <w:pStyle w:val="3"/>
        <w:widowControl/>
        <w:spacing w:beforeAutospacing="0" w:afterAutospacing="0" w:line="360" w:lineRule="auto"/>
        <w:jc w:val="center"/>
        <w:rPr>
          <w:rFonts w:ascii="Times New Roman" w:hAnsi="Times New Roman"/>
          <w:color w:val="0E101A"/>
        </w:rPr>
      </w:pPr>
      <w:r>
        <w:rPr>
          <w:rFonts w:hint="eastAsia" w:ascii="Times New Roman" w:hAnsi="Times New Roman" w:eastAsia="宋体"/>
          <w:color w:val="4D4D4D"/>
          <w:shd w:val="clear" w:color="auto" w:fill="FFFFFF"/>
        </w:rPr>
        <w:drawing>
          <wp:inline distT="0" distB="0" distL="114300" distR="114300">
            <wp:extent cx="5247640" cy="1953895"/>
            <wp:effectExtent l="0" t="0" r="10160" b="8255"/>
            <wp:docPr id="5" name="图片 5" descr="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组图"/>
                    <pic:cNvPicPr>
                      <a:picLocks noChangeAspect="1"/>
                    </pic:cNvPicPr>
                  </pic:nvPicPr>
                  <pic:blipFill>
                    <a:blip r:embed="rId5"/>
                    <a:srcRect r="4342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13A1">
      <w:pPr>
        <w:pStyle w:val="3"/>
        <w:widowControl/>
        <w:spacing w:beforeAutospacing="0" w:afterAutospacing="0" w:line="360" w:lineRule="auto"/>
        <w:jc w:val="both"/>
        <w:rPr>
          <w:rFonts w:ascii="Times New Roman" w:hAnsi="Times New Roman"/>
          <w:color w:val="0E101A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 xml:space="preserve">Figure </w:t>
      </w:r>
      <w:r>
        <w:rPr>
          <w:rStyle w:val="6"/>
          <w:rFonts w:hint="eastAsia" w:ascii="Times New Roman" w:hAnsi="Times New Roman" w:eastAsia="宋体"/>
          <w:color w:val="0E101A"/>
          <w:sz w:val="21"/>
          <w:szCs w:val="21"/>
          <w:lang w:val="en-US" w:eastAsia="zh-CN"/>
        </w:rPr>
        <w:t>2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>.</w:t>
      </w:r>
      <w:r>
        <w:rPr>
          <w:rStyle w:val="6"/>
          <w:rFonts w:hint="eastAsia" w:ascii="Times New Roman" w:hAnsi="Times New Roman"/>
          <w:color w:val="0E101A"/>
          <w:sz w:val="21"/>
          <w:szCs w:val="21"/>
        </w:rPr>
        <w:t xml:space="preserve"> Nomogram and evaluation results</w:t>
      </w:r>
    </w:p>
    <w:p w14:paraId="66DF87E1">
      <w:pPr>
        <w:pStyle w:val="3"/>
        <w:widowControl/>
        <w:numPr>
          <w:ilvl w:val="0"/>
          <w:numId w:val="1"/>
        </w:numPr>
        <w:spacing w:beforeAutospacing="0" w:afterAutospacing="0" w:line="360" w:lineRule="auto"/>
        <w:jc w:val="both"/>
        <w:rPr>
          <w:rFonts w:hint="eastAsia" w:ascii="Times New Roman" w:hAnsi="Times New Roman"/>
          <w:color w:val="0E101A"/>
          <w:sz w:val="21"/>
          <w:szCs w:val="21"/>
        </w:rPr>
      </w:pPr>
      <w:r>
        <w:rPr>
          <w:rFonts w:hint="eastAsia" w:ascii="Times New Roman" w:hAnsi="Times New Roman"/>
          <w:color w:val="0E101A"/>
          <w:sz w:val="21"/>
          <w:szCs w:val="21"/>
        </w:rPr>
        <w:t>Nomogram construction; (B) Calibration curve evaluating nomogram accuracy.</w:t>
      </w:r>
    </w:p>
    <w:p w14:paraId="4EB8572F">
      <w:pPr>
        <w:pStyle w:val="3"/>
        <w:widowControl/>
        <w:spacing w:beforeAutospacing="0" w:afterAutospacing="0" w:line="360" w:lineRule="auto"/>
        <w:jc w:val="both"/>
        <w:outlineLvl w:val="1"/>
        <w:rPr>
          <w:rFonts w:ascii="Times New Roman" w:hAnsi="Times New Roman"/>
        </w:rPr>
      </w:pPr>
      <w:r>
        <w:rPr>
          <w:rFonts w:hint="eastAsia"/>
        </w:rPr>
        <w:drawing>
          <wp:inline distT="0" distB="0" distL="114300" distR="114300">
            <wp:extent cx="5273040" cy="2090420"/>
            <wp:effectExtent l="0" t="0" r="3810" b="5080"/>
            <wp:docPr id="4" name="图片 4" descr="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RN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79C41">
      <w:pPr>
        <w:pStyle w:val="3"/>
        <w:widowControl/>
        <w:spacing w:beforeAutospacing="0" w:afterAutospacing="0" w:line="360" w:lineRule="auto"/>
        <w:jc w:val="both"/>
        <w:rPr>
          <w:rStyle w:val="6"/>
          <w:rFonts w:ascii="Times New Roman" w:hAnsi="Times New Roman" w:eastAsia="宋体"/>
          <w:color w:val="0E101A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 xml:space="preserve">Figure </w:t>
      </w:r>
      <w:r>
        <w:rPr>
          <w:rStyle w:val="6"/>
          <w:rFonts w:hint="eastAsia" w:ascii="Times New Roman" w:hAnsi="Times New Roman" w:eastAsia="宋体"/>
          <w:color w:val="0E101A"/>
          <w:sz w:val="21"/>
          <w:szCs w:val="21"/>
          <w:lang w:val="en-US" w:eastAsia="zh-CN"/>
        </w:rPr>
        <w:t>3</w:t>
      </w:r>
      <w:r>
        <w:rPr>
          <w:rStyle w:val="6"/>
          <w:rFonts w:ascii="Times New Roman" w:hAnsi="Times New Roman" w:eastAsia="宋体"/>
          <w:color w:val="0E101A"/>
          <w:sz w:val="21"/>
          <w:szCs w:val="21"/>
        </w:rPr>
        <w:t>. Key gene network regulatory mechanisms</w:t>
      </w:r>
    </w:p>
    <w:p w14:paraId="32584503">
      <w:pPr>
        <w:pStyle w:val="3"/>
        <w:widowControl/>
        <w:spacing w:beforeAutospacing="0" w:afterAutospacing="0" w:line="360" w:lineRule="auto"/>
        <w:jc w:val="both"/>
        <w:rPr>
          <w:rFonts w:ascii="Times New Roman" w:hAnsi="Times New Roman"/>
          <w:color w:val="0E101A"/>
          <w:sz w:val="21"/>
          <w:szCs w:val="21"/>
        </w:rPr>
      </w:pPr>
      <w:r>
        <w:rPr>
          <w:rFonts w:ascii="Times New Roman" w:hAnsi="Times New Roman"/>
          <w:color w:val="0E101A"/>
          <w:sz w:val="21"/>
          <w:szCs w:val="21"/>
        </w:rPr>
        <w:t>(A) ceRNA network construction. Blue nodes represent lncRNAs, purple nodes represent miRNAs, red nodes represent mRNAs. (B) Transcription factor prediction. Purple nodes represent transcription factors, red nodes represent key genes.</w:t>
      </w:r>
    </w:p>
    <w:p w14:paraId="25D34FCB"/>
    <w:p w14:paraId="017DE720">
      <w:pPr>
        <w:spacing w:line="360" w:lineRule="auto"/>
        <w:ind w:firstLine="0" w:firstLine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Supplementary Table 2. Binding free energies between key genes and small molecule drugs.</w:t>
      </w:r>
    </w:p>
    <w:tbl>
      <w:tblPr>
        <w:tblStyle w:val="4"/>
        <w:tblW w:w="83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549"/>
        <w:gridCol w:w="4234"/>
      </w:tblGrid>
      <w:tr w14:paraId="4916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007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Drugs</w:t>
            </w:r>
          </w:p>
        </w:tc>
        <w:tc>
          <w:tcPr>
            <w:tcW w:w="15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80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targets</w:t>
            </w:r>
          </w:p>
        </w:tc>
        <w:tc>
          <w:tcPr>
            <w:tcW w:w="42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86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binding energy（kcal/mol）</w:t>
            </w:r>
          </w:p>
        </w:tc>
      </w:tr>
      <w:tr w14:paraId="1FF5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2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saccharin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8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2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-5.208</w:t>
            </w:r>
          </w:p>
        </w:tc>
      </w:tr>
      <w:tr w14:paraId="7A8C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dacinostat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2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3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-5.896</w:t>
            </w:r>
          </w:p>
        </w:tc>
      </w:tr>
      <w:tr w14:paraId="7AED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B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medrysone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-7.164</w:t>
            </w:r>
          </w:p>
        </w:tc>
      </w:tr>
      <w:tr w14:paraId="0CD5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B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salicin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5F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1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-5.788</w:t>
            </w:r>
          </w:p>
        </w:tc>
      </w:tr>
      <w:tr w14:paraId="7EAD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2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senicapoc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72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-6.877</w:t>
            </w:r>
          </w:p>
        </w:tc>
      </w:tr>
      <w:tr w14:paraId="793D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5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budesonide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6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-6.495</w:t>
            </w:r>
          </w:p>
        </w:tc>
      </w:tr>
      <w:tr w14:paraId="6C2B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B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caffeine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1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-4.804</w:t>
            </w:r>
          </w:p>
        </w:tc>
      </w:tr>
      <w:tr w14:paraId="146A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9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timolol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A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F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-5.217</w:t>
            </w:r>
          </w:p>
        </w:tc>
      </w:tr>
      <w:tr w14:paraId="14B0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zolpidem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C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-6.329</w:t>
            </w:r>
          </w:p>
        </w:tc>
      </w:tr>
      <w:tr w14:paraId="36AE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9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betamethasone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FKBP5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-7.213</w:t>
            </w:r>
          </w:p>
        </w:tc>
      </w:tr>
      <w:tr w14:paraId="63C9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7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saccharin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B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-5.545</w:t>
            </w:r>
          </w:p>
        </w:tc>
      </w:tr>
      <w:tr w14:paraId="7CCC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4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dacinostat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D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F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-6.23</w:t>
            </w:r>
          </w:p>
        </w:tc>
      </w:tr>
      <w:tr w14:paraId="0C55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medrysone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-8.154</w:t>
            </w:r>
          </w:p>
        </w:tc>
      </w:tr>
      <w:tr w14:paraId="4F10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F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salicin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4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0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-5.468</w:t>
            </w:r>
          </w:p>
        </w:tc>
      </w:tr>
      <w:tr w14:paraId="10F7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4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senicapoc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8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-7.632</w:t>
            </w:r>
          </w:p>
        </w:tc>
      </w:tr>
      <w:tr w14:paraId="00F1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budesonide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E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-8.137</w:t>
            </w:r>
          </w:p>
        </w:tc>
      </w:tr>
      <w:tr w14:paraId="4F5F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caffeine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9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1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-4.695</w:t>
            </w:r>
          </w:p>
        </w:tc>
      </w:tr>
      <w:tr w14:paraId="09DF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5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timolol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F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E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-5.152</w:t>
            </w:r>
          </w:p>
        </w:tc>
      </w:tr>
      <w:tr w14:paraId="7B85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5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zolpidem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2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-7.042</w:t>
            </w:r>
          </w:p>
        </w:tc>
      </w:tr>
      <w:tr w14:paraId="6A43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02D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betamethasone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F9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HLA-DQA1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2BD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-7.773</w:t>
            </w:r>
          </w:p>
        </w:tc>
      </w:tr>
    </w:tbl>
    <w:p w14:paraId="17C215DC"/>
    <w:p w14:paraId="17DCBB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476500"/>
            <wp:effectExtent l="0" t="0" r="7620" b="0"/>
            <wp:docPr id="1" name="图片 1" descr="Supplementary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EF98">
      <w:pPr>
        <w:spacing w:line="360" w:lineRule="auto"/>
        <w:rPr>
          <w:rFonts w:hint="eastAsia" w:ascii="Times New Roman" w:hAnsi="Times New Roman" w:cs="Times New Roman" w:eastAsiaTheme="minorEastAsia"/>
          <w:b/>
          <w:bCs/>
          <w:color w:val="0E101A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color w:val="0E101A"/>
          <w:kern w:val="0"/>
          <w:sz w:val="21"/>
          <w:szCs w:val="21"/>
          <w:lang w:val="en-US" w:eastAsia="zh-CN" w:bidi="ar-SA"/>
        </w:rPr>
        <w:t xml:space="preserve">Supplementary Figure </w:t>
      </w:r>
      <w:r>
        <w:rPr>
          <w:rFonts w:hint="eastAsia" w:ascii="Times New Roman" w:hAnsi="Times New Roman" w:cs="Times New Roman"/>
          <w:b/>
          <w:bCs/>
          <w:color w:val="0E101A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Times New Roman" w:hAnsi="Times New Roman" w:cs="Times New Roman" w:eastAsiaTheme="minorEastAsia"/>
          <w:b/>
          <w:bCs/>
          <w:color w:val="0E101A"/>
          <w:kern w:val="0"/>
          <w:sz w:val="21"/>
          <w:szCs w:val="21"/>
          <w:lang w:val="en-US" w:eastAsia="zh-CN" w:bidi="ar-SA"/>
        </w:rPr>
        <w:t>. System stability assessment during 100 ns molecular dynamics simulations.</w:t>
      </w:r>
    </w:p>
    <w:p w14:paraId="4C4FD754">
      <w:pPr>
        <w:spacing w:line="360" w:lineRule="auto"/>
        <w:rPr>
          <w:rFonts w:hint="eastAsia" w:ascii="Times New Roman" w:hAnsi="Times New Roman" w:cs="Times New Roman" w:eastAsiaTheme="minorEastAsia"/>
          <w:color w:val="0E101A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0E101A"/>
          <w:kern w:val="0"/>
          <w:sz w:val="21"/>
          <w:szCs w:val="21"/>
          <w:lang w:val="en-US" w:eastAsia="zh-CN" w:bidi="ar-SA"/>
        </w:rPr>
        <w:t>(A-D) Betamethasone-FKBP5 complex: (A) Number of hydrogen bonds, (B) backbone RMSD, (C) radius of gyration (Rg), and (D) solvent-accessible surface area (SASA).</w:t>
      </w:r>
      <w:r>
        <w:rPr>
          <w:rFonts w:hint="eastAsia" w:ascii="Times New Roman" w:hAnsi="Times New Roman" w:cs="Times New Roman"/>
          <w:color w:val="0E101A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color w:val="0E101A"/>
          <w:kern w:val="0"/>
          <w:sz w:val="21"/>
          <w:szCs w:val="21"/>
          <w:lang w:val="en-US" w:eastAsia="zh-CN" w:bidi="ar-SA"/>
        </w:rPr>
        <w:t>(E-H) Medrysone-HLA-DQA1 complex: (E) Number of hydrogen bonds, (F) backbone RMSD, (G) radius of gyration (Rg), and (H) solvent-accessible surface area (SASA).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069A3"/>
    <w:multiLevelType w:val="singleLevel"/>
    <w:tmpl w:val="FC8069A3"/>
    <w:lvl w:ilvl="0" w:tentative="0">
      <w:start w:val="1"/>
      <w:numFmt w:val="upp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00BC"/>
    <w:rsid w:val="1C3E00BC"/>
    <w:rsid w:val="437D292C"/>
    <w:rsid w:val="584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1536</Characters>
  <Lines>0</Lines>
  <Paragraphs>0</Paragraphs>
  <TotalTime>4</TotalTime>
  <ScaleCrop>false</ScaleCrop>
  <LinksUpToDate>false</LinksUpToDate>
  <CharactersWithSpaces>1662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2025-10-31T05:54:00Z</dcterms:created>
  <dc:creator>PURE</dc:creator>
  <cp:lastModifiedBy>PURE</cp:lastModifiedBy>
  <dcterms:modified xsi:type="dcterms:W3CDTF">2026-04-28T10:48:04Z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DB3328C590FC42AA8A09D637777613F3_11</vt:lpwstr>
  </property>
  <property fmtid="{D5CDD505-2E9C-101B-9397-08002B2CF9AE}" pid="4" name="KSOTemplateDocerSaveRecord">
    <vt:lpwstr>eyJoZGlkIjoiMjllODEzZjg2NzlmODBlNzk2MjRhODRjNzdjZDlhZjciLCJ1c2VySWQiOiIzMDkxNjg4NjYifQ==</vt:lpwstr>
  </property>
</Properties>
</file>