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DD68" w14:textId="5BB297A5" w:rsidR="00BD48D7" w:rsidRPr="0061218E" w:rsidRDefault="003F724E" w:rsidP="00EC3E92">
      <w:pPr>
        <w:pStyle w:val="Heading2"/>
      </w:pPr>
      <w:r>
        <w:t xml:space="preserve">Supplementary </w:t>
      </w:r>
      <w:r w:rsidR="00BD48D7" w:rsidRPr="0061218E">
        <w:t>Results</w:t>
      </w:r>
      <w:r>
        <w:t xml:space="preserve"> 1</w:t>
      </w:r>
    </w:p>
    <w:p w14:paraId="2843F855" w14:textId="77777777" w:rsidR="00BD48D7" w:rsidRPr="0061218E" w:rsidRDefault="00BD48D7" w:rsidP="00EC3E92">
      <w:pPr>
        <w:pStyle w:val="Heading3"/>
      </w:pPr>
      <w:r w:rsidRPr="0061218E">
        <w:t>Kaplan–Meier Time-to-Event Analysis</w:t>
      </w:r>
    </w:p>
    <w:p w14:paraId="0B0D3694" w14:textId="2F5CDBE1" w:rsidR="00BD48D7" w:rsidRPr="0061218E" w:rsidRDefault="00B204D2" w:rsidP="00C16AA9">
      <w:pPr>
        <w:ind w:firstLine="720"/>
        <w:jc w:val="both"/>
        <w:rPr>
          <w:rFonts w:cs="Arial"/>
          <w:sz w:val="24"/>
        </w:rPr>
      </w:pPr>
      <w:r w:rsidRPr="0061218E">
        <w:rPr>
          <w:rFonts w:cs="Arial"/>
          <w:sz w:val="24"/>
        </w:rPr>
        <w:t>Among the 1,022 patients included, 709 (69.4%) achieved vaginal delivery, while 313 (30.6%) were censored due to the cesarean deliveries.</w:t>
      </w:r>
      <w:r w:rsidR="00BD48D7" w:rsidRPr="0061218E">
        <w:rPr>
          <w:rFonts w:cs="Arial"/>
          <w:sz w:val="24"/>
        </w:rPr>
        <w:t xml:space="preserve"> The median time to vaginal delivery was 14.9 h (95% CI: 14.4–15.6) in Group 4, 15.5 h (95% CI: 15.0–16.4) in Group 1, 18.1 h (95% CI: 17.1–18.6) in Group 2, and 19.4 h (95% CI: 18.6–23.5) in Group 3. </w:t>
      </w:r>
      <w:r w:rsidRPr="0061218E">
        <w:rPr>
          <w:rFonts w:cs="Arial"/>
          <w:sz w:val="24"/>
        </w:rPr>
        <w:t>Pairwise log-rank tests showed that most intergroup differences were statistically significant (p &lt; 0.001), whereas the comparison between Groups 1 and 4 was not significant (p = 0.081).</w:t>
      </w:r>
      <w:r w:rsidR="00BD48D7" w:rsidRPr="0061218E">
        <w:rPr>
          <w:rFonts w:cs="Arial"/>
          <w:sz w:val="24"/>
        </w:rPr>
        <w:t xml:space="preserve"> </w:t>
      </w:r>
      <w:r w:rsidRPr="0061218E">
        <w:rPr>
          <w:rFonts w:cs="Arial"/>
          <w:sz w:val="24"/>
        </w:rPr>
        <w:t>This finding suggests that although misoprostol (Group 4) was associated with the numerically shortest time to vaginal delivery, its advantage over DBC alone (Group 1) should be interpreted with caution.</w:t>
      </w:r>
    </w:p>
    <w:p w14:paraId="3E9CCF0D" w14:textId="764D01C4" w:rsidR="000E09D7" w:rsidRDefault="000E09D7">
      <w:pPr>
        <w:spacing w:line="240" w:lineRule="auto"/>
        <w:rPr>
          <w:rFonts w:eastAsia="Calibri" w:cs="Arial"/>
          <w:b/>
          <w:iCs/>
          <w:sz w:val="24"/>
          <w:lang w:eastAsia="tr-TR"/>
        </w:rPr>
      </w:pPr>
      <w:bookmarkStart w:id="0" w:name="Table_S1"/>
    </w:p>
    <w:p w14:paraId="214D528A" w14:textId="19A08862" w:rsidR="00BD48D7" w:rsidRPr="0061218E" w:rsidRDefault="00BD48D7" w:rsidP="00BD48D7">
      <w:pPr>
        <w:pStyle w:val="Caption"/>
      </w:pPr>
      <w:r w:rsidRPr="0061218E">
        <w:t>Table S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61218E">
        <w:t>1</w:t>
      </w:r>
      <w:r>
        <w:fldChar w:fldCharType="end"/>
      </w:r>
      <w:bookmarkEnd w:id="0"/>
      <w:r w:rsidRPr="0061218E">
        <w:t xml:space="preserve">. </w:t>
      </w:r>
      <w:r w:rsidR="00B204D2" w:rsidRPr="0061218E">
        <w:t>Kaplan–Meier survival analysis of time to vaginal delivery across study groups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1"/>
        <w:gridCol w:w="1155"/>
        <w:gridCol w:w="1155"/>
        <w:gridCol w:w="1155"/>
        <w:gridCol w:w="1155"/>
        <w:gridCol w:w="981"/>
      </w:tblGrid>
      <w:tr w:rsidR="00BD48D7" w:rsidRPr="0061218E" w14:paraId="45BB5CDC" w14:textId="77777777" w:rsidTr="00BD48D7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43487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Kaplan-Meier Time-to-Event Analysis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3FE1F4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Group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C2F5A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Group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413DC7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Group 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EBC9F8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Group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FFE4B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</w:tr>
      <w:tr w:rsidR="00BD48D7" w:rsidRPr="0061218E" w14:paraId="48A8FE73" w14:textId="77777777" w:rsidTr="00BD48D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470D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Number of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A37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4C6C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A18E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900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304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C18A61A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  <w:r w:rsidRPr="0061218E">
              <w:rPr>
                <w:rFonts w:cs="Arial"/>
                <w:color w:val="000000"/>
                <w:sz w:val="24"/>
              </w:rPr>
              <w:t>*</w:t>
            </w:r>
          </w:p>
        </w:tc>
      </w:tr>
      <w:tr w:rsidR="00BD48D7" w:rsidRPr="0061218E" w14:paraId="42480C9F" w14:textId="77777777" w:rsidTr="00BD48D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54CD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Vaginal deliveries,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F9D7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07DE1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F33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1E1C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0105CC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  <w:tr w:rsidR="00BD48D7" w:rsidRPr="0061218E" w14:paraId="2C93D4A1" w14:textId="77777777" w:rsidTr="00BD48D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FB5D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Cesarean sections, n (censored)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0110E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F9A2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BAD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38D3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98EB9D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  <w:tr w:rsidR="00BD48D7" w:rsidRPr="0061218E" w14:paraId="223B267C" w14:textId="77777777" w:rsidTr="00BD48D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10239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Median time to vaginal delivery (hours)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2776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C324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1DCA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7C77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14.9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FAAFE7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  <w:tr w:rsidR="00BD48D7" w:rsidRPr="0061218E" w14:paraId="4F22EB3A" w14:textId="77777777" w:rsidTr="00BD48D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40165F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A7249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15.0-16.4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4564E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17.1-18.6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DFBBE3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18.6-23.5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37CD3B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14.4-15.6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C91B23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  <w:tr w:rsidR="00BD48D7" w:rsidRPr="0061218E" w14:paraId="0042174A" w14:textId="77777777" w:rsidTr="00BD48D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DDED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Pairwise comparisons (p-values)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7602" w14:textId="77777777" w:rsidR="00BD48D7" w:rsidRPr="0061218E" w:rsidRDefault="00BD48D7" w:rsidP="003317BF">
            <w:pPr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80B4F" w14:textId="77777777" w:rsidR="00BD48D7" w:rsidRPr="0061218E" w:rsidRDefault="00BD48D7" w:rsidP="003317BF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B4B6" w14:textId="77777777" w:rsidR="00BD48D7" w:rsidRPr="0061218E" w:rsidRDefault="00BD48D7" w:rsidP="003317BF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69E2" w14:textId="77777777" w:rsidR="00BD48D7" w:rsidRPr="0061218E" w:rsidRDefault="00BD48D7" w:rsidP="003317BF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DCCAE" w14:textId="77777777" w:rsidR="00BD48D7" w:rsidRPr="0061218E" w:rsidRDefault="00BD48D7" w:rsidP="003317BF">
            <w:pPr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4DD7D89E" w14:textId="77777777" w:rsidTr="00BD48D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430D4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vs Group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D84F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25C0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9399D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0BAE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115A3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</w:tr>
      <w:tr w:rsidR="00BD48D7" w:rsidRPr="0061218E" w14:paraId="424639C4" w14:textId="77777777" w:rsidTr="00BD48D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0D66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vs Group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E065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2A2E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BF5FD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A520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C1FF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</w:tr>
      <w:tr w:rsidR="00BD48D7" w:rsidRPr="0061218E" w14:paraId="4EC555CD" w14:textId="77777777" w:rsidTr="00BD48D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22DDC9" w14:textId="77777777" w:rsidR="00BD48D7" w:rsidRPr="0061218E" w:rsidRDefault="00BD48D7" w:rsidP="003317BF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vs Group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A329BC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84D03D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357DD1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28839C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4DB27D" w14:textId="77777777" w:rsidR="00BD48D7" w:rsidRPr="0061218E" w:rsidRDefault="00BD48D7" w:rsidP="003317BF">
            <w:pPr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 </w:t>
            </w:r>
          </w:p>
        </w:tc>
      </w:tr>
    </w:tbl>
    <w:p w14:paraId="03798500" w14:textId="6C899990" w:rsidR="00BD48D7" w:rsidRPr="0061218E" w:rsidRDefault="00BD48D7" w:rsidP="00C16AA9">
      <w:pPr>
        <w:pStyle w:val="Subtitle"/>
      </w:pPr>
      <w:r w:rsidRPr="0061218E">
        <w:t xml:space="preserve">CI: Confidence interval. *Log-rank test (χ²=94.7, df=3). </w:t>
      </w:r>
      <w:r w:rsidR="00B44A78" w:rsidRPr="0061218E">
        <w:t>All pairwise comparisons were performed using the log-rank test.</w:t>
      </w:r>
      <w:r w:rsidRPr="0061218E">
        <w:t xml:space="preserve"> </w:t>
      </w:r>
      <w:r w:rsidR="00B44A78" w:rsidRPr="0061218E">
        <w:t>Group 4 demonstrated the shortest median time to vaginal delivery (14.9 h), whereas Group 3 had the longest (19.4 h).</w:t>
      </w:r>
    </w:p>
    <w:p w14:paraId="62F2DE4E" w14:textId="77777777" w:rsidR="000E09D7" w:rsidRDefault="000E09D7">
      <w:pPr>
        <w:spacing w:line="240" w:lineRule="auto"/>
        <w:rPr>
          <w:rFonts w:cs="Arial"/>
          <w:b/>
          <w:sz w:val="24"/>
          <w:lang w:eastAsia="tr-TR"/>
        </w:rPr>
      </w:pPr>
      <w:r>
        <w:br w:type="page"/>
      </w:r>
    </w:p>
    <w:p w14:paraId="3FA7DA97" w14:textId="7B351441" w:rsidR="003F724E" w:rsidRDefault="003F724E" w:rsidP="00EC3E92">
      <w:pPr>
        <w:pStyle w:val="Heading2"/>
      </w:pPr>
      <w:r>
        <w:lastRenderedPageBreak/>
        <w:t>Supplementary Results 2</w:t>
      </w:r>
    </w:p>
    <w:p w14:paraId="67EFF736" w14:textId="55FC0064" w:rsidR="00BD48D7" w:rsidRPr="0061218E" w:rsidRDefault="00BD48D7" w:rsidP="00EC3E92">
      <w:pPr>
        <w:pStyle w:val="Heading3"/>
      </w:pPr>
      <w:r w:rsidRPr="0061218E">
        <w:t>Predictors of Time to Active Labor</w:t>
      </w:r>
    </w:p>
    <w:p w14:paraId="7BEBC4E1" w14:textId="0B393859" w:rsidR="00BD48D7" w:rsidRDefault="00BD48D7" w:rsidP="00C16AA9">
      <w:pPr>
        <w:ind w:firstLine="720"/>
        <w:jc w:val="both"/>
        <w:rPr>
          <w:rFonts w:cs="Arial"/>
          <w:sz w:val="24"/>
        </w:rPr>
      </w:pPr>
      <w:r w:rsidRPr="0061218E">
        <w:rPr>
          <w:rFonts w:cs="Arial"/>
          <w:sz w:val="24"/>
        </w:rPr>
        <w:t>Multivariable linear regression identified the method of induction as the strongest determinant of the interval between catheter insertion and active labor (</w:t>
      </w:r>
      <w:r w:rsidRPr="0061218E">
        <w:rPr>
          <w:rFonts w:cs="Arial"/>
          <w:b/>
          <w:bCs/>
          <w:sz w:val="24"/>
        </w:rPr>
        <w:fldChar w:fldCharType="begin"/>
      </w:r>
      <w:r w:rsidRPr="0061218E">
        <w:rPr>
          <w:rFonts w:cs="Arial"/>
          <w:b/>
          <w:bCs/>
          <w:sz w:val="24"/>
        </w:rPr>
        <w:instrText xml:space="preserve"> REF _Ref209219891 \h  \* MERGEFORMAT </w:instrText>
      </w:r>
      <w:r w:rsidRPr="0061218E">
        <w:rPr>
          <w:rFonts w:cs="Arial"/>
          <w:b/>
          <w:bCs/>
          <w:sz w:val="24"/>
        </w:rPr>
      </w:r>
      <w:r w:rsidRPr="0061218E">
        <w:rPr>
          <w:rFonts w:cs="Arial"/>
          <w:b/>
          <w:bCs/>
          <w:sz w:val="24"/>
        </w:rPr>
        <w:fldChar w:fldCharType="separate"/>
      </w:r>
      <w:r w:rsidRPr="0061218E">
        <w:rPr>
          <w:rFonts w:cs="Arial"/>
          <w:b/>
          <w:bCs/>
          <w:sz w:val="24"/>
        </w:rPr>
        <w:t>Table S2</w:t>
      </w:r>
      <w:r w:rsidRPr="0061218E">
        <w:rPr>
          <w:rFonts w:cs="Arial"/>
          <w:b/>
          <w:bCs/>
          <w:sz w:val="24"/>
        </w:rPr>
        <w:fldChar w:fldCharType="end"/>
      </w:r>
      <w:r w:rsidRPr="0061218E">
        <w:rPr>
          <w:rFonts w:cs="Arial"/>
          <w:sz w:val="24"/>
        </w:rPr>
        <w:t xml:space="preserve">). Compared with DBC alone, DBC + misoprostol significantly shortened this transition (β = –0.08, 95% CI: –0.15 to –0.02; p = 0.022), whereas DBC + dinoprostone was associated with a longer treatment duration. Higher initial Bishop scores independently predicted shorter times to active labor. </w:t>
      </w:r>
      <w:r w:rsidR="00B44A78" w:rsidRPr="0061218E">
        <w:rPr>
          <w:rFonts w:cs="Arial"/>
          <w:sz w:val="24"/>
        </w:rPr>
        <w:t>Maternal age and BMI were associated in separate models, but not when evaluated simultaneously due to collinearity.</w:t>
      </w:r>
      <w:r w:rsidRPr="0061218E">
        <w:rPr>
          <w:rFonts w:cs="Arial"/>
          <w:sz w:val="24"/>
        </w:rPr>
        <w:t xml:space="preserve"> Nulliparity was not a significant predictor in any of the adjusted models.</w:t>
      </w:r>
    </w:p>
    <w:p w14:paraId="031D0106" w14:textId="77777777" w:rsidR="000E09D7" w:rsidRPr="0061218E" w:rsidRDefault="000E09D7" w:rsidP="00C16AA9">
      <w:pPr>
        <w:ind w:firstLine="720"/>
        <w:jc w:val="both"/>
        <w:rPr>
          <w:rFonts w:cs="Arial"/>
          <w:sz w:val="24"/>
        </w:rPr>
      </w:pPr>
    </w:p>
    <w:p w14:paraId="1EECEC05" w14:textId="2FEEF432" w:rsidR="00BD48D7" w:rsidRPr="0061218E" w:rsidRDefault="00BD48D7" w:rsidP="00BD48D7">
      <w:pPr>
        <w:pStyle w:val="Caption"/>
      </w:pPr>
      <w:bookmarkStart w:id="1" w:name="_Ref209219891"/>
      <w:r w:rsidRPr="0061218E">
        <w:t>Table S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61218E">
        <w:t>2</w:t>
      </w:r>
      <w:r>
        <w:fldChar w:fldCharType="end"/>
      </w:r>
      <w:bookmarkEnd w:id="1"/>
      <w:r w:rsidRPr="0061218E">
        <w:t>. Multivariate linear regression analysis of predictors of time to active labor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067"/>
        <w:gridCol w:w="944"/>
        <w:gridCol w:w="2067"/>
        <w:gridCol w:w="944"/>
        <w:gridCol w:w="2067"/>
        <w:gridCol w:w="944"/>
      </w:tblGrid>
      <w:tr w:rsidR="00BD48D7" w:rsidRPr="0061218E" w14:paraId="569E1A52" w14:textId="77777777" w:rsidTr="00AD7F32">
        <w:trPr>
          <w:trHeight w:val="28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2272E19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2023F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Univariable Analysis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116F8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Multivariable Model 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EFD3D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Multivariable Model 2</w:t>
            </w:r>
          </w:p>
        </w:tc>
      </w:tr>
      <w:tr w:rsidR="00BD48D7" w:rsidRPr="0061218E" w14:paraId="75D2F29D" w14:textId="77777777" w:rsidTr="00AD7F32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649F5F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2C25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26AB1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7DAA1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39C1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8B0E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7090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</w:tr>
      <w:tr w:rsidR="00BD48D7" w:rsidRPr="0061218E" w14:paraId="48730FB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26866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Method of induction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BD22B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8F8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8BC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B573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76D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A1A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0BE82BAD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732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Other methods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10FB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691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EC9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37F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3D40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8C6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144AD25E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E0356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DBC alone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6EB5E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-0.08 (-0.15- -0.02)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4F27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16F57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-0.08 (-0.15- -0.02)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D359C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7093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-0.07 (-0.14- -0.01)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9892F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0.041</w:t>
            </w:r>
          </w:p>
        </w:tc>
      </w:tr>
      <w:tr w:rsidR="00BD48D7" w:rsidRPr="0061218E" w14:paraId="13DFF85A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2250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Bishop score upon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1973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281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9057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98A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3D9D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F10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06C61507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5CA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94E5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F9F9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98BD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9A5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F6F3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9BEB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043FC01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2156E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FBFF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0.63 (0.39- 0.67)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4393A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39D3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0.11 (-0.01- 0.23)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25DD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77A7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0.11 (-0.01- 0.22)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32144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0.063</w:t>
            </w:r>
          </w:p>
        </w:tc>
      </w:tr>
      <w:tr w:rsidR="00BD48D7" w:rsidRPr="0061218E" w14:paraId="163E043F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99205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Gestational age at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384DD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CAD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12B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EA8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BBE3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6CF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1A58780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B2A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Late term (41-&lt;42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3EC0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4068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D49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A682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0B4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EF8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40BE3C73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0221F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Post-term (≥42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DD4CF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-0.02 (-0.09- 0.04)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DE192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72E2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0.02 (-0.06- 0.09)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32713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2E767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0.03 (-0.05- 0.10)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84911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0.490</w:t>
            </w:r>
          </w:p>
        </w:tc>
      </w:tr>
      <w:tr w:rsidR="00BD48D7" w:rsidRPr="0061218E" w14:paraId="45515782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EA9B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Time from PROM to 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2C8C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3FAD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AC1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E6D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A2F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D36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79A88356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6F37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≤12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5E80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344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4D0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FF2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738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10D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700E7603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37C0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&gt;12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79965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-0.23 (-0.33- -0.12)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8A8A1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0441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-0.02 (-0.10- 0.06)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A0CE8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1F859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-0.02 (-0.11- 0.08)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5460B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0.695</w:t>
            </w:r>
          </w:p>
        </w:tc>
      </w:tr>
      <w:tr w:rsidR="00BD48D7" w:rsidRPr="0061218E" w14:paraId="4607E6D7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39C3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Nulliparity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EE49B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BE0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542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6A2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D626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525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73D0A241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9D0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BDA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2AA2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336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F71E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8EB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F00D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29151C3D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ED898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C0F74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-0.39 (-0.44- -0.34)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DC0BD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BFA3F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0.05 (-0.05- 0.15)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01A7D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91125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0.06 (-0.05- 0.18)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A4E2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0.227</w:t>
            </w:r>
          </w:p>
        </w:tc>
      </w:tr>
      <w:tr w:rsidR="00BD48D7" w:rsidRPr="0061218E" w14:paraId="5C3621E2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E9237C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Maternal BMI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(kg/m²)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0315E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0.08 (0.07- 0.08)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6D02A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0CC87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0.07 (0.06- 0.08)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375B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77CA5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99614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65ACC9B7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BEB850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Maternal age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1AD6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0.04 (0.04- 0.05)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56282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0256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B8DA0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236E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0.02 (0.01- 0.03)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514AB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</w:tr>
      <w:tr w:rsidR="00BD48D7" w:rsidRPr="0061218E" w14:paraId="117CD885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4CE5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Amniotic fluid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B7BF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E9F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587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4756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64F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C68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60F98266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B2CB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Oligohydramnios (&lt;5 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091B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252A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77B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4CA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598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1B6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78900450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0C704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Polyhydramnios (&gt;25 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3D0D5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-0.03 (-0.15- 0.09)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36AF5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2189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-0.01 (-0.10- 0.09)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A62D4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24B1B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-0.02 (-0.11- 0.08)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2DC7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0.772</w:t>
            </w:r>
          </w:p>
        </w:tc>
      </w:tr>
      <w:tr w:rsidR="00BD48D7" w:rsidRPr="0061218E" w14:paraId="60F76983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02576A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Estimated fetal weight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(per 100g)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E05BF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0.01 (0.01- 0.02)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5FAF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EA7BF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0.01 (0.01- 0.02)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A2E4E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4963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0.01 (0.01- 0.02)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4629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0.295</w:t>
            </w:r>
          </w:p>
        </w:tc>
      </w:tr>
    </w:tbl>
    <w:p w14:paraId="0E97BB68" w14:textId="1559043E" w:rsidR="00BD48D7" w:rsidRPr="0061218E" w:rsidRDefault="00BD48D7" w:rsidP="00C16AA9">
      <w:pPr>
        <w:pStyle w:val="Subtitle"/>
      </w:pPr>
      <w:r w:rsidRPr="0061218E">
        <w:rPr>
          <w:rStyle w:val="Strong"/>
          <w:b w:val="0"/>
          <w:bCs w:val="0"/>
        </w:rPr>
        <w:t>β:</w:t>
      </w:r>
      <w:r w:rsidRPr="0061218E">
        <w:rPr>
          <w:rStyle w:val="apple-converted-space"/>
        </w:rPr>
        <w:t> </w:t>
      </w:r>
      <w:r w:rsidRPr="0061218E">
        <w:t>regression coefficient; CI: confidence interval; DBC: double-balloon catheter; PROM: premature rupture of membranes; IOL: induction of labor; BMI: body mass index; AFI: amniotic fluid index. The dependent variable was the</w:t>
      </w:r>
      <w:r w:rsidRPr="0061218E">
        <w:rPr>
          <w:rStyle w:val="apple-converted-space"/>
        </w:rPr>
        <w:t> </w:t>
      </w:r>
      <w:r w:rsidRPr="0061218E">
        <w:rPr>
          <w:rStyle w:val="Strong"/>
          <w:b w:val="0"/>
          <w:bCs w:val="0"/>
        </w:rPr>
        <w:t>log-transformed time</w:t>
      </w:r>
      <w:r w:rsidRPr="0061218E">
        <w:rPr>
          <w:rStyle w:val="apple-converted-space"/>
        </w:rPr>
        <w:t> </w:t>
      </w:r>
      <w:r w:rsidRPr="0061218E">
        <w:t>from catheter insertion to the onset of active labor.</w:t>
      </w:r>
      <w:r w:rsidRPr="0061218E">
        <w:rPr>
          <w:rStyle w:val="apple-converted-space"/>
        </w:rPr>
        <w:t> </w:t>
      </w:r>
      <w:r w:rsidRPr="0061218E">
        <w:rPr>
          <w:rStyle w:val="Strong"/>
          <w:b w:val="0"/>
          <w:bCs w:val="0"/>
        </w:rPr>
        <w:t>Model 1</w:t>
      </w:r>
      <w:r w:rsidRPr="0061218E">
        <w:rPr>
          <w:rStyle w:val="apple-converted-space"/>
        </w:rPr>
        <w:t> </w:t>
      </w:r>
      <w:r w:rsidRPr="0061218E">
        <w:t>included BMI but excluded maternal age;</w:t>
      </w:r>
      <w:r w:rsidRPr="0061218E">
        <w:rPr>
          <w:rStyle w:val="apple-converted-space"/>
        </w:rPr>
        <w:t> </w:t>
      </w:r>
      <w:r w:rsidRPr="0061218E">
        <w:rPr>
          <w:rStyle w:val="Strong"/>
          <w:b w:val="0"/>
          <w:bCs w:val="0"/>
        </w:rPr>
        <w:t>Model 2</w:t>
      </w:r>
      <w:r w:rsidRPr="0061218E">
        <w:rPr>
          <w:rStyle w:val="apple-converted-space"/>
        </w:rPr>
        <w:t> </w:t>
      </w:r>
      <w:r w:rsidRPr="0061218E">
        <w:t>included maternal age but excluded BMI.</w:t>
      </w:r>
      <w:r w:rsidRPr="0061218E">
        <w:rPr>
          <w:rStyle w:val="apple-converted-space"/>
        </w:rPr>
        <w:t> </w:t>
      </w:r>
      <w:r w:rsidRPr="0061218E">
        <w:rPr>
          <w:rStyle w:val="Strong"/>
          <w:b w:val="0"/>
          <w:bCs w:val="0"/>
        </w:rPr>
        <w:t>Model fit:</w:t>
      </w:r>
      <w:r w:rsidRPr="0061218E">
        <w:rPr>
          <w:rStyle w:val="apple-converted-space"/>
        </w:rPr>
        <w:t> </w:t>
      </w:r>
      <w:r w:rsidRPr="0061218E">
        <w:t>Model 1 (R² = 0.638, adjusted R² = 0.632, F = 107, p &lt; 0.001); Model 2 (R² = 0.552, adjusted R² = 0.544, F = 67.3, p &lt; 0.001). The Kolmogorov–Smirnov test indicated adequate normality for Models 1 (p = 0.112) and 2 (p = 0.005). </w:t>
      </w:r>
      <w:r w:rsidR="00B44A78" w:rsidRPr="0061218E">
        <w:rPr>
          <w:rStyle w:val="Strong"/>
          <w:b w:val="0"/>
          <w:bCs w:val="0"/>
        </w:rPr>
        <w:t>Reference categories were as follows:</w:t>
      </w:r>
      <w:r w:rsidR="00B44A78" w:rsidRPr="0061218E">
        <w:t> Bishop score ≥3; late-term pregnancy (41–&lt;42 weeks); time from PROM to IOL ≤12 h; multiparity; and oligohydramnios (AFI &lt;5 cm).</w:t>
      </w:r>
      <w:r w:rsidRPr="0061218E">
        <w:rPr>
          <w:rStyle w:val="apple-converted-space"/>
        </w:rPr>
        <w:t> </w:t>
      </w:r>
      <w:r w:rsidRPr="0061218E">
        <w:rPr>
          <w:rStyle w:val="Strong"/>
          <w:b w:val="0"/>
          <w:bCs w:val="0"/>
        </w:rPr>
        <w:t>Bold p-values</w:t>
      </w:r>
      <w:r w:rsidRPr="0061218E">
        <w:rPr>
          <w:rStyle w:val="apple-converted-space"/>
        </w:rPr>
        <w:t> </w:t>
      </w:r>
      <w:r w:rsidRPr="0061218E">
        <w:t>indicate statistical significance (p ≤ 0.05).</w:t>
      </w:r>
    </w:p>
    <w:p w14:paraId="13B11411" w14:textId="77777777" w:rsidR="000E09D7" w:rsidRDefault="000E09D7">
      <w:pPr>
        <w:spacing w:line="240" w:lineRule="auto"/>
        <w:rPr>
          <w:rStyle w:val="Strong"/>
          <w:rFonts w:cs="Arial"/>
          <w:i/>
          <w:iCs/>
          <w:sz w:val="28"/>
          <w:szCs w:val="28"/>
        </w:rPr>
      </w:pPr>
      <w:r>
        <w:rPr>
          <w:rStyle w:val="Strong"/>
          <w:b w:val="0"/>
          <w:bCs w:val="0"/>
        </w:rPr>
        <w:br w:type="page"/>
      </w:r>
    </w:p>
    <w:p w14:paraId="6738A9CF" w14:textId="0FA8EC9F" w:rsidR="00EC3E92" w:rsidRPr="00EC3E92" w:rsidRDefault="00EC3E92" w:rsidP="00EC3E92">
      <w:pPr>
        <w:pStyle w:val="Heading2"/>
        <w:rPr>
          <w:rStyle w:val="Strong"/>
          <w:b/>
          <w:bCs/>
        </w:rPr>
      </w:pPr>
      <w:r w:rsidRPr="00EC3E92">
        <w:rPr>
          <w:rStyle w:val="Strong"/>
          <w:b/>
          <w:bCs/>
        </w:rPr>
        <w:lastRenderedPageBreak/>
        <w:t>Supplementary Results 3</w:t>
      </w:r>
    </w:p>
    <w:p w14:paraId="6DFD3F13" w14:textId="67E56AA2" w:rsidR="00BD48D7" w:rsidRPr="0061218E" w:rsidRDefault="00BD48D7" w:rsidP="00EC3E92">
      <w:pPr>
        <w:pStyle w:val="Heading3"/>
      </w:pPr>
      <w:r w:rsidRPr="0061218E">
        <w:rPr>
          <w:rStyle w:val="Strong"/>
          <w:b/>
          <w:bCs/>
        </w:rPr>
        <w:t>Predictors of Oxytocin Use</w:t>
      </w:r>
    </w:p>
    <w:p w14:paraId="2769A1E2" w14:textId="0976B606" w:rsidR="00BD48D7" w:rsidRDefault="00B44A78" w:rsidP="00C16AA9">
      <w:pPr>
        <w:ind w:firstLine="720"/>
        <w:jc w:val="both"/>
        <w:rPr>
          <w:rFonts w:cs="Arial"/>
          <w:sz w:val="24"/>
        </w:rPr>
      </w:pPr>
      <w:r w:rsidRPr="0061218E">
        <w:rPr>
          <w:rFonts w:cs="Arial"/>
          <w:sz w:val="24"/>
        </w:rPr>
        <w:t>Multivariable logistic regression analysis identified nulliparity, higher maternal BMI, and polyhydramnios as independent predictors of oxytocin requirements.</w:t>
      </w:r>
      <w:r w:rsidR="00BD48D7" w:rsidRPr="0061218E">
        <w:rPr>
          <w:rFonts w:cs="Arial"/>
          <w:sz w:val="24"/>
        </w:rPr>
        <w:t xml:space="preserve"> </w:t>
      </w:r>
      <w:r w:rsidRPr="0061218E">
        <w:rPr>
          <w:rFonts w:cs="Arial"/>
          <w:sz w:val="24"/>
        </w:rPr>
        <w:t>Nulliparous women had a nearly sixfold increased risk of oxytocin use (OR: 5.95, 95% CI 4.26–8.31; p&lt;0.001), and each unit increase in BMI was associated with an 8% higher likelihood of oxytocin use (OR: 1.08, 95% CI 1.04–1.12; p&lt;0.001).</w:t>
      </w:r>
      <w:r w:rsidR="00BD48D7" w:rsidRPr="0061218E">
        <w:rPr>
          <w:rFonts w:cs="Arial"/>
          <w:sz w:val="24"/>
        </w:rPr>
        <w:t xml:space="preserve"> In contrast, polyhydramnios reduced the need for oxytocin (OR: 0.49, 95% CI: 0.25–0.96; p = 0.039). </w:t>
      </w:r>
      <w:r w:rsidRPr="0061218E">
        <w:rPr>
          <w:rFonts w:cs="Arial"/>
          <w:sz w:val="24"/>
        </w:rPr>
        <w:t>Notably, although polyhydramnios emerged as an independent predictor of oxytocin use, it was not a predictor of cesarean delivery, underscoring the importance of distinguishing outcomes to avoid misinterpretation.</w:t>
      </w:r>
      <w:r w:rsidR="00BD48D7" w:rsidRPr="0061218E">
        <w:rPr>
          <w:rFonts w:cs="Arial"/>
          <w:sz w:val="24"/>
        </w:rPr>
        <w:t xml:space="preserve"> This association should be regarded as hypothesis-generating, as the biological mechanism remains uncertain and requires confirmation in larger prospective studies with standardized definitions. (</w:t>
      </w:r>
      <w:r w:rsidR="00BD48D7" w:rsidRPr="0061218E">
        <w:rPr>
          <w:rFonts w:cs="Arial"/>
          <w:b/>
          <w:bCs/>
          <w:sz w:val="24"/>
        </w:rPr>
        <w:fldChar w:fldCharType="begin"/>
      </w:r>
      <w:r w:rsidR="00BD48D7" w:rsidRPr="0061218E">
        <w:rPr>
          <w:rFonts w:cs="Arial"/>
          <w:b/>
          <w:bCs/>
          <w:sz w:val="24"/>
        </w:rPr>
        <w:instrText xml:space="preserve"> REF _Ref208479322 \h  \* MERGEFORMAT </w:instrText>
      </w:r>
      <w:r w:rsidR="00BD48D7" w:rsidRPr="0061218E">
        <w:rPr>
          <w:rFonts w:cs="Arial"/>
          <w:b/>
          <w:bCs/>
          <w:sz w:val="24"/>
        </w:rPr>
      </w:r>
      <w:r w:rsidR="00BD48D7" w:rsidRPr="0061218E">
        <w:rPr>
          <w:rFonts w:cs="Arial"/>
          <w:b/>
          <w:bCs/>
          <w:sz w:val="24"/>
        </w:rPr>
        <w:fldChar w:fldCharType="separate"/>
      </w:r>
      <w:r w:rsidR="00BD48D7" w:rsidRPr="0061218E">
        <w:rPr>
          <w:rFonts w:cs="Arial"/>
          <w:b/>
          <w:bCs/>
          <w:sz w:val="24"/>
        </w:rPr>
        <w:t>Table S3</w:t>
      </w:r>
      <w:r w:rsidR="00BD48D7" w:rsidRPr="0061218E">
        <w:rPr>
          <w:rFonts w:cs="Arial"/>
          <w:b/>
          <w:bCs/>
          <w:sz w:val="24"/>
        </w:rPr>
        <w:fldChar w:fldCharType="end"/>
      </w:r>
      <w:r w:rsidR="00BD48D7" w:rsidRPr="0061218E">
        <w:rPr>
          <w:rFonts w:cs="Arial"/>
          <w:sz w:val="24"/>
        </w:rPr>
        <w:t xml:space="preserve">). </w:t>
      </w:r>
    </w:p>
    <w:p w14:paraId="52D4634E" w14:textId="77777777" w:rsidR="000E09D7" w:rsidRPr="0061218E" w:rsidRDefault="000E09D7" w:rsidP="00C16AA9">
      <w:pPr>
        <w:ind w:firstLine="720"/>
        <w:jc w:val="both"/>
        <w:rPr>
          <w:rFonts w:cs="Arial"/>
          <w:sz w:val="24"/>
        </w:rPr>
      </w:pPr>
    </w:p>
    <w:p w14:paraId="1A7416D2" w14:textId="1A2CF5AE" w:rsidR="00BD48D7" w:rsidRPr="0061218E" w:rsidRDefault="00BD48D7" w:rsidP="00BD48D7">
      <w:pPr>
        <w:pStyle w:val="Caption"/>
      </w:pPr>
      <w:bookmarkStart w:id="2" w:name="_Ref208479322"/>
      <w:r w:rsidRPr="0061218E">
        <w:t>Table S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61218E">
        <w:t>3</w:t>
      </w:r>
      <w:r>
        <w:fldChar w:fldCharType="end"/>
      </w:r>
      <w:bookmarkEnd w:id="2"/>
      <w:r w:rsidRPr="0061218E">
        <w:t>. Multivariable logistic regression analysis of the predictors of oxytocin usage during labor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2035"/>
        <w:gridCol w:w="981"/>
        <w:gridCol w:w="1902"/>
        <w:gridCol w:w="981"/>
      </w:tblGrid>
      <w:tr w:rsidR="00BD48D7" w:rsidRPr="0061218E" w14:paraId="40912C10" w14:textId="77777777" w:rsidTr="00AD7F32">
        <w:trPr>
          <w:trHeight w:val="28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29C473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4C30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Univariable Analysis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9B9AD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Multivariable Model</w:t>
            </w:r>
          </w:p>
        </w:tc>
      </w:tr>
      <w:tr w:rsidR="00BD48D7" w:rsidRPr="0061218E" w14:paraId="72286D4A" w14:textId="77777777" w:rsidTr="00AD7F32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542D7E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1FFC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9E80A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BAA78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BA324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p-value</w:t>
            </w:r>
          </w:p>
        </w:tc>
      </w:tr>
      <w:tr w:rsidR="00BD48D7" w:rsidRPr="0061218E" w14:paraId="08E41E87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AE5D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Method of induction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EF0A3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88A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A75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912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1E745A1B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3D6D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Other methods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5DFF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E6CE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007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066C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72145F54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187E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DBC alone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B7E82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1.04 (0.64, 1.66)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14F2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57174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243BB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4C3B32F5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1706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Bishop score upon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FE3F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922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A9EC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A5CE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13184988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B27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0D0A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64B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8B1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87B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62718930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C995E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&lt;3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88EBA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0.78 (0.48, 1.26)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C44D1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F324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C847A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23B0A134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E721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Gestational age at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7BE05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A84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52D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813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69A9E461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FE4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Late term (41-&lt;42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31C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E716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CC5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27D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4F48A837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AB3A8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Post-term (≥42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F105F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0.63 (0.37, 1.05)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7F968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BF585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0.75 (0.54, 1.04)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AC050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0.086</w:t>
            </w:r>
          </w:p>
        </w:tc>
      </w:tr>
      <w:tr w:rsidR="00BD48D7" w:rsidRPr="0061218E" w14:paraId="369721D6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A304E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Time from PROM to 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F082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92B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D75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EDC5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7C9DC47F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9E5B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≤12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32B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730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46C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2B5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7AAA7532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8848E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&gt;12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6291A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1.02 (0.64, 1.61)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7985A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0A6D4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E38E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2B8C0154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F998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Nulliparity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34C7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9A2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68C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1EC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1EFC8DF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B42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193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EFD0F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F124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FE0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2C2B374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FCEA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852F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6.32 (3.96, 10.37)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35CD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EE7EA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5.95 (4.26, 8.31)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7D838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</w:tr>
      <w:tr w:rsidR="00BD48D7" w:rsidRPr="0061218E" w14:paraId="420880FB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F51802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Maternal BMI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(kg/m²)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6BD7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1.01 (0.97, 1.05)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BEAB83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6860D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1.08 (1.04, 1.12)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162C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</w:tr>
      <w:tr w:rsidR="00BD48D7" w:rsidRPr="0061218E" w14:paraId="1A2ECD81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48F8AB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Maternal age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8B00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0.89 (0.84, 0.93)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05082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17A32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DBE6B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2D221633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E8B3C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Amniotic fluid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02735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CEEC1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01510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4F46E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BD48D7" w:rsidRPr="0061218E" w14:paraId="789AE1B1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A6E22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Oligohydramnios (&lt;5 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FCC6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1017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92FC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B134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  <w:tr w:rsidR="00BD48D7" w:rsidRPr="0061218E" w14:paraId="0E2DD254" w14:textId="77777777" w:rsidTr="00AD7F32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D1404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Polyhydramnios (&gt;25 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9BE319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0.63 (0.33, 1.19)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6400DB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81DC68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0.49 (0.25, 0.96)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F1253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0.039</w:t>
            </w:r>
          </w:p>
        </w:tc>
      </w:tr>
      <w:tr w:rsidR="00BD48D7" w:rsidRPr="0061218E" w14:paraId="4182AF5C" w14:textId="77777777" w:rsidTr="00AD7F3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EA9E99" w14:textId="77777777" w:rsidR="00BD48D7" w:rsidRPr="0061218E" w:rsidRDefault="00BD48D7" w:rsidP="003317BF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r w:rsidRPr="0061218E">
              <w:rPr>
                <w:rFonts w:cs="Arial"/>
                <w:b/>
                <w:bCs/>
                <w:color w:val="000000"/>
                <w:sz w:val="24"/>
              </w:rPr>
              <w:t>Estimated fetal weight</w:t>
            </w:r>
            <w:r w:rsidRPr="0061218E">
              <w:rPr>
                <w:rFonts w:cs="Arial"/>
                <w:color w:val="000000"/>
                <w:sz w:val="24"/>
              </w:rPr>
              <w:t xml:space="preserve"> </w:t>
            </w:r>
            <w:r w:rsidRPr="0061218E">
              <w:rPr>
                <w:rFonts w:cs="Arial"/>
                <w:i/>
                <w:iCs/>
                <w:color w:val="000000"/>
                <w:sz w:val="24"/>
              </w:rPr>
              <w:t>(per 1000g)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306A5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1.01 (1.00, 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2CCD6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68E44A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ACDB7" w14:textId="77777777" w:rsidR="00BD48D7" w:rsidRPr="0061218E" w:rsidRDefault="00BD48D7" w:rsidP="003317BF">
            <w:pPr>
              <w:spacing w:line="240" w:lineRule="auto"/>
              <w:jc w:val="center"/>
              <w:rPr>
                <w:rFonts w:cs="Arial"/>
                <w:color w:val="000000"/>
                <w:sz w:val="24"/>
              </w:rPr>
            </w:pPr>
            <w:r w:rsidRPr="0061218E">
              <w:rPr>
                <w:rFonts w:cs="Arial"/>
                <w:color w:val="000000"/>
                <w:sz w:val="24"/>
              </w:rPr>
              <w:t>-</w:t>
            </w:r>
          </w:p>
        </w:tc>
      </w:tr>
    </w:tbl>
    <w:p w14:paraId="6E0E4F8A" w14:textId="58619023" w:rsidR="00BD48D7" w:rsidRPr="00D15A08" w:rsidRDefault="00B44A78" w:rsidP="00C16AA9">
      <w:pPr>
        <w:pStyle w:val="Subtitle"/>
      </w:pPr>
      <w:r w:rsidRPr="0061218E">
        <w:t>OR, odds ratio; CI, confidence interval; DBC, double-balloon catheter; PROM, premature rupture of membranes; IOL, induction of labor; BMI, body mass index; AFI, amniotic fluid index.</w:t>
      </w:r>
      <w:r w:rsidR="00BD48D7" w:rsidRPr="0061218E">
        <w:t xml:space="preserve"> The dependent variable was oxytocin augmentation during labor (</w:t>
      </w:r>
      <w:r w:rsidR="00BD48D7" w:rsidRPr="000E09D7">
        <w:rPr>
          <w:rStyle w:val="Strong"/>
          <w:b w:val="0"/>
          <w:bCs w:val="0"/>
        </w:rPr>
        <w:t>yes/no</w:t>
      </w:r>
      <w:r w:rsidR="00BD48D7" w:rsidRPr="0061218E">
        <w:t xml:space="preserve">). </w:t>
      </w:r>
      <w:r w:rsidRPr="0061218E">
        <w:t>The multivariable model was constructed using backward stepwise (</w:t>
      </w:r>
      <w:r w:rsidRPr="000E09D7">
        <w:rPr>
          <w:rStyle w:val="Strong"/>
          <w:b w:val="0"/>
          <w:bCs w:val="0"/>
        </w:rPr>
        <w:t>likelihood ratio</w:t>
      </w:r>
      <w:r w:rsidRPr="0061218E">
        <w:t>) selection, retaining only the significant and clinically relevant predictors.</w:t>
      </w:r>
      <w:r w:rsidR="00BD48D7" w:rsidRPr="0061218E">
        <w:t xml:space="preserve"> </w:t>
      </w:r>
      <w:r w:rsidRPr="0061218E">
        <w:t>The model classification accuracy was 67.8%, and the</w:t>
      </w:r>
      <w:r w:rsidRPr="0061218E">
        <w:rPr>
          <w:rStyle w:val="apple-converted-space"/>
          <w:rFonts w:eastAsiaTheme="majorEastAsia"/>
        </w:rPr>
        <w:t> </w:t>
      </w:r>
      <w:r w:rsidRPr="0061218E">
        <w:t>Hosmer–Lemeshow test indicated good fit.</w:t>
      </w:r>
      <w:r w:rsidR="00BD48D7" w:rsidRPr="0061218E">
        <w:rPr>
          <w:rStyle w:val="apple-converted-space"/>
          <w:rFonts w:eastAsiaTheme="majorEastAsia"/>
        </w:rPr>
        <w:t> </w:t>
      </w:r>
      <w:r w:rsidRPr="000E09D7">
        <w:rPr>
          <w:rStyle w:val="Strong"/>
          <w:b w:val="0"/>
          <w:bCs w:val="0"/>
        </w:rPr>
        <w:t>Reference categories were as follows:</w:t>
      </w:r>
      <w:r w:rsidRPr="0061218E">
        <w:t> Bishop score ≥3; late-term pregnancy (41–&lt;42 weeks); time from PROM to IOL ≤12 h; multiparity; and oligohydramnios (AFI &lt;5 cm).</w:t>
      </w:r>
      <w:r w:rsidR="00BD48D7" w:rsidRPr="0061218E">
        <w:rPr>
          <w:rStyle w:val="apple-converted-space"/>
          <w:rFonts w:eastAsiaTheme="majorEastAsia"/>
        </w:rPr>
        <w:t> </w:t>
      </w:r>
      <w:r w:rsidR="00BD48D7" w:rsidRPr="000E09D7">
        <w:rPr>
          <w:rStyle w:val="Strong"/>
          <w:b w:val="0"/>
          <w:bCs w:val="0"/>
        </w:rPr>
        <w:t>Bold p-values</w:t>
      </w:r>
      <w:r w:rsidR="00BD48D7" w:rsidRPr="000E09D7">
        <w:rPr>
          <w:rStyle w:val="apple-converted-space"/>
          <w:rFonts w:eastAsiaTheme="majorEastAsia"/>
          <w:b/>
          <w:bCs/>
        </w:rPr>
        <w:t> </w:t>
      </w:r>
      <w:r w:rsidR="00BD48D7" w:rsidRPr="0061218E">
        <w:t>indicate statistical significance (p ≤ 0.05)</w:t>
      </w:r>
      <w:r w:rsidR="00AD7F32" w:rsidRPr="0061218E">
        <w:t>.</w:t>
      </w:r>
    </w:p>
    <w:sectPr w:rsidR="00BD48D7" w:rsidRPr="00D15A08" w:rsidSect="00D0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320" w:h="2110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8DD4" w14:textId="77777777" w:rsidR="00376670" w:rsidRPr="00B915E4" w:rsidRDefault="00376670">
      <w:r w:rsidRPr="00B915E4">
        <w:separator/>
      </w:r>
    </w:p>
  </w:endnote>
  <w:endnote w:type="continuationSeparator" w:id="0">
    <w:p w14:paraId="16607078" w14:textId="77777777" w:rsidR="00376670" w:rsidRPr="00B915E4" w:rsidRDefault="00376670">
      <w:r w:rsidRPr="00B91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6C5368" w:rsidRPr="00B915E4" w:rsidRDefault="006C536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2CAF2E2E" w14:textId="77777777" w:rsidR="006C5368" w:rsidRPr="00B915E4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6FB5C562" w:rsidR="006C5368" w:rsidRPr="00B915E4" w:rsidRDefault="00D82CEA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PageNumber"/>
      </w:rPr>
      <w:fldChar w:fldCharType="begin"/>
    </w:r>
    <w:r w:rsidR="006C5368" w:rsidRPr="00B915E4">
      <w:rPr>
        <w:rStyle w:val="PageNumber"/>
      </w:rPr>
      <w:instrText xml:space="preserve">PAGE  </w:instrText>
    </w:r>
    <w:r w:rsidR="006C5368" w:rsidRPr="00B915E4">
      <w:rPr>
        <w:rStyle w:val="PageNumber"/>
      </w:rPr>
      <w:fldChar w:fldCharType="separate"/>
    </w:r>
    <w:r w:rsidR="00C94612" w:rsidRPr="00B915E4">
      <w:rPr>
        <w:rStyle w:val="PageNumber"/>
      </w:rPr>
      <w:t>5</w:t>
    </w:r>
    <w:r w:rsidR="006C5368" w:rsidRPr="00B915E4">
      <w:rPr>
        <w:rStyle w:val="PageNumber"/>
      </w:rPr>
      <w:fldChar w:fldCharType="end"/>
    </w:r>
  </w:p>
  <w:p w14:paraId="57E037CD" w14:textId="77777777" w:rsidR="006C5368" w:rsidRPr="00B915E4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367" w14:textId="2D5073CE" w:rsidR="00740F67" w:rsidRPr="00B915E4" w:rsidRDefault="00D82CEA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CF4B" w14:textId="77777777" w:rsidR="00376670" w:rsidRPr="00B915E4" w:rsidRDefault="00376670">
      <w:r w:rsidRPr="00B915E4">
        <w:separator/>
      </w:r>
    </w:p>
  </w:footnote>
  <w:footnote w:type="continuationSeparator" w:id="0">
    <w:p w14:paraId="3FCE1FCB" w14:textId="77777777" w:rsidR="00376670" w:rsidRPr="00B915E4" w:rsidRDefault="00376670">
      <w:r w:rsidRPr="00B91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6C53" w14:textId="77777777" w:rsidR="00435BFD" w:rsidRDefault="00435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237C" w14:textId="77777777" w:rsidR="00435BFD" w:rsidRDefault="00435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23D9" w14:textId="77777777" w:rsidR="00435BFD" w:rsidRDefault="00435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1"/>
  </w:num>
  <w:num w:numId="2" w16cid:durableId="270280036">
    <w:abstractNumId w:val="2"/>
  </w:num>
  <w:num w:numId="3" w16cid:durableId="709231974">
    <w:abstractNumId w:val="5"/>
  </w:num>
  <w:num w:numId="4" w16cid:durableId="1854609451">
    <w:abstractNumId w:val="3"/>
  </w:num>
  <w:num w:numId="5" w16cid:durableId="693575561">
    <w:abstractNumId w:val="0"/>
  </w:num>
  <w:num w:numId="6" w16cid:durableId="104190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21B1E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774B1"/>
    <w:rsid w:val="0008401B"/>
    <w:rsid w:val="00087F9B"/>
    <w:rsid w:val="000A4388"/>
    <w:rsid w:val="000B2BC9"/>
    <w:rsid w:val="000C59ED"/>
    <w:rsid w:val="000D3E37"/>
    <w:rsid w:val="000D5360"/>
    <w:rsid w:val="000E09D7"/>
    <w:rsid w:val="000E6B48"/>
    <w:rsid w:val="000E7758"/>
    <w:rsid w:val="000F3098"/>
    <w:rsid w:val="00117777"/>
    <w:rsid w:val="00127CD5"/>
    <w:rsid w:val="001337FB"/>
    <w:rsid w:val="00141035"/>
    <w:rsid w:val="0014777C"/>
    <w:rsid w:val="0017004E"/>
    <w:rsid w:val="00170F20"/>
    <w:rsid w:val="00173279"/>
    <w:rsid w:val="00191F49"/>
    <w:rsid w:val="001E7479"/>
    <w:rsid w:val="00203209"/>
    <w:rsid w:val="00212E22"/>
    <w:rsid w:val="002175F0"/>
    <w:rsid w:val="00217D65"/>
    <w:rsid w:val="0022632E"/>
    <w:rsid w:val="00240E76"/>
    <w:rsid w:val="002438F8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42717"/>
    <w:rsid w:val="0037212B"/>
    <w:rsid w:val="00376670"/>
    <w:rsid w:val="0038573C"/>
    <w:rsid w:val="0038598C"/>
    <w:rsid w:val="0039041E"/>
    <w:rsid w:val="003948EC"/>
    <w:rsid w:val="003A6F39"/>
    <w:rsid w:val="003B4083"/>
    <w:rsid w:val="003D69BD"/>
    <w:rsid w:val="003E757F"/>
    <w:rsid w:val="003F724E"/>
    <w:rsid w:val="00410570"/>
    <w:rsid w:val="00411796"/>
    <w:rsid w:val="00415E53"/>
    <w:rsid w:val="00416C1A"/>
    <w:rsid w:val="0042633D"/>
    <w:rsid w:val="00431388"/>
    <w:rsid w:val="00435BFD"/>
    <w:rsid w:val="00441D51"/>
    <w:rsid w:val="00473BF1"/>
    <w:rsid w:val="004754C9"/>
    <w:rsid w:val="00484520"/>
    <w:rsid w:val="004B026E"/>
    <w:rsid w:val="004B52C5"/>
    <w:rsid w:val="004C5313"/>
    <w:rsid w:val="004C5DB2"/>
    <w:rsid w:val="004D03FB"/>
    <w:rsid w:val="004E0368"/>
    <w:rsid w:val="004E2F6D"/>
    <w:rsid w:val="004E782D"/>
    <w:rsid w:val="004F6952"/>
    <w:rsid w:val="00511DB2"/>
    <w:rsid w:val="00553800"/>
    <w:rsid w:val="00556F09"/>
    <w:rsid w:val="00565970"/>
    <w:rsid w:val="005A505B"/>
    <w:rsid w:val="005A6431"/>
    <w:rsid w:val="005E1ECB"/>
    <w:rsid w:val="00600B5C"/>
    <w:rsid w:val="0060400B"/>
    <w:rsid w:val="00611C5F"/>
    <w:rsid w:val="0061218E"/>
    <w:rsid w:val="00616A5D"/>
    <w:rsid w:val="0062140C"/>
    <w:rsid w:val="006316EF"/>
    <w:rsid w:val="00646CF0"/>
    <w:rsid w:val="00661C2D"/>
    <w:rsid w:val="00662E52"/>
    <w:rsid w:val="006635F3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3D46"/>
    <w:rsid w:val="00745C2A"/>
    <w:rsid w:val="00753E6B"/>
    <w:rsid w:val="00760403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346B0"/>
    <w:rsid w:val="00835242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D66F7"/>
    <w:rsid w:val="008E3EA8"/>
    <w:rsid w:val="00900663"/>
    <w:rsid w:val="00901244"/>
    <w:rsid w:val="0091401F"/>
    <w:rsid w:val="009147B3"/>
    <w:rsid w:val="00927DE6"/>
    <w:rsid w:val="009345FC"/>
    <w:rsid w:val="00936759"/>
    <w:rsid w:val="00937F3D"/>
    <w:rsid w:val="00946800"/>
    <w:rsid w:val="009563F4"/>
    <w:rsid w:val="00956C4D"/>
    <w:rsid w:val="009828D3"/>
    <w:rsid w:val="00992CB9"/>
    <w:rsid w:val="009A1F5A"/>
    <w:rsid w:val="009A3534"/>
    <w:rsid w:val="009A4057"/>
    <w:rsid w:val="009A514E"/>
    <w:rsid w:val="009B1D49"/>
    <w:rsid w:val="009D3AD0"/>
    <w:rsid w:val="00A06800"/>
    <w:rsid w:val="00A10913"/>
    <w:rsid w:val="00A131ED"/>
    <w:rsid w:val="00A20FFB"/>
    <w:rsid w:val="00A3756A"/>
    <w:rsid w:val="00A445D7"/>
    <w:rsid w:val="00A526C7"/>
    <w:rsid w:val="00A6170F"/>
    <w:rsid w:val="00A63CD7"/>
    <w:rsid w:val="00A70251"/>
    <w:rsid w:val="00A774A4"/>
    <w:rsid w:val="00AB389E"/>
    <w:rsid w:val="00AB47E4"/>
    <w:rsid w:val="00AC1F93"/>
    <w:rsid w:val="00AC40EE"/>
    <w:rsid w:val="00AC5480"/>
    <w:rsid w:val="00AD76B0"/>
    <w:rsid w:val="00AD7F32"/>
    <w:rsid w:val="00AE5062"/>
    <w:rsid w:val="00B204D2"/>
    <w:rsid w:val="00B26A6E"/>
    <w:rsid w:val="00B30BC3"/>
    <w:rsid w:val="00B44A78"/>
    <w:rsid w:val="00B54F20"/>
    <w:rsid w:val="00B7570E"/>
    <w:rsid w:val="00B75B63"/>
    <w:rsid w:val="00B82724"/>
    <w:rsid w:val="00B86FEB"/>
    <w:rsid w:val="00B915E4"/>
    <w:rsid w:val="00B96017"/>
    <w:rsid w:val="00BB027B"/>
    <w:rsid w:val="00BD48D7"/>
    <w:rsid w:val="00BD6666"/>
    <w:rsid w:val="00C11F0C"/>
    <w:rsid w:val="00C16AA9"/>
    <w:rsid w:val="00C27B5D"/>
    <w:rsid w:val="00C43B3D"/>
    <w:rsid w:val="00C548FC"/>
    <w:rsid w:val="00C701F9"/>
    <w:rsid w:val="00C86935"/>
    <w:rsid w:val="00C94612"/>
    <w:rsid w:val="00CB0023"/>
    <w:rsid w:val="00CB528C"/>
    <w:rsid w:val="00CC1ADF"/>
    <w:rsid w:val="00CC77D5"/>
    <w:rsid w:val="00CD758F"/>
    <w:rsid w:val="00CE79D7"/>
    <w:rsid w:val="00CE7DDC"/>
    <w:rsid w:val="00D00B4B"/>
    <w:rsid w:val="00D06624"/>
    <w:rsid w:val="00D10823"/>
    <w:rsid w:val="00D20F53"/>
    <w:rsid w:val="00D50641"/>
    <w:rsid w:val="00D51863"/>
    <w:rsid w:val="00D578A6"/>
    <w:rsid w:val="00D700C3"/>
    <w:rsid w:val="00D7204D"/>
    <w:rsid w:val="00D74F6E"/>
    <w:rsid w:val="00D81B3E"/>
    <w:rsid w:val="00D82CEA"/>
    <w:rsid w:val="00D94F22"/>
    <w:rsid w:val="00DB0A0D"/>
    <w:rsid w:val="00DB423B"/>
    <w:rsid w:val="00DB6C77"/>
    <w:rsid w:val="00DE5F42"/>
    <w:rsid w:val="00DF33E9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A1463"/>
    <w:rsid w:val="00EC0D75"/>
    <w:rsid w:val="00EC3E92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6EB3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D48D7"/>
    <w:pPr>
      <w:keepNext/>
      <w:spacing w:line="276" w:lineRule="auto"/>
    </w:pPr>
    <w:rPr>
      <w:rFonts w:eastAsia="Calibri" w:cs="Arial"/>
      <w:b/>
      <w:iCs/>
      <w:sz w:val="24"/>
      <w:lang w:eastAsia="tr-TR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16AA9"/>
    <w:pPr>
      <w:spacing w:after="240" w:line="240" w:lineRule="auto"/>
      <w:jc w:val="both"/>
    </w:pPr>
    <w:rPr>
      <w:rFonts w:cs="Arial"/>
      <w:i/>
      <w:color w:val="0E101A"/>
      <w:sz w:val="24"/>
      <w:lang w:eastAsia="tr-TR"/>
    </w:rPr>
  </w:style>
  <w:style w:type="character" w:customStyle="1" w:styleId="SubtitleChar">
    <w:name w:val="Subtitle Char"/>
    <w:basedOn w:val="DefaultParagraphFont"/>
    <w:link w:val="Subtitle"/>
    <w:uiPriority w:val="11"/>
    <w:rsid w:val="00C16AA9"/>
    <w:rPr>
      <w:rFonts w:ascii="Arial" w:hAnsi="Arial" w:cs="Arial"/>
      <w:i/>
      <w:color w:val="0E101A"/>
      <w:sz w:val="24"/>
      <w:szCs w:val="24"/>
      <w:lang w:eastAsia="tr-TR"/>
    </w:rPr>
  </w:style>
  <w:style w:type="paragraph" w:customStyle="1" w:styleId="BalkS2">
    <w:name w:val="Başlık S2"/>
    <w:basedOn w:val="Normal"/>
    <w:autoRedefine/>
    <w:qFormat/>
    <w:rsid w:val="00CC77D5"/>
    <w:pPr>
      <w:contextualSpacing/>
      <w:outlineLvl w:val="2"/>
    </w:pPr>
    <w:rPr>
      <w:rFonts w:cs="Arial"/>
      <w:b/>
      <w:sz w:val="24"/>
      <w:lang w:eastAsia="tr-TR"/>
    </w:rPr>
  </w:style>
  <w:style w:type="character" w:styleId="Strong">
    <w:name w:val="Strong"/>
    <w:basedOn w:val="DefaultParagraphFont"/>
    <w:uiPriority w:val="22"/>
    <w:qFormat/>
    <w:rsid w:val="00BD48D7"/>
    <w:rPr>
      <w:b/>
      <w:bCs/>
    </w:rPr>
  </w:style>
  <w:style w:type="character" w:customStyle="1" w:styleId="apple-converted-space">
    <w:name w:val="apple-converted-space"/>
    <w:basedOn w:val="DefaultParagraphFont"/>
    <w:rsid w:val="00BD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BE40E29-6FC0-1540-A8E3-517B5BF41256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f828b851-dc70-44ba-aeb8-6230b385ca85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423626B-44D9-7E4B-91A8-6C5AF1D48159}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ef9cc188-ae99-41f5-8f27-39f05c612d1f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7567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Renee Gordon</cp:lastModifiedBy>
  <cp:revision>3</cp:revision>
  <cp:lastPrinted>2009-01-07T21:57:00Z</cp:lastPrinted>
  <dcterms:created xsi:type="dcterms:W3CDTF">2026-05-06T06:28:00Z</dcterms:created>
  <dcterms:modified xsi:type="dcterms:W3CDTF">2026-05-06T22:52:00Z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