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835F" w14:textId="3C2894B5" w:rsidR="00E629BE" w:rsidRPr="00AE00E6" w:rsidRDefault="006D6120" w:rsidP="00FD1CFE">
      <w:pPr>
        <w:spacing w:line="480" w:lineRule="auto"/>
        <w:rPr>
          <w:rFonts w:cs="Times New Roman"/>
          <w:b/>
          <w:bCs/>
          <w:sz w:val="24"/>
          <w:lang w:val="en-US"/>
        </w:rPr>
      </w:pPr>
      <w:r w:rsidRPr="00AE00E6">
        <w:rPr>
          <w:rFonts w:cs="Times New Roman"/>
          <w:b/>
          <w:bCs/>
          <w:sz w:val="24"/>
          <w:lang w:val="en-US"/>
        </w:rPr>
        <w:t>SUPPLEMENTA</w:t>
      </w:r>
      <w:r w:rsidR="006E79DA">
        <w:rPr>
          <w:rFonts w:cs="Times New Roman"/>
          <w:b/>
          <w:bCs/>
          <w:sz w:val="24"/>
          <w:lang w:val="en-US"/>
        </w:rPr>
        <w:t>RY</w:t>
      </w:r>
    </w:p>
    <w:p w14:paraId="15889497" w14:textId="63AACBDF" w:rsidR="00DF7CD9" w:rsidRDefault="00DF7CD9" w:rsidP="00FD1CFE">
      <w:pPr>
        <w:rPr>
          <w:rFonts w:cs="Times New Roman"/>
          <w:b/>
          <w:bCs/>
          <w:sz w:val="24"/>
          <w:lang w:val="en-US"/>
        </w:rPr>
      </w:pPr>
    </w:p>
    <w:p w14:paraId="263B8C47" w14:textId="27740F37" w:rsidR="002C2AEC" w:rsidRDefault="002C2AEC" w:rsidP="00FD1CFE">
      <w:pPr>
        <w:spacing w:line="480" w:lineRule="auto"/>
        <w:rPr>
          <w:rFonts w:cs="Times New Roman"/>
          <w:b/>
          <w:bCs/>
          <w:sz w:val="24"/>
          <w:lang w:val="en-US"/>
        </w:rPr>
      </w:pPr>
      <w:r w:rsidRPr="00B05F50">
        <w:rPr>
          <w:rFonts w:cs="Times New Roman"/>
          <w:b/>
          <w:bCs/>
          <w:sz w:val="24"/>
          <w:lang w:val="en-US"/>
        </w:rPr>
        <w:t xml:space="preserve">Supplement </w:t>
      </w:r>
      <w:r w:rsidR="00813209">
        <w:rPr>
          <w:rFonts w:cs="Times New Roman"/>
          <w:b/>
          <w:bCs/>
          <w:sz w:val="24"/>
          <w:lang w:val="en-US"/>
        </w:rPr>
        <w:t>1</w:t>
      </w:r>
      <w:r>
        <w:rPr>
          <w:rFonts w:cs="Times New Roman"/>
          <w:b/>
          <w:bCs/>
          <w:sz w:val="24"/>
          <w:lang w:val="en-US"/>
        </w:rPr>
        <w:t xml:space="preserve">. </w:t>
      </w:r>
      <w:r w:rsidR="00C90E15">
        <w:rPr>
          <w:rFonts w:cs="Times New Roman"/>
          <w:b/>
          <w:bCs/>
          <w:sz w:val="24"/>
          <w:lang w:val="en-US"/>
        </w:rPr>
        <w:t xml:space="preserve">Details of </w:t>
      </w:r>
      <w:r w:rsidR="000359F8">
        <w:rPr>
          <w:rFonts w:cs="Times New Roman"/>
          <w:b/>
          <w:bCs/>
          <w:sz w:val="24"/>
          <w:lang w:val="en-US"/>
        </w:rPr>
        <w:t>C</w:t>
      </w:r>
      <w:r w:rsidR="000359F8" w:rsidRPr="000359F8">
        <w:rPr>
          <w:rFonts w:cs="Times New Roman"/>
          <w:b/>
          <w:bCs/>
          <w:sz w:val="24"/>
          <w:lang w:val="en-US"/>
        </w:rPr>
        <w:t>ost</w:t>
      </w:r>
      <w:r w:rsidR="002856C2">
        <w:rPr>
          <w:rFonts w:cs="Times New Roman"/>
          <w:b/>
          <w:bCs/>
          <w:sz w:val="24"/>
          <w:lang w:val="en-US"/>
        </w:rPr>
        <w:t xml:space="preserve"> and Utility Value</w:t>
      </w:r>
      <w:r w:rsidR="000359F8" w:rsidRPr="000359F8">
        <w:rPr>
          <w:rFonts w:cs="Times New Roman"/>
          <w:b/>
          <w:bCs/>
          <w:sz w:val="24"/>
          <w:lang w:val="en-US"/>
        </w:rPr>
        <w:t xml:space="preserve"> </w:t>
      </w:r>
      <w:r w:rsidR="002856C2">
        <w:rPr>
          <w:rFonts w:cs="Times New Roman"/>
          <w:b/>
          <w:bCs/>
          <w:sz w:val="24"/>
          <w:lang w:val="en-US"/>
        </w:rPr>
        <w:t>Calculations</w:t>
      </w:r>
    </w:p>
    <w:p w14:paraId="0B44117D" w14:textId="0539D9A3" w:rsidR="00033FB3" w:rsidRPr="00033FB3" w:rsidRDefault="00033FB3" w:rsidP="00FD1CFE">
      <w:pPr>
        <w:spacing w:line="480" w:lineRule="auto"/>
        <w:ind w:firstLine="720"/>
        <w:jc w:val="both"/>
        <w:rPr>
          <w:rFonts w:eastAsia="Times New Roman" w:cs="Times New Roman"/>
          <w:kern w:val="0"/>
          <w:sz w:val="24"/>
          <w:lang w:val="en-US" w:bidi="th-TH"/>
          <w14:ligatures w14:val="none"/>
        </w:rPr>
      </w:pPr>
      <w:r w:rsidRPr="00033FB3">
        <w:rPr>
          <w:rFonts w:eastAsia="Times New Roman" w:cs="Times New Roman"/>
          <w:kern w:val="0"/>
          <w:sz w:val="24"/>
          <w:lang w:val="en-US" w:bidi="th-TH"/>
          <w14:ligatures w14:val="none"/>
        </w:rPr>
        <w:t>We obtained data on medical costs related to cataract surgery from hospital billing records and patient service invoices (billing data) in the E</w:t>
      </w:r>
      <w:r w:rsidR="001074CD">
        <w:rPr>
          <w:rFonts w:eastAsia="Times New Roman" w:cs="Times New Roman"/>
          <w:kern w:val="0"/>
          <w:sz w:val="24"/>
          <w:lang w:val="en-US" w:bidi="th-TH"/>
          <w14:ligatures w14:val="none"/>
        </w:rPr>
        <w:t xml:space="preserve">lectronic Medical </w:t>
      </w:r>
      <w:r w:rsidRPr="00033FB3">
        <w:rPr>
          <w:rFonts w:eastAsia="Times New Roman" w:cs="Times New Roman"/>
          <w:kern w:val="0"/>
          <w:sz w:val="24"/>
          <w:lang w:val="en-US" w:bidi="th-TH"/>
          <w14:ligatures w14:val="none"/>
        </w:rPr>
        <w:t>R</w:t>
      </w:r>
      <w:r w:rsidR="001074CD">
        <w:rPr>
          <w:rFonts w:eastAsia="Times New Roman" w:cs="Times New Roman"/>
          <w:kern w:val="0"/>
          <w:sz w:val="24"/>
          <w:lang w:val="en-US" w:bidi="th-TH"/>
          <w14:ligatures w14:val="none"/>
        </w:rPr>
        <w:t>ecord</w:t>
      </w:r>
      <w:r w:rsidRPr="00033FB3">
        <w:rPr>
          <w:rFonts w:eastAsia="Times New Roman" w:cs="Times New Roman"/>
          <w:kern w:val="0"/>
          <w:sz w:val="24"/>
          <w:lang w:val="en-US" w:bidi="th-TH"/>
          <w14:ligatures w14:val="none"/>
        </w:rPr>
        <w:t xml:space="preserve"> </w:t>
      </w:r>
      <w:r w:rsidR="001074CD">
        <w:rPr>
          <w:rFonts w:eastAsia="Times New Roman" w:cs="Times New Roman"/>
          <w:kern w:val="0"/>
          <w:sz w:val="24"/>
          <w:lang w:val="en-US" w:bidi="th-TH"/>
          <w14:ligatures w14:val="none"/>
        </w:rPr>
        <w:t xml:space="preserve">of King Chulalongkorn Memorial Hospital (KCMH) </w:t>
      </w:r>
      <w:r w:rsidRPr="00033FB3">
        <w:rPr>
          <w:rFonts w:eastAsia="Times New Roman" w:cs="Times New Roman"/>
          <w:kern w:val="0"/>
          <w:sz w:val="24"/>
          <w:lang w:val="en-US" w:bidi="th-TH"/>
          <w14:ligatures w14:val="none"/>
        </w:rPr>
        <w:t xml:space="preserve">with the approval of the Director of KCMH </w:t>
      </w:r>
      <w:bookmarkStart w:id="0" w:name="OLE_LINK8"/>
      <w:r w:rsidRPr="00033FB3">
        <w:rPr>
          <w:rFonts w:eastAsia="Times New Roman" w:cs="Times New Roman"/>
          <w:kern w:val="0"/>
          <w:sz w:val="24"/>
          <w:lang w:val="en-US" w:bidi="th-TH"/>
          <w14:ligatures w14:val="none"/>
        </w:rPr>
        <w:t>(Approval Number: ECC 417/2567)</w:t>
      </w:r>
      <w:bookmarkEnd w:id="0"/>
      <w:r w:rsidRPr="00033FB3">
        <w:rPr>
          <w:rFonts w:eastAsia="Times New Roman" w:cs="Times New Roman"/>
          <w:kern w:val="0"/>
          <w:sz w:val="24"/>
          <w:lang w:val="en-US" w:bidi="th-TH"/>
          <w14:ligatures w14:val="none"/>
        </w:rPr>
        <w:t>.</w:t>
      </w:r>
    </w:p>
    <w:p w14:paraId="4D5F9F7B" w14:textId="500280A6" w:rsidR="00033FB3" w:rsidRPr="00033FB3" w:rsidRDefault="00033FB3" w:rsidP="00FD1CFE">
      <w:pPr>
        <w:spacing w:line="480" w:lineRule="auto"/>
        <w:ind w:firstLine="720"/>
        <w:jc w:val="both"/>
        <w:rPr>
          <w:rFonts w:eastAsia="Times New Roman" w:cs="Times New Roman"/>
          <w:kern w:val="0"/>
          <w:sz w:val="24"/>
          <w:lang w:val="en-US" w:bidi="th-TH"/>
          <w14:ligatures w14:val="none"/>
        </w:rPr>
      </w:pPr>
      <w:r w:rsidRPr="00033FB3">
        <w:rPr>
          <w:rFonts w:eastAsia="Times New Roman" w:cs="Times New Roman"/>
          <w:kern w:val="0"/>
          <w:sz w:val="24"/>
          <w:lang w:val="en-US" w:bidi="th-TH"/>
          <w14:ligatures w14:val="none"/>
        </w:rPr>
        <w:t xml:space="preserve">Direct medical costs include constant costs (comprising operation fee, anesthesia, </w:t>
      </w:r>
      <w:r w:rsidR="00D52081">
        <w:rPr>
          <w:rFonts w:eastAsia="Times New Roman" w:cs="Times New Roman"/>
          <w:kern w:val="0"/>
          <w:sz w:val="24"/>
          <w:lang w:val="en-US" w:bidi="th-TH"/>
          <w14:ligatures w14:val="none"/>
        </w:rPr>
        <w:t>intraocular lens (</w:t>
      </w:r>
      <w:r w:rsidRPr="00033FB3">
        <w:rPr>
          <w:rFonts w:eastAsia="Times New Roman" w:cs="Times New Roman"/>
          <w:kern w:val="0"/>
          <w:sz w:val="24"/>
          <w:lang w:val="en-US" w:bidi="th-TH"/>
          <w14:ligatures w14:val="none"/>
        </w:rPr>
        <w:t>IOL</w:t>
      </w:r>
      <w:r w:rsidR="00D52081">
        <w:rPr>
          <w:rFonts w:eastAsia="Times New Roman" w:cs="Times New Roman"/>
          <w:kern w:val="0"/>
          <w:sz w:val="24"/>
          <w:lang w:val="en-US" w:bidi="th-TH"/>
          <w14:ligatures w14:val="none"/>
        </w:rPr>
        <w:t>)</w:t>
      </w:r>
      <w:r w:rsidRPr="00033FB3">
        <w:rPr>
          <w:rFonts w:eastAsia="Times New Roman" w:cs="Times New Roman"/>
          <w:kern w:val="0"/>
          <w:sz w:val="24"/>
          <w:lang w:val="en-US" w:bidi="th-TH"/>
          <w14:ligatures w14:val="none"/>
        </w:rPr>
        <w:t>, and surgeon’s fees), outpatient department (OPD) visit costs, medications, and other consumable medical supplies.</w:t>
      </w:r>
    </w:p>
    <w:p w14:paraId="68761EED" w14:textId="77777777" w:rsidR="00033FB3" w:rsidRPr="00033FB3" w:rsidRDefault="00033FB3" w:rsidP="00FD1CFE">
      <w:pPr>
        <w:numPr>
          <w:ilvl w:val="0"/>
          <w:numId w:val="9"/>
        </w:numPr>
        <w:spacing w:line="480" w:lineRule="auto"/>
        <w:contextualSpacing/>
        <w:jc w:val="both"/>
        <w:rPr>
          <w:rFonts w:eastAsia="Calibri"/>
          <w:sz w:val="24"/>
          <w:lang w:val="en-US"/>
        </w:rPr>
      </w:pPr>
      <w:r w:rsidRPr="00033FB3">
        <w:rPr>
          <w:rFonts w:eastAsia="Calibri"/>
          <w:sz w:val="24"/>
          <w:lang w:val="en-US"/>
        </w:rPr>
        <w:t>Constant costs: At KCMH, certain costs, such as operation, anesthesia, surgeon fee, and IOL cost, are determined per eye of surgery. Therefore, the total costs for these components are considered equal between ISBCS and DSBCS for economic evaluation.</w:t>
      </w:r>
    </w:p>
    <w:p w14:paraId="168D63DC" w14:textId="77777777" w:rsidR="00033FB3" w:rsidRPr="00033FB3" w:rsidRDefault="00033FB3" w:rsidP="00FD1CFE">
      <w:pPr>
        <w:numPr>
          <w:ilvl w:val="0"/>
          <w:numId w:val="9"/>
        </w:numPr>
        <w:spacing w:line="480" w:lineRule="auto"/>
        <w:contextualSpacing/>
        <w:jc w:val="both"/>
        <w:rPr>
          <w:rFonts w:eastAsia="Calibri"/>
          <w:sz w:val="24"/>
          <w:lang w:val="en-US"/>
        </w:rPr>
      </w:pPr>
      <w:r w:rsidRPr="00033FB3">
        <w:rPr>
          <w:rFonts w:eastAsia="Calibri"/>
          <w:sz w:val="24"/>
          <w:lang w:val="en-US"/>
        </w:rPr>
        <w:t>Medication costs: Included all essential medications for postoperative care and adverse events treatment within the 3-month follow-up period (e.g., antibiotics, anti-inflammatory agents, anti-glaucoma medications, anti-VEGF injections, etc.)</w:t>
      </w:r>
    </w:p>
    <w:p w14:paraId="493CA8C4" w14:textId="77777777" w:rsidR="00033FB3" w:rsidRPr="00033FB3" w:rsidRDefault="00033FB3" w:rsidP="00FD1CFE">
      <w:pPr>
        <w:numPr>
          <w:ilvl w:val="0"/>
          <w:numId w:val="9"/>
        </w:numPr>
        <w:spacing w:line="480" w:lineRule="auto"/>
        <w:contextualSpacing/>
        <w:jc w:val="both"/>
        <w:rPr>
          <w:rFonts w:eastAsia="Calibri"/>
          <w:sz w:val="24"/>
          <w:lang w:val="en-US"/>
        </w:rPr>
      </w:pPr>
      <w:r w:rsidRPr="00033FB3">
        <w:rPr>
          <w:rFonts w:eastAsia="Calibri"/>
          <w:sz w:val="24"/>
          <w:lang w:val="en-US"/>
        </w:rPr>
        <w:t>OPD visit costs: Determined per OPD visit for postoperative follow-up</w:t>
      </w:r>
    </w:p>
    <w:p w14:paraId="372349BC" w14:textId="77777777" w:rsidR="00033FB3" w:rsidRPr="00033FB3" w:rsidRDefault="00033FB3" w:rsidP="00FD1CFE">
      <w:pPr>
        <w:numPr>
          <w:ilvl w:val="0"/>
          <w:numId w:val="9"/>
        </w:numPr>
        <w:spacing w:line="480" w:lineRule="auto"/>
        <w:contextualSpacing/>
        <w:jc w:val="both"/>
        <w:rPr>
          <w:rFonts w:eastAsia="Calibri"/>
          <w:sz w:val="24"/>
          <w:lang w:val="en-US"/>
        </w:rPr>
      </w:pPr>
      <w:r w:rsidRPr="00033FB3">
        <w:rPr>
          <w:rFonts w:eastAsia="Calibri"/>
          <w:sz w:val="24"/>
          <w:lang w:val="en-US"/>
        </w:rPr>
        <w:t>Other costs: Included additional investigations or procedures necessary for postoperative examination, treatment, and follow-up (e.g., dilating pupil, OCT scans, fundus photos, YAG capsulotomy laser, etc.). This category also encompasses medical consumables and disposables used during surgery and postoperative care.</w:t>
      </w:r>
    </w:p>
    <w:p w14:paraId="0D1F04A7" w14:textId="01895B40" w:rsidR="00033FB3" w:rsidRPr="003863A6" w:rsidRDefault="00033FB3" w:rsidP="00FD1CFE">
      <w:pPr>
        <w:spacing w:line="480" w:lineRule="auto"/>
        <w:ind w:firstLine="720"/>
        <w:jc w:val="both"/>
        <w:rPr>
          <w:rFonts w:eastAsia="Times New Roman" w:cs="Times New Roman"/>
          <w:kern w:val="0"/>
          <w:sz w:val="24"/>
          <w:lang w:val="en-US" w:bidi="th-TH"/>
          <w14:ligatures w14:val="none"/>
        </w:rPr>
      </w:pPr>
      <w:r w:rsidRPr="00033FB3">
        <w:rPr>
          <w:rFonts w:eastAsia="Times New Roman" w:cs="Times New Roman"/>
          <w:kern w:val="0"/>
          <w:sz w:val="24"/>
          <w:lang w:val="en-US" w:bidi="th-TH"/>
          <w14:ligatures w14:val="none"/>
        </w:rPr>
        <w:t xml:space="preserve">From the societal perspective, costs were adjusted from billing data as follows: Surgical costs (including operation, anesthesia, and surgeon’s fee) were calculated based on actual health insurance reimbursement, reflecting the real economic cost to society. IOL costs were also based on reimbursement. For other components, including OPD visits, postoperative </w:t>
      </w:r>
      <w:r w:rsidRPr="00033FB3">
        <w:rPr>
          <w:rFonts w:eastAsia="Times New Roman" w:cs="Times New Roman"/>
          <w:kern w:val="0"/>
          <w:sz w:val="24"/>
          <w:lang w:val="en-US" w:bidi="th-TH"/>
          <w14:ligatures w14:val="none"/>
        </w:rPr>
        <w:lastRenderedPageBreak/>
        <w:t>medications, and consumable medical supplies, costs were adjusted using the general cost-to-charge ratio (CCR) of approximately 0.865 for a tertiary hospital in Thailand.</w:t>
      </w:r>
    </w:p>
    <w:p w14:paraId="07D9E75B" w14:textId="41203F09" w:rsidR="00033FB3" w:rsidRDefault="00B229F9" w:rsidP="00FD1CFE">
      <w:pPr>
        <w:spacing w:line="480" w:lineRule="auto"/>
        <w:rPr>
          <w:rFonts w:cs="Times New Roman"/>
          <w:b/>
          <w:bCs/>
          <w:sz w:val="24"/>
          <w:lang w:val="en-US"/>
        </w:rPr>
      </w:pPr>
      <w:r>
        <w:rPr>
          <w:rFonts w:cs="Times New Roman"/>
          <w:b/>
          <w:bCs/>
          <w:sz w:val="24"/>
          <w:lang w:val="en-US"/>
        </w:rPr>
        <w:t>Direct medical cost</w:t>
      </w:r>
      <w:r w:rsidR="00764D4A">
        <w:rPr>
          <w:rFonts w:cs="Times New Roman"/>
          <w:b/>
          <w:bCs/>
          <w:sz w:val="24"/>
          <w:lang w:val="en-US"/>
        </w:rPr>
        <w:t>s</w:t>
      </w:r>
      <w:r w:rsidR="00387B87">
        <w:rPr>
          <w:rFonts w:cs="Times New Roman"/>
          <w:b/>
          <w:bCs/>
          <w:sz w:val="24"/>
          <w:lang w:val="en-US"/>
        </w:rPr>
        <w:t xml:space="preserve"> at the King Chulalongkorn Memorial Hospital, </w:t>
      </w:r>
      <w:r w:rsidR="00E3593B">
        <w:rPr>
          <w:rFonts w:cs="Times New Roman"/>
          <w:b/>
          <w:bCs/>
          <w:sz w:val="24"/>
          <w:lang w:val="en-US"/>
        </w:rPr>
        <w:t xml:space="preserve">Bangkok, </w:t>
      </w:r>
      <w:r w:rsidR="00387B87">
        <w:rPr>
          <w:rFonts w:cs="Times New Roman"/>
          <w:b/>
          <w:bCs/>
          <w:sz w:val="24"/>
          <w:lang w:val="en-US"/>
        </w:rPr>
        <w:t>Thailand</w:t>
      </w:r>
    </w:p>
    <w:tbl>
      <w:tblPr>
        <w:tblStyle w:val="TableGrid"/>
        <w:tblW w:w="5000" w:type="pct"/>
        <w:tblLook w:val="04A0" w:firstRow="1" w:lastRow="0" w:firstColumn="1" w:lastColumn="0" w:noHBand="0" w:noVBand="1"/>
      </w:tblPr>
      <w:tblGrid>
        <w:gridCol w:w="3005"/>
        <w:gridCol w:w="3005"/>
        <w:gridCol w:w="3006"/>
      </w:tblGrid>
      <w:tr w:rsidR="00192156" w:rsidRPr="00192156" w14:paraId="36BA1E9D" w14:textId="77777777" w:rsidTr="00A17D0A">
        <w:tc>
          <w:tcPr>
            <w:tcW w:w="1666" w:type="pct"/>
          </w:tcPr>
          <w:p w14:paraId="7FB252BE" w14:textId="77777777" w:rsidR="00192156" w:rsidRPr="00192156" w:rsidRDefault="00192156" w:rsidP="00FD1CFE">
            <w:pPr>
              <w:spacing w:line="360" w:lineRule="auto"/>
              <w:jc w:val="center"/>
              <w:rPr>
                <w:rFonts w:eastAsia="Times New Roman" w:cs="Times New Roman"/>
                <w:b/>
                <w:bCs/>
                <w:kern w:val="0"/>
                <w:sz w:val="24"/>
                <w:lang w:bidi="th-TH"/>
                <w14:ligatures w14:val="none"/>
              </w:rPr>
            </w:pPr>
            <w:r w:rsidRPr="00192156">
              <w:rPr>
                <w:rFonts w:eastAsia="Times New Roman" w:cs="Times New Roman"/>
                <w:b/>
                <w:bCs/>
                <w:kern w:val="0"/>
                <w:sz w:val="24"/>
                <w:lang w:bidi="th-TH"/>
                <w14:ligatures w14:val="none"/>
              </w:rPr>
              <w:t>Cost components</w:t>
            </w:r>
          </w:p>
        </w:tc>
        <w:tc>
          <w:tcPr>
            <w:tcW w:w="1666" w:type="pct"/>
          </w:tcPr>
          <w:p w14:paraId="771D4938" w14:textId="77777777" w:rsidR="00192156" w:rsidRPr="00192156" w:rsidRDefault="00192156" w:rsidP="00FD1CFE">
            <w:pPr>
              <w:spacing w:line="360" w:lineRule="auto"/>
              <w:jc w:val="center"/>
              <w:rPr>
                <w:rFonts w:eastAsia="Times New Roman" w:cs="Times New Roman"/>
                <w:b/>
                <w:bCs/>
                <w:kern w:val="0"/>
                <w:sz w:val="24"/>
                <w:lang w:bidi="th-TH"/>
                <w14:ligatures w14:val="none"/>
              </w:rPr>
            </w:pPr>
            <w:r w:rsidRPr="00192156">
              <w:rPr>
                <w:rFonts w:eastAsia="Times New Roman" w:cs="Times New Roman"/>
                <w:b/>
                <w:bCs/>
                <w:kern w:val="0"/>
                <w:sz w:val="24"/>
                <w:lang w:bidi="th-TH"/>
                <w14:ligatures w14:val="none"/>
              </w:rPr>
              <w:t xml:space="preserve">Billing data </w:t>
            </w:r>
            <w:r w:rsidRPr="00192156">
              <w:rPr>
                <w:rFonts w:eastAsia="Times New Roman" w:cs="Times New Roman"/>
                <w:b/>
                <w:bCs/>
                <w:kern w:val="0"/>
                <w:sz w:val="24"/>
                <w:vertAlign w:val="superscript"/>
                <w:lang w:bidi="th-TH"/>
                <w14:ligatures w14:val="none"/>
              </w:rPr>
              <w:t>a</w:t>
            </w:r>
          </w:p>
        </w:tc>
        <w:tc>
          <w:tcPr>
            <w:tcW w:w="1667" w:type="pct"/>
          </w:tcPr>
          <w:p w14:paraId="398ECF79" w14:textId="77777777" w:rsidR="00192156" w:rsidRPr="00192156" w:rsidRDefault="00192156" w:rsidP="00FD1CFE">
            <w:pPr>
              <w:spacing w:line="360" w:lineRule="auto"/>
              <w:jc w:val="center"/>
              <w:rPr>
                <w:rFonts w:eastAsia="Times New Roman" w:cs="Times New Roman"/>
                <w:b/>
                <w:bCs/>
                <w:kern w:val="0"/>
                <w:sz w:val="24"/>
                <w:lang w:bidi="th-TH"/>
                <w14:ligatures w14:val="none"/>
              </w:rPr>
            </w:pPr>
            <w:r w:rsidRPr="00192156">
              <w:rPr>
                <w:rFonts w:eastAsia="Times New Roman" w:cs="Times New Roman"/>
                <w:b/>
                <w:bCs/>
                <w:kern w:val="0"/>
                <w:sz w:val="24"/>
                <w:lang w:bidi="th-TH"/>
                <w14:ligatures w14:val="none"/>
              </w:rPr>
              <w:t>Adjusted cost for the societal perspective</w:t>
            </w:r>
          </w:p>
        </w:tc>
      </w:tr>
      <w:tr w:rsidR="00192156" w:rsidRPr="00192156" w14:paraId="7EF2DF8A" w14:textId="77777777" w:rsidTr="00A17D0A">
        <w:tc>
          <w:tcPr>
            <w:tcW w:w="1666" w:type="pct"/>
          </w:tcPr>
          <w:p w14:paraId="1D3535B8"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Operation cost</w:t>
            </w:r>
          </w:p>
        </w:tc>
        <w:tc>
          <w:tcPr>
            <w:tcW w:w="1666" w:type="pct"/>
          </w:tcPr>
          <w:p w14:paraId="1D5A8EAA"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12,000 THB/eye</w:t>
            </w:r>
          </w:p>
        </w:tc>
        <w:tc>
          <w:tcPr>
            <w:tcW w:w="1667" w:type="pct"/>
          </w:tcPr>
          <w:p w14:paraId="361FD9CA"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 xml:space="preserve">7,000 THB/eye </w:t>
            </w:r>
            <w:r w:rsidRPr="00192156">
              <w:rPr>
                <w:rFonts w:eastAsia="Times New Roman" w:cs="Times New Roman"/>
                <w:kern w:val="0"/>
                <w:sz w:val="24"/>
                <w:vertAlign w:val="superscript"/>
                <w:lang w:bidi="th-TH"/>
                <w14:ligatures w14:val="none"/>
              </w:rPr>
              <w:t>b</w:t>
            </w:r>
          </w:p>
        </w:tc>
      </w:tr>
      <w:tr w:rsidR="00192156" w:rsidRPr="00192156" w14:paraId="5B286E64" w14:textId="77777777" w:rsidTr="00A17D0A">
        <w:tc>
          <w:tcPr>
            <w:tcW w:w="1666" w:type="pct"/>
          </w:tcPr>
          <w:p w14:paraId="4676A413"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Anesthesia</w:t>
            </w:r>
          </w:p>
        </w:tc>
        <w:tc>
          <w:tcPr>
            <w:tcW w:w="1666" w:type="pct"/>
          </w:tcPr>
          <w:p w14:paraId="508138CE"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1,000 THB/eye</w:t>
            </w:r>
          </w:p>
        </w:tc>
        <w:tc>
          <w:tcPr>
            <w:tcW w:w="1667" w:type="pct"/>
          </w:tcPr>
          <w:p w14:paraId="086D10C1"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0 THB</w:t>
            </w:r>
          </w:p>
        </w:tc>
      </w:tr>
      <w:tr w:rsidR="00192156" w:rsidRPr="00192156" w14:paraId="4D8FB412" w14:textId="77777777" w:rsidTr="00A17D0A">
        <w:tc>
          <w:tcPr>
            <w:tcW w:w="1666" w:type="pct"/>
          </w:tcPr>
          <w:p w14:paraId="391FC799"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IOL</w:t>
            </w:r>
          </w:p>
        </w:tc>
        <w:tc>
          <w:tcPr>
            <w:tcW w:w="1666" w:type="pct"/>
          </w:tcPr>
          <w:p w14:paraId="1339072F"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Various</w:t>
            </w:r>
          </w:p>
        </w:tc>
        <w:tc>
          <w:tcPr>
            <w:tcW w:w="1667" w:type="pct"/>
          </w:tcPr>
          <w:p w14:paraId="0DD55E4F"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 xml:space="preserve">2,800 THB/eye </w:t>
            </w:r>
            <w:r w:rsidRPr="00192156">
              <w:rPr>
                <w:rFonts w:eastAsia="Times New Roman" w:cs="Times New Roman"/>
                <w:kern w:val="0"/>
                <w:sz w:val="24"/>
                <w:vertAlign w:val="superscript"/>
                <w:lang w:bidi="th-TH"/>
                <w14:ligatures w14:val="none"/>
              </w:rPr>
              <w:t>b</w:t>
            </w:r>
          </w:p>
        </w:tc>
      </w:tr>
      <w:tr w:rsidR="00192156" w:rsidRPr="00192156" w14:paraId="6F50FD9F" w14:textId="77777777" w:rsidTr="00A17D0A">
        <w:tc>
          <w:tcPr>
            <w:tcW w:w="1666" w:type="pct"/>
          </w:tcPr>
          <w:p w14:paraId="1CFBF94C"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Surgeon fee</w:t>
            </w:r>
          </w:p>
        </w:tc>
        <w:tc>
          <w:tcPr>
            <w:tcW w:w="1666" w:type="pct"/>
          </w:tcPr>
          <w:p w14:paraId="09979B86"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13,000 THB/eye</w:t>
            </w:r>
          </w:p>
        </w:tc>
        <w:tc>
          <w:tcPr>
            <w:tcW w:w="1667" w:type="pct"/>
          </w:tcPr>
          <w:p w14:paraId="18361F07"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0 THB</w:t>
            </w:r>
          </w:p>
        </w:tc>
      </w:tr>
      <w:tr w:rsidR="00192156" w:rsidRPr="00192156" w14:paraId="17923637" w14:textId="77777777" w:rsidTr="00A17D0A">
        <w:tc>
          <w:tcPr>
            <w:tcW w:w="1666" w:type="pct"/>
          </w:tcPr>
          <w:p w14:paraId="111EB1CE"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OPD</w:t>
            </w:r>
          </w:p>
        </w:tc>
        <w:tc>
          <w:tcPr>
            <w:tcW w:w="1666" w:type="pct"/>
          </w:tcPr>
          <w:p w14:paraId="6197D4AC"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Various</w:t>
            </w:r>
          </w:p>
        </w:tc>
        <w:tc>
          <w:tcPr>
            <w:tcW w:w="1667" w:type="pct"/>
          </w:tcPr>
          <w:p w14:paraId="18C6A41A"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 xml:space="preserve">Cost-to-charge ratio </w:t>
            </w:r>
            <w:r w:rsidRPr="00192156">
              <w:rPr>
                <w:rFonts w:eastAsia="Times New Roman" w:cs="Times New Roman"/>
                <w:kern w:val="0"/>
                <w:sz w:val="24"/>
                <w:vertAlign w:val="superscript"/>
                <w:lang w:bidi="th-TH"/>
                <w14:ligatures w14:val="none"/>
              </w:rPr>
              <w:t>c</w:t>
            </w:r>
          </w:p>
        </w:tc>
      </w:tr>
      <w:tr w:rsidR="00192156" w:rsidRPr="00192156" w14:paraId="18264121" w14:textId="77777777" w:rsidTr="00A17D0A">
        <w:tc>
          <w:tcPr>
            <w:tcW w:w="1666" w:type="pct"/>
          </w:tcPr>
          <w:p w14:paraId="5F369B5E"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Drugs</w:t>
            </w:r>
          </w:p>
        </w:tc>
        <w:tc>
          <w:tcPr>
            <w:tcW w:w="1666" w:type="pct"/>
          </w:tcPr>
          <w:p w14:paraId="4CF3589D"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Various</w:t>
            </w:r>
          </w:p>
        </w:tc>
        <w:tc>
          <w:tcPr>
            <w:tcW w:w="1667" w:type="pct"/>
          </w:tcPr>
          <w:p w14:paraId="2E9B555B"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 xml:space="preserve">Cost-to-charge ratio </w:t>
            </w:r>
            <w:r w:rsidRPr="00192156">
              <w:rPr>
                <w:rFonts w:eastAsia="Times New Roman" w:cs="Times New Roman"/>
                <w:kern w:val="0"/>
                <w:sz w:val="24"/>
                <w:vertAlign w:val="superscript"/>
                <w:lang w:bidi="th-TH"/>
                <w14:ligatures w14:val="none"/>
              </w:rPr>
              <w:t>c</w:t>
            </w:r>
          </w:p>
        </w:tc>
      </w:tr>
      <w:tr w:rsidR="00192156" w:rsidRPr="00192156" w14:paraId="15EB73C8" w14:textId="77777777" w:rsidTr="00A17D0A">
        <w:tc>
          <w:tcPr>
            <w:tcW w:w="1666" w:type="pct"/>
          </w:tcPr>
          <w:p w14:paraId="0E9D43E4"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Others</w:t>
            </w:r>
          </w:p>
        </w:tc>
        <w:tc>
          <w:tcPr>
            <w:tcW w:w="1666" w:type="pct"/>
          </w:tcPr>
          <w:p w14:paraId="42423E72"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Various</w:t>
            </w:r>
          </w:p>
        </w:tc>
        <w:tc>
          <w:tcPr>
            <w:tcW w:w="1667" w:type="pct"/>
          </w:tcPr>
          <w:p w14:paraId="0262733C" w14:textId="77777777" w:rsidR="00192156" w:rsidRPr="00192156" w:rsidRDefault="00192156" w:rsidP="00FD1CFE">
            <w:pPr>
              <w:spacing w:line="360" w:lineRule="auto"/>
              <w:rPr>
                <w:rFonts w:eastAsia="Times New Roman" w:cs="Times New Roman"/>
                <w:kern w:val="0"/>
                <w:sz w:val="24"/>
                <w:lang w:bidi="th-TH"/>
                <w14:ligatures w14:val="none"/>
              </w:rPr>
            </w:pPr>
            <w:r w:rsidRPr="00192156">
              <w:rPr>
                <w:rFonts w:eastAsia="Times New Roman" w:cs="Times New Roman"/>
                <w:kern w:val="0"/>
                <w:sz w:val="24"/>
                <w:lang w:bidi="th-TH"/>
                <w14:ligatures w14:val="none"/>
              </w:rPr>
              <w:t xml:space="preserve">Cost-to-charge ratio </w:t>
            </w:r>
            <w:r w:rsidRPr="00192156">
              <w:rPr>
                <w:rFonts w:eastAsia="Times New Roman" w:cs="Times New Roman"/>
                <w:kern w:val="0"/>
                <w:sz w:val="24"/>
                <w:vertAlign w:val="superscript"/>
                <w:lang w:bidi="th-TH"/>
                <w14:ligatures w14:val="none"/>
              </w:rPr>
              <w:t>c</w:t>
            </w:r>
          </w:p>
        </w:tc>
      </w:tr>
    </w:tbl>
    <w:p w14:paraId="04C56EDE" w14:textId="77777777" w:rsidR="00192156" w:rsidRPr="00192156" w:rsidRDefault="00192156" w:rsidP="00FD1CFE">
      <w:pPr>
        <w:ind w:left="993" w:hanging="993"/>
        <w:rPr>
          <w:rFonts w:eastAsia="Times New Roman" w:cs="Times New Roman"/>
          <w:kern w:val="0"/>
          <w:sz w:val="24"/>
          <w:lang w:bidi="th-TH"/>
          <w14:ligatures w14:val="none"/>
        </w:rPr>
      </w:pPr>
      <w:r w:rsidRPr="00192156">
        <w:rPr>
          <w:rFonts w:eastAsia="Times New Roman" w:cs="Times New Roman"/>
          <w:kern w:val="0"/>
          <w:sz w:val="24"/>
          <w:vertAlign w:val="superscript"/>
          <w:lang w:bidi="th-TH"/>
          <w14:ligatures w14:val="none"/>
        </w:rPr>
        <w:t>a,b,c</w:t>
      </w:r>
      <w:r w:rsidRPr="00192156">
        <w:rPr>
          <w:rFonts w:eastAsia="Times New Roman" w:cs="Times New Roman"/>
          <w:kern w:val="0"/>
          <w:sz w:val="24"/>
          <w:lang w:bidi="th-TH"/>
          <w14:ligatures w14:val="none"/>
        </w:rPr>
        <w:t xml:space="preserve"> Sources: </w:t>
      </w:r>
      <w:r w:rsidRPr="00192156">
        <w:rPr>
          <w:rFonts w:eastAsia="Times New Roman" w:cs="Times New Roman"/>
          <w:kern w:val="0"/>
          <w:sz w:val="24"/>
          <w:lang w:bidi="th-TH"/>
          <w14:ligatures w14:val="none"/>
        </w:rPr>
        <w:tab/>
      </w:r>
      <w:r w:rsidRPr="00192156">
        <w:rPr>
          <w:rFonts w:eastAsia="Times New Roman" w:cs="Times New Roman"/>
          <w:kern w:val="0"/>
          <w:sz w:val="24"/>
          <w:vertAlign w:val="superscript"/>
          <w:lang w:bidi="th-TH"/>
          <w14:ligatures w14:val="none"/>
        </w:rPr>
        <w:t xml:space="preserve">a </w:t>
      </w:r>
      <w:r w:rsidRPr="00192156">
        <w:rPr>
          <w:rFonts w:eastAsia="Times New Roman" w:cs="Times New Roman"/>
          <w:kern w:val="0"/>
          <w:sz w:val="24"/>
          <w:lang w:bidi="th-TH"/>
          <w14:ligatures w14:val="none"/>
        </w:rPr>
        <w:t>KCMH electronic medical record</w:t>
      </w:r>
    </w:p>
    <w:p w14:paraId="253AEF66" w14:textId="77777777" w:rsidR="00192156" w:rsidRPr="00192156" w:rsidRDefault="00192156" w:rsidP="00FD1CFE">
      <w:pPr>
        <w:ind w:left="993" w:hanging="993"/>
        <w:rPr>
          <w:rFonts w:eastAsia="Times New Roman" w:cs="Times New Roman"/>
          <w:kern w:val="0"/>
          <w:sz w:val="24"/>
          <w:lang w:bidi="th-TH"/>
          <w14:ligatures w14:val="none"/>
        </w:rPr>
      </w:pPr>
      <w:r w:rsidRPr="00192156">
        <w:rPr>
          <w:rFonts w:eastAsia="Times New Roman" w:cs="Times New Roman"/>
          <w:kern w:val="0"/>
          <w:sz w:val="24"/>
          <w:lang w:bidi="th-TH"/>
          <w14:ligatures w14:val="none"/>
        </w:rPr>
        <w:tab/>
      </w:r>
      <w:r w:rsidRPr="00192156">
        <w:rPr>
          <w:rFonts w:eastAsia="Times New Roman" w:cs="Times New Roman"/>
          <w:kern w:val="0"/>
          <w:sz w:val="24"/>
          <w:lang w:bidi="th-TH"/>
          <w14:ligatures w14:val="none"/>
        </w:rPr>
        <w:tab/>
      </w:r>
      <w:r w:rsidRPr="00192156">
        <w:rPr>
          <w:rFonts w:eastAsia="Times New Roman" w:cs="Times New Roman"/>
          <w:kern w:val="0"/>
          <w:sz w:val="24"/>
          <w:vertAlign w:val="superscript"/>
          <w:lang w:bidi="th-TH"/>
          <w14:ligatures w14:val="none"/>
        </w:rPr>
        <w:t xml:space="preserve">b </w:t>
      </w:r>
      <w:r w:rsidRPr="00192156">
        <w:rPr>
          <w:rFonts w:eastAsia="Times New Roman" w:cs="Times New Roman"/>
          <w:kern w:val="0"/>
          <w:sz w:val="24"/>
          <w:lang w:bidi="th-TH"/>
          <w14:ligatures w14:val="none"/>
        </w:rPr>
        <w:t>Reimbursement by the Thai Universal Coverage Scheme</w:t>
      </w:r>
    </w:p>
    <w:p w14:paraId="60FEF119" w14:textId="250407CC" w:rsidR="00192156" w:rsidRPr="00192156" w:rsidRDefault="00192156" w:rsidP="00FD1CFE">
      <w:pPr>
        <w:ind w:left="1560" w:hanging="120"/>
        <w:rPr>
          <w:rFonts w:eastAsia="Times New Roman" w:cs="Times New Roman"/>
          <w:kern w:val="0"/>
          <w:sz w:val="24"/>
          <w:lang w:val="en-US" w:bidi="th-TH"/>
          <w14:ligatures w14:val="none"/>
        </w:rPr>
      </w:pPr>
      <w:r w:rsidRPr="00192156">
        <w:rPr>
          <w:rFonts w:eastAsia="Times New Roman" w:cs="Times New Roman"/>
          <w:kern w:val="0"/>
          <w:sz w:val="24"/>
          <w:vertAlign w:val="superscript"/>
          <w:lang w:bidi="th-TH"/>
          <w14:ligatures w14:val="none"/>
        </w:rPr>
        <w:t xml:space="preserve">c </w:t>
      </w:r>
      <w:r w:rsidRPr="00192156">
        <w:rPr>
          <w:rFonts w:eastAsia="Times New Roman" w:cs="Times New Roman"/>
          <w:kern w:val="0"/>
          <w:sz w:val="24"/>
          <w:lang w:bidi="th-TH"/>
          <w14:ligatures w14:val="none"/>
        </w:rPr>
        <w:t>Adjusted by the cost-to-charge ratio of a tertiary hospital in Thailand, 0.865</w:t>
      </w:r>
      <w:r w:rsidR="00530EB1">
        <w:rPr>
          <w:rFonts w:eastAsia="Times New Roman" w:cs="Times New Roman"/>
          <w:kern w:val="0"/>
          <w:sz w:val="24"/>
          <w:lang w:bidi="th-TH"/>
          <w14:ligatures w14:val="none"/>
        </w:rPr>
        <w:t>.</w:t>
      </w:r>
    </w:p>
    <w:p w14:paraId="2D7D19A2" w14:textId="77777777" w:rsidR="00C624CF" w:rsidRDefault="00C624CF" w:rsidP="00FD1CFE">
      <w:pPr>
        <w:spacing w:line="480" w:lineRule="auto"/>
        <w:rPr>
          <w:rFonts w:cs="Times New Roman"/>
          <w:sz w:val="24"/>
          <w:lang w:val="en-US"/>
        </w:rPr>
      </w:pPr>
    </w:p>
    <w:p w14:paraId="54336F31" w14:textId="77777777" w:rsidR="00EB4238" w:rsidRPr="009533C9" w:rsidRDefault="00EB4238" w:rsidP="00FD1CFE">
      <w:pPr>
        <w:spacing w:line="480" w:lineRule="auto"/>
        <w:rPr>
          <w:rFonts w:cs="Times New Roman"/>
          <w:b/>
          <w:bCs/>
          <w:sz w:val="24"/>
          <w:lang w:val="en-US"/>
        </w:rPr>
      </w:pPr>
      <w:r w:rsidRPr="009533C9">
        <w:rPr>
          <w:rFonts w:cs="Times New Roman"/>
          <w:b/>
          <w:bCs/>
          <w:sz w:val="24"/>
          <w:lang w:val="en-US"/>
        </w:rPr>
        <w:t>Direct non-medical cost</w:t>
      </w:r>
    </w:p>
    <w:p w14:paraId="64167C79" w14:textId="1786CFB1" w:rsidR="00FB56FB" w:rsidRDefault="00EB4238" w:rsidP="00FD1CFE">
      <w:pPr>
        <w:spacing w:line="480" w:lineRule="auto"/>
        <w:rPr>
          <w:rFonts w:cs="Times New Roman"/>
          <w:sz w:val="24"/>
          <w:lang w:val="en-US"/>
        </w:rPr>
      </w:pPr>
      <w:r>
        <w:rPr>
          <w:rFonts w:cs="Times New Roman"/>
          <w:sz w:val="24"/>
          <w:lang w:val="en-US"/>
        </w:rPr>
        <w:t>- Travel</w:t>
      </w:r>
      <w:r w:rsidR="0078211F" w:rsidRPr="0078211F">
        <w:rPr>
          <w:rFonts w:cs="Times New Roman"/>
          <w:sz w:val="24"/>
          <w:lang w:val="en-US"/>
        </w:rPr>
        <w:t>: The travel cost was calculated using the Thai government’s compensation rate for personal vehicle use (4 THB/km in 2007) adjusted for inflation using the Consumer Price Index (CPI). With CPI values for 2007 (83.90) and 2023 (107.78), the adjusted rate was 5.14 THB/km</w:t>
      </w:r>
      <w:r w:rsidR="00FB56FB">
        <w:rPr>
          <w:rFonts w:cs="Times New Roman"/>
          <w:sz w:val="24"/>
          <w:lang w:val="en-US"/>
        </w:rPr>
        <w:t>.</w:t>
      </w:r>
    </w:p>
    <w:p w14:paraId="1C19707B" w14:textId="4FF7CF13" w:rsidR="001512B1" w:rsidRDefault="009533C9" w:rsidP="00FD1CFE">
      <w:pPr>
        <w:spacing w:line="480" w:lineRule="auto"/>
        <w:rPr>
          <w:rFonts w:cs="Times New Roman"/>
          <w:sz w:val="24"/>
          <w:lang w:val="en-US"/>
        </w:rPr>
      </w:pPr>
      <w:r>
        <w:rPr>
          <w:rFonts w:cs="Times New Roman"/>
          <w:sz w:val="24"/>
          <w:lang w:val="en-US"/>
        </w:rPr>
        <w:t>The p</w:t>
      </w:r>
      <w:r w:rsidR="001512B1">
        <w:rPr>
          <w:rFonts w:cs="Times New Roman"/>
          <w:sz w:val="24"/>
          <w:lang w:val="en-US"/>
        </w:rPr>
        <w:t>atient’s home-</w:t>
      </w:r>
      <w:r w:rsidR="00D55532">
        <w:rPr>
          <w:rFonts w:cs="Times New Roman"/>
          <w:sz w:val="24"/>
          <w:lang w:val="en-US"/>
        </w:rPr>
        <w:t>to-</w:t>
      </w:r>
      <w:r w:rsidR="001512B1">
        <w:rPr>
          <w:rFonts w:cs="Times New Roman"/>
          <w:sz w:val="24"/>
          <w:lang w:val="en-US"/>
        </w:rPr>
        <w:t>hospital distance</w:t>
      </w:r>
      <w:r>
        <w:rPr>
          <w:rFonts w:cs="Times New Roman"/>
          <w:sz w:val="24"/>
          <w:lang w:val="en-US"/>
        </w:rPr>
        <w:t xml:space="preserve"> was </w:t>
      </w:r>
      <w:r w:rsidR="00D55532">
        <w:rPr>
          <w:rFonts w:cs="Times New Roman"/>
          <w:sz w:val="24"/>
          <w:lang w:val="en-US"/>
        </w:rPr>
        <w:t>determined</w:t>
      </w:r>
      <w:r>
        <w:rPr>
          <w:rFonts w:cs="Times New Roman"/>
          <w:sz w:val="24"/>
          <w:lang w:val="en-US"/>
        </w:rPr>
        <w:t xml:space="preserve"> by interviewing. If the patient can not answer, the researcher will use Google </w:t>
      </w:r>
      <w:r w:rsidR="00D55532">
        <w:rPr>
          <w:rFonts w:cs="Times New Roman"/>
          <w:sz w:val="24"/>
          <w:lang w:val="en-US"/>
        </w:rPr>
        <w:t>M</w:t>
      </w:r>
      <w:r>
        <w:rPr>
          <w:rFonts w:cs="Times New Roman"/>
          <w:sz w:val="24"/>
          <w:lang w:val="en-US"/>
        </w:rPr>
        <w:t>ap</w:t>
      </w:r>
      <w:r w:rsidR="00D55532">
        <w:rPr>
          <w:rFonts w:cs="Times New Roman"/>
          <w:sz w:val="24"/>
          <w:lang w:val="en-US"/>
        </w:rPr>
        <w:t>s</w:t>
      </w:r>
      <w:r>
        <w:rPr>
          <w:rFonts w:cs="Times New Roman"/>
          <w:sz w:val="24"/>
          <w:lang w:val="en-US"/>
        </w:rPr>
        <w:t xml:space="preserve"> to </w:t>
      </w:r>
      <w:r w:rsidR="00D55532">
        <w:rPr>
          <w:rFonts w:cs="Times New Roman"/>
          <w:sz w:val="24"/>
          <w:lang w:val="en-US"/>
        </w:rPr>
        <w:t>mea</w:t>
      </w:r>
      <w:r w:rsidR="000D7402">
        <w:rPr>
          <w:rFonts w:cs="Times New Roman"/>
          <w:sz w:val="24"/>
          <w:lang w:val="en-US"/>
        </w:rPr>
        <w:t>su</w:t>
      </w:r>
      <w:r w:rsidR="00D55532">
        <w:rPr>
          <w:rFonts w:cs="Times New Roman"/>
          <w:sz w:val="24"/>
          <w:lang w:val="en-US"/>
        </w:rPr>
        <w:t>re</w:t>
      </w:r>
      <w:r>
        <w:rPr>
          <w:rFonts w:cs="Times New Roman"/>
          <w:sz w:val="24"/>
          <w:lang w:val="en-US"/>
        </w:rPr>
        <w:t xml:space="preserve"> the shortest distance to </w:t>
      </w:r>
      <w:r w:rsidR="000D7402">
        <w:rPr>
          <w:rFonts w:cs="Times New Roman"/>
          <w:sz w:val="24"/>
          <w:lang w:val="en-US"/>
        </w:rPr>
        <w:t xml:space="preserve">the </w:t>
      </w:r>
      <w:r>
        <w:rPr>
          <w:rFonts w:cs="Times New Roman"/>
          <w:sz w:val="24"/>
          <w:lang w:val="en-US"/>
        </w:rPr>
        <w:t>patient’s address.</w:t>
      </w:r>
    </w:p>
    <w:p w14:paraId="39A79406" w14:textId="536E8AAB" w:rsidR="000F4D14" w:rsidRDefault="000F4D14" w:rsidP="00FD1CFE">
      <w:pPr>
        <w:spacing w:line="480" w:lineRule="auto"/>
        <w:rPr>
          <w:rFonts w:cs="Times New Roman"/>
          <w:sz w:val="24"/>
          <w:lang w:val="en-US"/>
        </w:rPr>
      </w:pPr>
      <w:r>
        <w:rPr>
          <w:rFonts w:cs="Times New Roman"/>
          <w:sz w:val="24"/>
          <w:lang w:val="en-US"/>
        </w:rPr>
        <w:tab/>
        <w:t xml:space="preserve">Travel cost = 5.14 </w:t>
      </w:r>
      <w:r w:rsidRPr="00E742BD">
        <w:rPr>
          <w:rFonts w:cs="Times New Roman"/>
          <w:sz w:val="24"/>
        </w:rPr>
        <w:t>×</w:t>
      </w:r>
      <w:r>
        <w:rPr>
          <w:rFonts w:cs="Times New Roman"/>
          <w:sz w:val="24"/>
        </w:rPr>
        <w:t xml:space="preserve"> distance </w:t>
      </w:r>
      <w:r w:rsidRPr="00E742BD">
        <w:rPr>
          <w:rFonts w:cs="Times New Roman"/>
          <w:sz w:val="24"/>
        </w:rPr>
        <w:t>×</w:t>
      </w:r>
      <w:r>
        <w:rPr>
          <w:rFonts w:cs="Times New Roman"/>
          <w:sz w:val="24"/>
        </w:rPr>
        <w:t xml:space="preserve"> time of hospital visit</w:t>
      </w:r>
      <w:r w:rsidR="004000AF">
        <w:rPr>
          <w:rFonts w:cs="Times New Roman"/>
          <w:sz w:val="24"/>
        </w:rPr>
        <w:t xml:space="preserve"> </w:t>
      </w:r>
      <w:r w:rsidR="004000AF" w:rsidRPr="00E742BD">
        <w:rPr>
          <w:rFonts w:cs="Times New Roman"/>
          <w:sz w:val="24"/>
        </w:rPr>
        <w:t>×</w:t>
      </w:r>
      <w:r w:rsidR="004000AF">
        <w:rPr>
          <w:rFonts w:cs="Times New Roman"/>
          <w:sz w:val="24"/>
        </w:rPr>
        <w:t xml:space="preserve"> 2</w:t>
      </w:r>
    </w:p>
    <w:p w14:paraId="6892D78D" w14:textId="53CCA0B3" w:rsidR="00FD0756" w:rsidRDefault="009533C9" w:rsidP="00FD1CFE">
      <w:pPr>
        <w:spacing w:line="480" w:lineRule="auto"/>
        <w:rPr>
          <w:rFonts w:cs="Times New Roman"/>
          <w:sz w:val="24"/>
          <w:lang w:val="en-US"/>
        </w:rPr>
      </w:pPr>
      <w:r>
        <w:rPr>
          <w:rFonts w:cs="Times New Roman"/>
          <w:sz w:val="24"/>
          <w:lang w:val="en-US"/>
        </w:rPr>
        <w:t xml:space="preserve">- </w:t>
      </w:r>
      <w:r w:rsidRPr="009533C9">
        <w:rPr>
          <w:rFonts w:cs="Times New Roman"/>
          <w:sz w:val="24"/>
          <w:lang w:val="en-US"/>
        </w:rPr>
        <w:t xml:space="preserve">Food: </w:t>
      </w:r>
      <w:r w:rsidR="000C36D3" w:rsidRPr="000C36D3">
        <w:rPr>
          <w:rFonts w:eastAsia="Times New Roman" w:cs="Times New Roman"/>
          <w:kern w:val="0"/>
          <w:sz w:val="24"/>
          <w:lang w:bidi="th-TH"/>
          <w14:ligatures w14:val="none"/>
        </w:rPr>
        <w:t>The average price of one meal at the KCMH food court is approximately 60 THB. Thus, the estimated food cost per visit for two people (patient and escort) is 120 THB</w:t>
      </w:r>
      <w:r w:rsidRPr="009533C9">
        <w:rPr>
          <w:rFonts w:cs="Times New Roman"/>
          <w:sz w:val="24"/>
          <w:lang w:val="en-US"/>
        </w:rPr>
        <w:t>.</w:t>
      </w:r>
    </w:p>
    <w:p w14:paraId="64830D11" w14:textId="32EB9856" w:rsidR="000F4D14" w:rsidRPr="000F4D14" w:rsidRDefault="000F4D14" w:rsidP="00FD1CFE">
      <w:pPr>
        <w:spacing w:line="480" w:lineRule="auto"/>
        <w:rPr>
          <w:rFonts w:cs="Times New Roman"/>
          <w:sz w:val="24"/>
          <w:lang w:val="en-US"/>
        </w:rPr>
      </w:pPr>
      <w:r>
        <w:rPr>
          <w:rFonts w:cs="Times New Roman"/>
          <w:sz w:val="24"/>
          <w:lang w:val="en-US"/>
        </w:rPr>
        <w:tab/>
        <w:t xml:space="preserve">Food cost =  </w:t>
      </w:r>
      <w:r w:rsidR="000C36D3">
        <w:rPr>
          <w:rFonts w:cs="Times New Roman"/>
          <w:sz w:val="24"/>
        </w:rPr>
        <w:t>1</w:t>
      </w:r>
      <w:r>
        <w:rPr>
          <w:rFonts w:cs="Times New Roman"/>
          <w:sz w:val="24"/>
        </w:rPr>
        <w:t>2</w:t>
      </w:r>
      <w:r w:rsidR="000C36D3">
        <w:rPr>
          <w:rFonts w:cs="Times New Roman"/>
          <w:sz w:val="24"/>
        </w:rPr>
        <w:t>0</w:t>
      </w:r>
      <w:r>
        <w:rPr>
          <w:rFonts w:cs="Times New Roman"/>
          <w:sz w:val="24"/>
        </w:rPr>
        <w:t xml:space="preserve"> </w:t>
      </w:r>
      <w:r w:rsidRPr="00E742BD">
        <w:rPr>
          <w:rFonts w:cs="Times New Roman"/>
          <w:sz w:val="24"/>
        </w:rPr>
        <w:t>×</w:t>
      </w:r>
      <w:r>
        <w:rPr>
          <w:rFonts w:cs="Times New Roman"/>
          <w:sz w:val="24"/>
        </w:rPr>
        <w:t xml:space="preserve"> time of hospital visit</w:t>
      </w:r>
    </w:p>
    <w:p w14:paraId="454D6481" w14:textId="79168AE5" w:rsidR="00B229F9" w:rsidRDefault="00F76A63" w:rsidP="00FD1CFE">
      <w:pPr>
        <w:spacing w:line="480" w:lineRule="auto"/>
        <w:rPr>
          <w:rFonts w:cs="Times New Roman"/>
          <w:sz w:val="24"/>
          <w:lang w:val="en-US"/>
        </w:rPr>
      </w:pPr>
      <w:r>
        <w:rPr>
          <w:rFonts w:cs="Times New Roman"/>
          <w:sz w:val="24"/>
          <w:lang w:val="en-US"/>
        </w:rPr>
        <w:lastRenderedPageBreak/>
        <w:t xml:space="preserve">- </w:t>
      </w:r>
      <w:r w:rsidRPr="00F76A63">
        <w:rPr>
          <w:rFonts w:cs="Times New Roman"/>
          <w:sz w:val="24"/>
          <w:lang w:val="en-US"/>
        </w:rPr>
        <w:t>Caregiver</w:t>
      </w:r>
      <w:r w:rsidR="00E435A1">
        <w:rPr>
          <w:rFonts w:cs="Times New Roman"/>
          <w:sz w:val="24"/>
          <w:lang w:val="en-US"/>
        </w:rPr>
        <w:t xml:space="preserve"> costs</w:t>
      </w:r>
      <w:r w:rsidRPr="00F76A63">
        <w:rPr>
          <w:rFonts w:cs="Times New Roman"/>
          <w:sz w:val="24"/>
          <w:lang w:val="en-US"/>
        </w:rPr>
        <w:t>: If a caregiver was hired, the fee</w:t>
      </w:r>
      <w:r w:rsidR="0077769E">
        <w:rPr>
          <w:rFonts w:cs="Times New Roman"/>
          <w:sz w:val="24"/>
          <w:lang w:val="en-US"/>
        </w:rPr>
        <w:t xml:space="preserve"> per hospital visit</w:t>
      </w:r>
      <w:r w:rsidRPr="00F76A63">
        <w:rPr>
          <w:rFonts w:cs="Times New Roman"/>
          <w:sz w:val="24"/>
          <w:lang w:val="en-US"/>
        </w:rPr>
        <w:t xml:space="preserve"> was calculated based on the average daily wage in Bangkok (353 THB/day). For patients accompanied by a relative, the caregiver cost was treated as an indirect cost due to the relative’s potential loss of work</w:t>
      </w:r>
      <w:r w:rsidR="00B229F9">
        <w:rPr>
          <w:rFonts w:cs="Times New Roman"/>
          <w:sz w:val="24"/>
          <w:lang w:val="en-US"/>
        </w:rPr>
        <w:t>.</w:t>
      </w:r>
    </w:p>
    <w:p w14:paraId="5AABFE91" w14:textId="77777777" w:rsidR="00855571" w:rsidRDefault="00855571" w:rsidP="00FD1CFE">
      <w:pPr>
        <w:spacing w:line="480" w:lineRule="auto"/>
        <w:rPr>
          <w:rFonts w:cs="Times New Roman"/>
          <w:sz w:val="24"/>
          <w:lang w:val="en-US"/>
        </w:rPr>
      </w:pPr>
    </w:p>
    <w:p w14:paraId="182AE002" w14:textId="1EC8F1B4" w:rsidR="000C3E28" w:rsidRDefault="00B229F9" w:rsidP="00FD1CFE">
      <w:pPr>
        <w:spacing w:line="480" w:lineRule="auto"/>
        <w:rPr>
          <w:rFonts w:cs="Times New Roman"/>
          <w:sz w:val="24"/>
          <w:lang w:val="en-US"/>
        </w:rPr>
      </w:pPr>
      <w:r w:rsidRPr="000C3E28">
        <w:rPr>
          <w:rFonts w:cs="Times New Roman"/>
          <w:b/>
          <w:bCs/>
          <w:sz w:val="24"/>
          <w:lang w:val="en-US"/>
        </w:rPr>
        <w:t>Indirect Costs</w:t>
      </w:r>
    </w:p>
    <w:p w14:paraId="5C1F29EB" w14:textId="77777777" w:rsidR="000C36D3" w:rsidRPr="000C36D3" w:rsidRDefault="000C36D3" w:rsidP="00FD1CFE">
      <w:pPr>
        <w:spacing w:line="480" w:lineRule="auto"/>
        <w:ind w:firstLine="720"/>
        <w:jc w:val="both"/>
        <w:rPr>
          <w:rFonts w:eastAsia="Times New Roman" w:cs="Times New Roman"/>
          <w:kern w:val="0"/>
          <w:sz w:val="24"/>
          <w:lang w:val="en-US" w:bidi="th-TH"/>
          <w14:ligatures w14:val="none"/>
        </w:rPr>
      </w:pPr>
      <w:r w:rsidRPr="000C36D3">
        <w:rPr>
          <w:rFonts w:eastAsia="Times New Roman" w:cs="Times New Roman"/>
          <w:kern w:val="0"/>
          <w:sz w:val="24"/>
          <w:lang w:val="en-US" w:bidi="th-TH"/>
          <w14:ligatures w14:val="none"/>
        </w:rPr>
        <w:t>Indirect costs in this analysis represent the income lost when patients and their relatives take time off work for surgery and follow-up. These costs are calculated as follows:</w:t>
      </w:r>
    </w:p>
    <w:p w14:paraId="3297F71C" w14:textId="43A51338" w:rsidR="000C36D3" w:rsidRPr="000C36D3" w:rsidRDefault="000C36D3" w:rsidP="00FD1CFE">
      <w:pPr>
        <w:numPr>
          <w:ilvl w:val="0"/>
          <w:numId w:val="6"/>
        </w:numPr>
        <w:spacing w:line="480" w:lineRule="auto"/>
        <w:contextualSpacing/>
        <w:jc w:val="both"/>
        <w:rPr>
          <w:rFonts w:eastAsia="Calibri"/>
          <w:sz w:val="24"/>
          <w:lang w:val="en-US"/>
        </w:rPr>
      </w:pPr>
      <w:r w:rsidRPr="000C36D3">
        <w:rPr>
          <w:rFonts w:eastAsia="Calibri"/>
          <w:sz w:val="24"/>
          <w:lang w:val="en-US"/>
        </w:rPr>
        <w:t>Patient’s time off: The total number of days the patient was unable to work was calculated by summing the assumed recovery period (7 days, as mentioned previously) and the number of hospital visits required for the surgery and follow-up within the 3-month study period. To avoid double-counting, post-operative follow-up visits occurring within the initial 7-day recovery phase (specifically the Day 1 and Week 1 visits) were not included. Income loss is calculated only for patients of working age (≤ 60 years), using the minimum daily wage for manual labor in Bangkok (353 THB/day). For retired patients (&gt; 60 years), indirect costs are 0 THB.</w:t>
      </w:r>
    </w:p>
    <w:p w14:paraId="0AEFC5BE" w14:textId="2EDF2E07" w:rsidR="000C36D3" w:rsidRPr="000C36D3" w:rsidRDefault="000C36D3" w:rsidP="00FD1CFE">
      <w:pPr>
        <w:numPr>
          <w:ilvl w:val="0"/>
          <w:numId w:val="6"/>
        </w:numPr>
        <w:spacing w:line="480" w:lineRule="auto"/>
        <w:contextualSpacing/>
        <w:jc w:val="both"/>
        <w:rPr>
          <w:rFonts w:eastAsia="Calibri"/>
          <w:sz w:val="24"/>
          <w:lang w:val="en-US"/>
        </w:rPr>
      </w:pPr>
      <w:r w:rsidRPr="000C36D3">
        <w:rPr>
          <w:rFonts w:eastAsia="Calibri"/>
          <w:sz w:val="24"/>
          <w:lang w:val="en-US"/>
        </w:rPr>
        <w:t>Relative’s time off: The total number of days a relative (assumed as one escort per visit) took off work was equated to the total number of hospital visits the patient made for surgery and all follow-up appointments within the 3-month study period. Income loss for relatives is also calculated using the minimum daily wage (353 THB/day). The income loss of the relative was excluded from the patient perspective analysis, but was included in the societal perspective analysis.</w:t>
      </w:r>
    </w:p>
    <w:p w14:paraId="69CDCBA8" w14:textId="004595E2" w:rsidR="00B1118A" w:rsidRPr="00873611" w:rsidRDefault="000C36D3" w:rsidP="00873611">
      <w:pPr>
        <w:spacing w:line="480" w:lineRule="auto"/>
        <w:ind w:firstLine="720"/>
        <w:jc w:val="both"/>
        <w:rPr>
          <w:rFonts w:eastAsia="Times New Roman" w:cs="Times New Roman"/>
          <w:kern w:val="0"/>
          <w:sz w:val="24"/>
          <w:lang w:val="en-US" w:bidi="th-TH"/>
          <w14:ligatures w14:val="none"/>
        </w:rPr>
      </w:pPr>
      <w:r w:rsidRPr="000C36D3">
        <w:rPr>
          <w:rFonts w:eastAsia="Times New Roman" w:cs="Times New Roman"/>
          <w:kern w:val="0"/>
          <w:sz w:val="24"/>
          <w:lang w:val="en-US" w:bidi="th-TH"/>
          <w14:ligatures w14:val="none"/>
        </w:rPr>
        <w:t>The 3-month postoperative follow-up period for this study was selected because this timeframe is widely regarded as a standard healing period for cataract surgery in clinical practice.</w:t>
      </w:r>
    </w:p>
    <w:p w14:paraId="5C2DC524" w14:textId="4D4E3C0E" w:rsidR="00D03711" w:rsidRPr="00CE7E2D" w:rsidRDefault="00CE7E2D" w:rsidP="00FD1CFE">
      <w:pPr>
        <w:spacing w:line="480" w:lineRule="auto"/>
        <w:rPr>
          <w:rFonts w:cs="Times New Roman"/>
          <w:b/>
          <w:bCs/>
          <w:sz w:val="24"/>
          <w:lang w:val="en-US"/>
        </w:rPr>
      </w:pPr>
      <w:r>
        <w:rPr>
          <w:rFonts w:cs="Times New Roman"/>
          <w:b/>
          <w:bCs/>
          <w:sz w:val="24"/>
          <w:lang w:val="en-US"/>
        </w:rPr>
        <w:t>QALYs calculation</w:t>
      </w:r>
    </w:p>
    <w:p w14:paraId="66F89A19" w14:textId="73CE10D7" w:rsidR="00E742BD" w:rsidRPr="00E742BD" w:rsidRDefault="00E742BD" w:rsidP="00FD1CFE">
      <w:pPr>
        <w:tabs>
          <w:tab w:val="left" w:pos="567"/>
        </w:tabs>
        <w:spacing w:line="480" w:lineRule="auto"/>
        <w:jc w:val="both"/>
        <w:rPr>
          <w:rFonts w:cs="Times New Roman"/>
          <w:sz w:val="24"/>
        </w:rPr>
      </w:pPr>
      <w:r w:rsidRPr="00E742BD">
        <w:rPr>
          <w:rFonts w:cs="Times New Roman"/>
          <w:sz w:val="24"/>
        </w:rPr>
        <w:lastRenderedPageBreak/>
        <w:t xml:space="preserve">Patients were interviewed at three time points to assess utility scores: before surgery for the first eye (utility_1), one week after the first-eye surgery (utility_2), and three months after the second-eye surgery (utility_3). </w:t>
      </w:r>
    </w:p>
    <w:p w14:paraId="6A3C9901" w14:textId="54AB8024" w:rsidR="00E742BD" w:rsidRPr="00E742BD" w:rsidRDefault="00E742BD" w:rsidP="00FD1CFE">
      <w:pPr>
        <w:tabs>
          <w:tab w:val="left" w:pos="567"/>
        </w:tabs>
        <w:spacing w:line="480" w:lineRule="auto"/>
        <w:jc w:val="both"/>
        <w:rPr>
          <w:rFonts w:cs="Times New Roman"/>
          <w:sz w:val="24"/>
        </w:rPr>
      </w:pPr>
      <w:r w:rsidRPr="00E742BD">
        <w:rPr>
          <w:rFonts w:cs="Times New Roman"/>
          <w:sz w:val="24"/>
        </w:rPr>
        <w:t>A</w:t>
      </w:r>
      <w:r w:rsidR="00B01CA5">
        <w:rPr>
          <w:rFonts w:cs="Times New Roman"/>
          <w:sz w:val="24"/>
        </w:rPr>
        <w:t xml:space="preserve"> 3-month</w:t>
      </w:r>
      <w:r w:rsidRPr="00E742BD">
        <w:rPr>
          <w:rFonts w:cs="Times New Roman"/>
          <w:sz w:val="24"/>
        </w:rPr>
        <w:t xml:space="preserve"> time horizon was chosen for this study as it captures all relevant differences in cost and effectiveness between the ISBCS and DSBCS groups. The following assumptions were made: </w:t>
      </w:r>
    </w:p>
    <w:p w14:paraId="31C6B918" w14:textId="77777777" w:rsidR="00E742BD" w:rsidRPr="00E742BD" w:rsidRDefault="00E742BD" w:rsidP="00FD1CFE">
      <w:pPr>
        <w:tabs>
          <w:tab w:val="left" w:pos="567"/>
        </w:tabs>
        <w:spacing w:line="480" w:lineRule="auto"/>
        <w:jc w:val="both"/>
        <w:rPr>
          <w:rFonts w:cs="Times New Roman"/>
          <w:sz w:val="24"/>
        </w:rPr>
      </w:pPr>
      <w:r w:rsidRPr="00E742BD">
        <w:rPr>
          <w:rFonts w:cs="Times New Roman"/>
          <w:sz w:val="24"/>
        </w:rPr>
        <w:t xml:space="preserve">- Utility_2 remains constant during the interval between the first and second eye surgeries. </w:t>
      </w:r>
    </w:p>
    <w:p w14:paraId="32733855" w14:textId="4368EC96" w:rsidR="00E742BD" w:rsidRPr="00E742BD" w:rsidRDefault="00E742BD" w:rsidP="00FD1CFE">
      <w:pPr>
        <w:tabs>
          <w:tab w:val="left" w:pos="567"/>
        </w:tabs>
        <w:spacing w:line="480" w:lineRule="auto"/>
        <w:jc w:val="both"/>
        <w:rPr>
          <w:rFonts w:cs="Times New Roman"/>
          <w:sz w:val="24"/>
        </w:rPr>
      </w:pPr>
      <w:r w:rsidRPr="00E742BD">
        <w:rPr>
          <w:rFonts w:cs="Times New Roman"/>
          <w:sz w:val="24"/>
        </w:rPr>
        <w:t xml:space="preserve">- Utility_3 remains constant from three months post-second-eye surgery until the end of the one-year time horizon. </w:t>
      </w:r>
    </w:p>
    <w:p w14:paraId="14AD919F" w14:textId="77777777" w:rsidR="003E5E32" w:rsidRDefault="00E742BD" w:rsidP="00FD1CFE">
      <w:pPr>
        <w:tabs>
          <w:tab w:val="left" w:pos="567"/>
        </w:tabs>
        <w:spacing w:line="480" w:lineRule="auto"/>
        <w:jc w:val="both"/>
        <w:rPr>
          <w:rFonts w:cs="Times New Roman"/>
          <w:sz w:val="24"/>
        </w:rPr>
      </w:pPr>
      <w:r w:rsidRPr="00E742BD">
        <w:rPr>
          <w:rFonts w:cs="Times New Roman"/>
          <w:sz w:val="24"/>
        </w:rPr>
        <w:t>QALYs for each group were calculated follow</w:t>
      </w:r>
      <w:r w:rsidR="003E5E32">
        <w:rPr>
          <w:rFonts w:cs="Times New Roman"/>
          <w:sz w:val="24"/>
        </w:rPr>
        <w:t xml:space="preserve">ing the formula: </w:t>
      </w:r>
    </w:p>
    <w:p w14:paraId="049EB046" w14:textId="01BDBC4B" w:rsidR="003E5E32" w:rsidRPr="003E5E32" w:rsidRDefault="003E5E32" w:rsidP="00FD1CFE">
      <w:pPr>
        <w:tabs>
          <w:tab w:val="left" w:pos="567"/>
        </w:tabs>
        <w:spacing w:line="480" w:lineRule="auto"/>
        <w:jc w:val="center"/>
        <w:rPr>
          <w:rFonts w:cs="Times New Roman"/>
          <w:sz w:val="24"/>
        </w:rPr>
      </w:pPr>
      <w:r w:rsidRPr="003E5E32">
        <w:rPr>
          <w:rFonts w:cs="Times New Roman"/>
          <w:sz w:val="24"/>
          <w:lang w:val="en-US"/>
        </w:rPr>
        <w:t xml:space="preserve">QALYs = Utility value </w:t>
      </w:r>
      <w:r w:rsidR="0094250F" w:rsidRPr="00E742BD">
        <w:rPr>
          <w:rFonts w:cs="Times New Roman"/>
          <w:sz w:val="24"/>
        </w:rPr>
        <w:t>×</w:t>
      </w:r>
      <w:r w:rsidRPr="003E5E32">
        <w:rPr>
          <w:rFonts w:cs="Times New Roman"/>
          <w:sz w:val="24"/>
          <w:lang w:val="en-US"/>
        </w:rPr>
        <w:t xml:space="preserve"> Length of time (years)</w:t>
      </w:r>
    </w:p>
    <w:p w14:paraId="30EF03E7" w14:textId="393DDA84" w:rsidR="00E742BD" w:rsidRPr="00E742BD" w:rsidRDefault="00E742BD" w:rsidP="00FD1CFE">
      <w:pPr>
        <w:tabs>
          <w:tab w:val="left" w:pos="567"/>
        </w:tabs>
        <w:spacing w:line="480" w:lineRule="auto"/>
        <w:jc w:val="both"/>
        <w:rPr>
          <w:rFonts w:cs="Times New Roman"/>
          <w:sz w:val="24"/>
        </w:rPr>
      </w:pPr>
      <w:r w:rsidRPr="00E742BD">
        <w:rPr>
          <w:rFonts w:cs="Times New Roman"/>
          <w:sz w:val="24"/>
        </w:rPr>
        <w:t xml:space="preserve">- For ISBCS: QALYs = utility_3 × </w:t>
      </w:r>
      <w:r w:rsidR="00B01CA5">
        <w:rPr>
          <w:rFonts w:cs="Times New Roman"/>
          <w:sz w:val="24"/>
        </w:rPr>
        <w:t>0.25</w:t>
      </w:r>
      <w:r w:rsidRPr="00E742BD">
        <w:rPr>
          <w:rFonts w:cs="Times New Roman"/>
          <w:sz w:val="24"/>
        </w:rPr>
        <w:t xml:space="preserve">.  </w:t>
      </w:r>
    </w:p>
    <w:p w14:paraId="141B04C6" w14:textId="00F753DB" w:rsidR="000A460C" w:rsidRDefault="00E742BD" w:rsidP="00FD1CFE">
      <w:pPr>
        <w:tabs>
          <w:tab w:val="left" w:pos="567"/>
        </w:tabs>
        <w:spacing w:line="480" w:lineRule="auto"/>
        <w:jc w:val="both"/>
        <w:rPr>
          <w:rFonts w:cs="Times New Roman"/>
          <w:sz w:val="24"/>
        </w:rPr>
      </w:pPr>
      <w:r w:rsidRPr="00E742BD">
        <w:rPr>
          <w:rFonts w:cs="Times New Roman"/>
          <w:sz w:val="24"/>
        </w:rPr>
        <w:t>- For DSBCS: QALYs = (utility_2 × interval) + (utility_3 × (</w:t>
      </w:r>
      <w:r w:rsidR="00B01CA5">
        <w:rPr>
          <w:rFonts w:cs="Times New Roman"/>
          <w:sz w:val="24"/>
        </w:rPr>
        <w:t>0.25</w:t>
      </w:r>
      <w:r w:rsidRPr="00E742BD">
        <w:rPr>
          <w:rFonts w:cs="Times New Roman"/>
          <w:sz w:val="24"/>
        </w:rPr>
        <w:t xml:space="preserve"> - interval))</w:t>
      </w:r>
      <w:r w:rsidR="000A460C">
        <w:rPr>
          <w:rFonts w:cs="Times New Roman"/>
          <w:sz w:val="24"/>
        </w:rPr>
        <w:t xml:space="preserve"> </w:t>
      </w:r>
    </w:p>
    <w:p w14:paraId="3F03C86B" w14:textId="3553DE82" w:rsidR="000A1AFF" w:rsidRDefault="000A1AFF" w:rsidP="00FD1CFE">
      <w:pPr>
        <w:tabs>
          <w:tab w:val="left" w:pos="567"/>
        </w:tabs>
        <w:spacing w:line="480" w:lineRule="auto"/>
        <w:jc w:val="both"/>
        <w:rPr>
          <w:rFonts w:cs="Times New Roman"/>
          <w:sz w:val="24"/>
        </w:rPr>
      </w:pPr>
      <w:r>
        <w:rPr>
          <w:rFonts w:cs="Times New Roman"/>
          <w:sz w:val="24"/>
        </w:rPr>
        <w:t>With</w:t>
      </w:r>
      <w:r w:rsidR="009E76C5">
        <w:rPr>
          <w:rFonts w:cs="Times New Roman"/>
          <w:sz w:val="24"/>
        </w:rPr>
        <w:t>:</w:t>
      </w:r>
    </w:p>
    <w:p w14:paraId="3FBFD479" w14:textId="77777777" w:rsidR="00276704" w:rsidRDefault="009E76C5" w:rsidP="00FD1CFE">
      <w:pPr>
        <w:pStyle w:val="ListParagraph"/>
        <w:numPr>
          <w:ilvl w:val="0"/>
          <w:numId w:val="5"/>
        </w:numPr>
        <w:tabs>
          <w:tab w:val="left" w:pos="567"/>
        </w:tabs>
        <w:spacing w:line="480" w:lineRule="auto"/>
        <w:jc w:val="both"/>
        <w:rPr>
          <w:rFonts w:cs="Times New Roman"/>
          <w:sz w:val="24"/>
        </w:rPr>
      </w:pPr>
      <w:r>
        <w:rPr>
          <w:rFonts w:cs="Times New Roman"/>
          <w:sz w:val="24"/>
        </w:rPr>
        <w:t>“</w:t>
      </w:r>
      <w:r w:rsidR="000A1AFF" w:rsidRPr="000A1AFF">
        <w:rPr>
          <w:rFonts w:cs="Times New Roman"/>
          <w:sz w:val="24"/>
        </w:rPr>
        <w:t>I</w:t>
      </w:r>
      <w:r w:rsidR="00E742BD" w:rsidRPr="000A1AFF">
        <w:rPr>
          <w:rFonts w:cs="Times New Roman"/>
          <w:sz w:val="24"/>
        </w:rPr>
        <w:t>nterval</w:t>
      </w:r>
      <w:r>
        <w:rPr>
          <w:rFonts w:cs="Times New Roman"/>
          <w:sz w:val="24"/>
        </w:rPr>
        <w:t>”</w:t>
      </w:r>
      <w:r w:rsidR="00E742BD" w:rsidRPr="000A1AFF">
        <w:rPr>
          <w:rFonts w:cs="Times New Roman"/>
          <w:sz w:val="24"/>
        </w:rPr>
        <w:t xml:space="preserve"> represents the duration between the first and second eye surgeries for DSBCS patients.</w:t>
      </w:r>
    </w:p>
    <w:p w14:paraId="28C12276" w14:textId="1D0E1171" w:rsidR="001512B1" w:rsidRPr="00276704" w:rsidRDefault="009E76C5" w:rsidP="00FD1CFE">
      <w:pPr>
        <w:pStyle w:val="ListParagraph"/>
        <w:numPr>
          <w:ilvl w:val="0"/>
          <w:numId w:val="5"/>
        </w:numPr>
        <w:tabs>
          <w:tab w:val="left" w:pos="567"/>
        </w:tabs>
        <w:spacing w:line="480" w:lineRule="auto"/>
        <w:jc w:val="both"/>
        <w:rPr>
          <w:rFonts w:cs="Times New Roman"/>
          <w:sz w:val="24"/>
        </w:rPr>
      </w:pPr>
      <w:r w:rsidRPr="00276704">
        <w:rPr>
          <w:rFonts w:cs="Times New Roman"/>
          <w:sz w:val="24"/>
        </w:rPr>
        <w:t>“</w:t>
      </w:r>
      <w:r w:rsidR="000A1AFF" w:rsidRPr="00276704">
        <w:rPr>
          <w:rFonts w:cs="Times New Roman"/>
          <w:sz w:val="24"/>
        </w:rPr>
        <w:t>0.25</w:t>
      </w:r>
      <w:r w:rsidRPr="00276704">
        <w:rPr>
          <w:rFonts w:cs="Times New Roman"/>
          <w:sz w:val="24"/>
        </w:rPr>
        <w:t>”</w:t>
      </w:r>
      <w:r w:rsidR="000A1AFF" w:rsidRPr="00276704">
        <w:rPr>
          <w:rFonts w:cs="Times New Roman"/>
          <w:sz w:val="24"/>
        </w:rPr>
        <w:t xml:space="preserve"> represents 3 months, equivalent to one-quarter of a year</w:t>
      </w:r>
      <w:r w:rsidR="001512B1" w:rsidRPr="00276704">
        <w:rPr>
          <w:rFonts w:cs="Times New Roman"/>
          <w:b/>
          <w:bCs/>
          <w:sz w:val="24"/>
          <w:lang w:val="en-US"/>
        </w:rPr>
        <w:br w:type="page"/>
      </w:r>
    </w:p>
    <w:p w14:paraId="25285075" w14:textId="51370DCC" w:rsidR="007F0408" w:rsidRPr="00EB2F1C" w:rsidRDefault="007F0408" w:rsidP="00FD1CFE">
      <w:pPr>
        <w:spacing w:line="480" w:lineRule="auto"/>
        <w:rPr>
          <w:b/>
          <w:bCs/>
          <w:sz w:val="24"/>
          <w:lang w:val="en-US"/>
        </w:rPr>
      </w:pPr>
      <w:r>
        <w:rPr>
          <w:b/>
          <w:bCs/>
          <w:sz w:val="24"/>
          <w:lang w:val="en-US"/>
        </w:rPr>
        <w:lastRenderedPageBreak/>
        <w:t xml:space="preserve">Supplement </w:t>
      </w:r>
      <w:r w:rsidR="00C85E51">
        <w:rPr>
          <w:b/>
          <w:bCs/>
          <w:sz w:val="24"/>
          <w:lang w:val="en-US"/>
        </w:rPr>
        <w:t>2</w:t>
      </w:r>
      <w:r>
        <w:rPr>
          <w:b/>
          <w:bCs/>
          <w:sz w:val="24"/>
          <w:lang w:val="en-US"/>
        </w:rPr>
        <w:t>.</w:t>
      </w:r>
      <w:r w:rsidRPr="007F0408">
        <w:rPr>
          <w:b/>
          <w:bCs/>
          <w:sz w:val="24"/>
          <w:lang w:val="en-US"/>
        </w:rPr>
        <w:t xml:space="preserve"> </w:t>
      </w:r>
      <w:r w:rsidRPr="00EB2F1C">
        <w:rPr>
          <w:b/>
          <w:bCs/>
          <w:sz w:val="24"/>
          <w:lang w:val="en-US"/>
        </w:rPr>
        <w:t>Postoperative complications</w:t>
      </w:r>
    </w:p>
    <w:tbl>
      <w:tblPr>
        <w:tblStyle w:val="TableGrid"/>
        <w:tblW w:w="5000" w:type="pct"/>
        <w:tblLook w:val="04A0" w:firstRow="1" w:lastRow="0" w:firstColumn="1" w:lastColumn="0" w:noHBand="0" w:noVBand="1"/>
      </w:tblPr>
      <w:tblGrid>
        <w:gridCol w:w="3542"/>
        <w:gridCol w:w="2158"/>
        <w:gridCol w:w="2005"/>
        <w:gridCol w:w="1311"/>
      </w:tblGrid>
      <w:tr w:rsidR="007F0408" w:rsidRPr="001A4ACC" w14:paraId="793B645F" w14:textId="77777777" w:rsidTr="00295D64">
        <w:tc>
          <w:tcPr>
            <w:tcW w:w="1964" w:type="pct"/>
            <w:tcBorders>
              <w:bottom w:val="single" w:sz="4" w:space="0" w:color="auto"/>
              <w:right w:val="nil"/>
            </w:tcBorders>
            <w:vAlign w:val="center"/>
          </w:tcPr>
          <w:p w14:paraId="16A34C48" w14:textId="77777777" w:rsidR="007F0408" w:rsidRPr="001A4ACC" w:rsidRDefault="007F0408" w:rsidP="00FD1CFE">
            <w:pPr>
              <w:spacing w:line="480" w:lineRule="auto"/>
              <w:rPr>
                <w:b/>
                <w:bCs/>
                <w:sz w:val="24"/>
                <w:lang w:val="en-US"/>
              </w:rPr>
            </w:pPr>
            <w:r w:rsidRPr="001A4ACC">
              <w:rPr>
                <w:b/>
                <w:bCs/>
                <w:sz w:val="24"/>
                <w:lang w:val="en-US"/>
              </w:rPr>
              <w:t>Complication</w:t>
            </w:r>
          </w:p>
        </w:tc>
        <w:tc>
          <w:tcPr>
            <w:tcW w:w="1197" w:type="pct"/>
            <w:tcBorders>
              <w:left w:val="nil"/>
              <w:bottom w:val="single" w:sz="4" w:space="0" w:color="auto"/>
              <w:right w:val="nil"/>
            </w:tcBorders>
          </w:tcPr>
          <w:p w14:paraId="11B22D57" w14:textId="77777777" w:rsidR="007F0408" w:rsidRPr="001A4ACC" w:rsidRDefault="007F0408" w:rsidP="00FD1CFE">
            <w:pPr>
              <w:spacing w:line="480" w:lineRule="auto"/>
              <w:rPr>
                <w:b/>
                <w:bCs/>
                <w:sz w:val="24"/>
                <w:lang w:val="en-US"/>
              </w:rPr>
            </w:pPr>
            <w:r w:rsidRPr="001A4ACC">
              <w:rPr>
                <w:b/>
                <w:bCs/>
                <w:sz w:val="24"/>
                <w:lang w:val="en-US"/>
              </w:rPr>
              <w:t>DSBCS</w:t>
            </w:r>
          </w:p>
          <w:p w14:paraId="7B822B82" w14:textId="77777777" w:rsidR="007F0408" w:rsidRPr="001A4ACC" w:rsidRDefault="007F0408" w:rsidP="00FD1CFE">
            <w:pPr>
              <w:spacing w:line="480" w:lineRule="auto"/>
              <w:rPr>
                <w:b/>
                <w:bCs/>
                <w:sz w:val="24"/>
                <w:lang w:val="en-US"/>
              </w:rPr>
            </w:pPr>
            <w:r w:rsidRPr="001A4ACC">
              <w:rPr>
                <w:b/>
                <w:bCs/>
                <w:sz w:val="24"/>
                <w:lang w:val="en-US"/>
              </w:rPr>
              <w:t>(n = 45)</w:t>
            </w:r>
          </w:p>
        </w:tc>
        <w:tc>
          <w:tcPr>
            <w:tcW w:w="1112" w:type="pct"/>
            <w:tcBorders>
              <w:left w:val="nil"/>
              <w:bottom w:val="single" w:sz="4" w:space="0" w:color="auto"/>
              <w:right w:val="nil"/>
            </w:tcBorders>
          </w:tcPr>
          <w:p w14:paraId="4BCC1050" w14:textId="77777777" w:rsidR="007F0408" w:rsidRPr="001A4ACC" w:rsidRDefault="007F0408" w:rsidP="00FD1CFE">
            <w:pPr>
              <w:spacing w:line="480" w:lineRule="auto"/>
              <w:rPr>
                <w:b/>
                <w:bCs/>
                <w:sz w:val="24"/>
                <w:lang w:val="en-US"/>
              </w:rPr>
            </w:pPr>
            <w:r w:rsidRPr="001A4ACC">
              <w:rPr>
                <w:b/>
                <w:bCs/>
                <w:sz w:val="24"/>
                <w:lang w:val="en-US"/>
              </w:rPr>
              <w:t>ISBCS</w:t>
            </w:r>
          </w:p>
          <w:p w14:paraId="6E9AB117" w14:textId="77777777" w:rsidR="007F0408" w:rsidRPr="001A4ACC" w:rsidRDefault="007F0408" w:rsidP="00FD1CFE">
            <w:pPr>
              <w:tabs>
                <w:tab w:val="right" w:pos="1770"/>
              </w:tabs>
              <w:spacing w:line="480" w:lineRule="auto"/>
              <w:rPr>
                <w:b/>
                <w:bCs/>
                <w:sz w:val="24"/>
                <w:lang w:val="en-US"/>
              </w:rPr>
            </w:pPr>
            <w:r w:rsidRPr="001A4ACC">
              <w:rPr>
                <w:b/>
                <w:bCs/>
                <w:sz w:val="24"/>
                <w:lang w:val="en-US"/>
              </w:rPr>
              <w:t>(n = 44)</w:t>
            </w:r>
          </w:p>
        </w:tc>
        <w:tc>
          <w:tcPr>
            <w:tcW w:w="728" w:type="pct"/>
            <w:tcBorders>
              <w:left w:val="nil"/>
              <w:bottom w:val="single" w:sz="4" w:space="0" w:color="auto"/>
            </w:tcBorders>
            <w:vAlign w:val="center"/>
          </w:tcPr>
          <w:p w14:paraId="3F88AC00" w14:textId="77777777" w:rsidR="007F0408" w:rsidRPr="001A4ACC" w:rsidRDefault="007F0408" w:rsidP="00FD1CFE">
            <w:pPr>
              <w:spacing w:line="480" w:lineRule="auto"/>
              <w:rPr>
                <w:b/>
                <w:bCs/>
                <w:sz w:val="24"/>
                <w:lang w:val="en-US"/>
              </w:rPr>
            </w:pPr>
            <w:r w:rsidRPr="001A4ACC">
              <w:rPr>
                <w:b/>
                <w:bCs/>
                <w:sz w:val="24"/>
                <w:lang w:val="en-US"/>
              </w:rPr>
              <w:t>P-value</w:t>
            </w:r>
          </w:p>
        </w:tc>
      </w:tr>
      <w:tr w:rsidR="007F0408" w:rsidRPr="001A4ACC" w14:paraId="673B6EC9" w14:textId="77777777" w:rsidTr="00295D64">
        <w:tc>
          <w:tcPr>
            <w:tcW w:w="1964" w:type="pct"/>
            <w:tcBorders>
              <w:bottom w:val="nil"/>
              <w:right w:val="nil"/>
            </w:tcBorders>
          </w:tcPr>
          <w:p w14:paraId="768691AF" w14:textId="77777777" w:rsidR="007F0408" w:rsidRPr="001A4ACC" w:rsidRDefault="007F0408" w:rsidP="00FD1CFE">
            <w:pPr>
              <w:spacing w:line="480" w:lineRule="auto"/>
              <w:rPr>
                <w:sz w:val="24"/>
                <w:lang w:val="en-US"/>
              </w:rPr>
            </w:pPr>
            <w:r w:rsidRPr="001A4ACC">
              <w:rPr>
                <w:sz w:val="24"/>
                <w:lang w:val="en-US"/>
              </w:rPr>
              <w:t>Transient ocular hypertension</w:t>
            </w:r>
          </w:p>
        </w:tc>
        <w:tc>
          <w:tcPr>
            <w:tcW w:w="1197" w:type="pct"/>
            <w:tcBorders>
              <w:left w:val="nil"/>
              <w:bottom w:val="nil"/>
              <w:right w:val="nil"/>
            </w:tcBorders>
          </w:tcPr>
          <w:p w14:paraId="238FEC79" w14:textId="77777777" w:rsidR="007F0408" w:rsidRPr="001A4ACC" w:rsidRDefault="007F0408" w:rsidP="00FD1CFE">
            <w:pPr>
              <w:spacing w:line="480" w:lineRule="auto"/>
              <w:rPr>
                <w:sz w:val="24"/>
                <w:lang w:val="en-US"/>
              </w:rPr>
            </w:pPr>
            <w:r w:rsidRPr="001A4ACC">
              <w:rPr>
                <w:sz w:val="24"/>
                <w:lang w:val="en-US"/>
              </w:rPr>
              <w:t>8 (17.78%)</w:t>
            </w:r>
          </w:p>
        </w:tc>
        <w:tc>
          <w:tcPr>
            <w:tcW w:w="1112" w:type="pct"/>
            <w:tcBorders>
              <w:left w:val="nil"/>
              <w:bottom w:val="nil"/>
              <w:right w:val="nil"/>
            </w:tcBorders>
          </w:tcPr>
          <w:p w14:paraId="636FA836" w14:textId="77777777" w:rsidR="007F0408" w:rsidRPr="001A4ACC" w:rsidRDefault="007F0408" w:rsidP="00FD1CFE">
            <w:pPr>
              <w:spacing w:line="480" w:lineRule="auto"/>
              <w:rPr>
                <w:sz w:val="24"/>
                <w:lang w:val="en-US"/>
              </w:rPr>
            </w:pPr>
            <w:r w:rsidRPr="001A4ACC">
              <w:rPr>
                <w:sz w:val="24"/>
                <w:lang w:val="en-US"/>
              </w:rPr>
              <w:t>10 (22.72%)</w:t>
            </w:r>
          </w:p>
        </w:tc>
        <w:tc>
          <w:tcPr>
            <w:tcW w:w="728" w:type="pct"/>
            <w:tcBorders>
              <w:left w:val="nil"/>
              <w:bottom w:val="nil"/>
            </w:tcBorders>
          </w:tcPr>
          <w:p w14:paraId="4D94F9AE" w14:textId="77777777" w:rsidR="007F0408" w:rsidRPr="001A4ACC" w:rsidRDefault="007F0408" w:rsidP="00FD1CFE">
            <w:pPr>
              <w:spacing w:line="480" w:lineRule="auto"/>
              <w:rPr>
                <w:sz w:val="24"/>
                <w:lang w:val="en-US"/>
              </w:rPr>
            </w:pPr>
            <w:r w:rsidRPr="001A4ACC">
              <w:rPr>
                <w:sz w:val="24"/>
                <w:lang w:val="en-US"/>
              </w:rPr>
              <w:t>0.572</w:t>
            </w:r>
          </w:p>
        </w:tc>
      </w:tr>
      <w:tr w:rsidR="007F0408" w:rsidRPr="001A4ACC" w14:paraId="7F5C1F06" w14:textId="77777777" w:rsidTr="00295D64">
        <w:tc>
          <w:tcPr>
            <w:tcW w:w="1964" w:type="pct"/>
            <w:tcBorders>
              <w:top w:val="nil"/>
              <w:bottom w:val="nil"/>
              <w:right w:val="nil"/>
            </w:tcBorders>
          </w:tcPr>
          <w:p w14:paraId="6E160868" w14:textId="77777777" w:rsidR="007F0408" w:rsidRPr="001A4ACC" w:rsidRDefault="007F0408" w:rsidP="00FD1CFE">
            <w:pPr>
              <w:spacing w:line="480" w:lineRule="auto"/>
              <w:rPr>
                <w:sz w:val="24"/>
                <w:lang w:val="en-US"/>
              </w:rPr>
            </w:pPr>
            <w:r w:rsidRPr="001A4ACC">
              <w:rPr>
                <w:sz w:val="24"/>
                <w:lang w:val="en-US"/>
              </w:rPr>
              <w:t xml:space="preserve">     1 eye</w:t>
            </w:r>
          </w:p>
        </w:tc>
        <w:tc>
          <w:tcPr>
            <w:tcW w:w="1197" w:type="pct"/>
            <w:tcBorders>
              <w:top w:val="nil"/>
              <w:left w:val="nil"/>
              <w:bottom w:val="nil"/>
              <w:right w:val="nil"/>
            </w:tcBorders>
          </w:tcPr>
          <w:p w14:paraId="5E4D737E" w14:textId="77777777" w:rsidR="007F0408" w:rsidRPr="001A4ACC" w:rsidRDefault="007F0408" w:rsidP="00FD1CFE">
            <w:pPr>
              <w:spacing w:line="480" w:lineRule="auto"/>
              <w:rPr>
                <w:sz w:val="24"/>
                <w:lang w:val="en-US"/>
              </w:rPr>
            </w:pPr>
            <w:r w:rsidRPr="001A4ACC">
              <w:rPr>
                <w:sz w:val="24"/>
                <w:lang w:val="en-US"/>
              </w:rPr>
              <w:t xml:space="preserve">     7 (15.6%)</w:t>
            </w:r>
          </w:p>
        </w:tc>
        <w:tc>
          <w:tcPr>
            <w:tcW w:w="1112" w:type="pct"/>
            <w:tcBorders>
              <w:top w:val="nil"/>
              <w:left w:val="nil"/>
              <w:bottom w:val="nil"/>
              <w:right w:val="nil"/>
            </w:tcBorders>
          </w:tcPr>
          <w:p w14:paraId="5C549066" w14:textId="77777777" w:rsidR="007F0408" w:rsidRPr="001A4ACC" w:rsidRDefault="007F0408" w:rsidP="00FD1CFE">
            <w:pPr>
              <w:spacing w:line="480" w:lineRule="auto"/>
              <w:rPr>
                <w:sz w:val="24"/>
                <w:lang w:val="en-US"/>
              </w:rPr>
            </w:pPr>
            <w:r w:rsidRPr="001A4ACC">
              <w:rPr>
                <w:sz w:val="24"/>
                <w:lang w:val="en-US"/>
              </w:rPr>
              <w:t xml:space="preserve">     7 (15.9%)</w:t>
            </w:r>
          </w:p>
        </w:tc>
        <w:tc>
          <w:tcPr>
            <w:tcW w:w="728" w:type="pct"/>
            <w:tcBorders>
              <w:top w:val="nil"/>
              <w:left w:val="nil"/>
              <w:bottom w:val="nil"/>
            </w:tcBorders>
          </w:tcPr>
          <w:p w14:paraId="33347AEA" w14:textId="77777777" w:rsidR="007F0408" w:rsidRPr="001A4ACC" w:rsidRDefault="007F0408" w:rsidP="00FD1CFE">
            <w:pPr>
              <w:spacing w:line="480" w:lineRule="auto"/>
              <w:rPr>
                <w:sz w:val="24"/>
                <w:lang w:val="en-US"/>
              </w:rPr>
            </w:pPr>
          </w:p>
        </w:tc>
      </w:tr>
      <w:tr w:rsidR="007F0408" w:rsidRPr="001A4ACC" w14:paraId="67F1A122" w14:textId="77777777" w:rsidTr="00295D64">
        <w:tc>
          <w:tcPr>
            <w:tcW w:w="1964" w:type="pct"/>
            <w:tcBorders>
              <w:top w:val="nil"/>
              <w:bottom w:val="nil"/>
              <w:right w:val="nil"/>
            </w:tcBorders>
          </w:tcPr>
          <w:p w14:paraId="0C1F15FB" w14:textId="77777777" w:rsidR="007F0408" w:rsidRPr="001A4ACC" w:rsidRDefault="007F0408" w:rsidP="00FD1CFE">
            <w:pPr>
              <w:spacing w:line="480" w:lineRule="auto"/>
              <w:rPr>
                <w:sz w:val="24"/>
                <w:lang w:val="en-US"/>
              </w:rPr>
            </w:pPr>
            <w:r w:rsidRPr="001A4ACC">
              <w:rPr>
                <w:sz w:val="24"/>
                <w:lang w:val="en-US"/>
              </w:rPr>
              <w:t xml:space="preserve">     2 eyes</w:t>
            </w:r>
          </w:p>
        </w:tc>
        <w:tc>
          <w:tcPr>
            <w:tcW w:w="1197" w:type="pct"/>
            <w:tcBorders>
              <w:top w:val="nil"/>
              <w:left w:val="nil"/>
              <w:bottom w:val="nil"/>
              <w:right w:val="nil"/>
            </w:tcBorders>
          </w:tcPr>
          <w:p w14:paraId="1F9AE7C5" w14:textId="77777777" w:rsidR="007F0408" w:rsidRPr="001A4ACC" w:rsidRDefault="007F0408" w:rsidP="00FD1CFE">
            <w:pPr>
              <w:spacing w:line="480" w:lineRule="auto"/>
              <w:rPr>
                <w:sz w:val="24"/>
                <w:lang w:val="en-US"/>
              </w:rPr>
            </w:pPr>
            <w:r w:rsidRPr="001A4ACC">
              <w:rPr>
                <w:sz w:val="24"/>
                <w:lang w:val="en-US"/>
              </w:rPr>
              <w:t xml:space="preserve">     1 (2.22 %)</w:t>
            </w:r>
          </w:p>
        </w:tc>
        <w:tc>
          <w:tcPr>
            <w:tcW w:w="1112" w:type="pct"/>
            <w:tcBorders>
              <w:top w:val="nil"/>
              <w:left w:val="nil"/>
              <w:bottom w:val="nil"/>
              <w:right w:val="nil"/>
            </w:tcBorders>
          </w:tcPr>
          <w:p w14:paraId="14BA4324" w14:textId="77777777" w:rsidR="007F0408" w:rsidRPr="001A4ACC" w:rsidRDefault="007F0408" w:rsidP="00FD1CFE">
            <w:pPr>
              <w:spacing w:line="480" w:lineRule="auto"/>
              <w:rPr>
                <w:sz w:val="24"/>
                <w:lang w:val="en-US"/>
              </w:rPr>
            </w:pPr>
            <w:r w:rsidRPr="001A4ACC">
              <w:rPr>
                <w:sz w:val="24"/>
                <w:lang w:val="en-US"/>
              </w:rPr>
              <w:t xml:space="preserve">     3 (6.82%)</w:t>
            </w:r>
          </w:p>
        </w:tc>
        <w:tc>
          <w:tcPr>
            <w:tcW w:w="728" w:type="pct"/>
            <w:tcBorders>
              <w:top w:val="nil"/>
              <w:left w:val="nil"/>
              <w:bottom w:val="nil"/>
            </w:tcBorders>
          </w:tcPr>
          <w:p w14:paraId="48AE75FF" w14:textId="77777777" w:rsidR="007F0408" w:rsidRPr="001A4ACC" w:rsidRDefault="007F0408" w:rsidP="00FD1CFE">
            <w:pPr>
              <w:spacing w:line="480" w:lineRule="auto"/>
              <w:rPr>
                <w:sz w:val="24"/>
                <w:lang w:val="en-US"/>
              </w:rPr>
            </w:pPr>
          </w:p>
        </w:tc>
      </w:tr>
      <w:tr w:rsidR="007F0408" w:rsidRPr="001A4ACC" w14:paraId="753DDA65" w14:textId="77777777" w:rsidTr="00295D64">
        <w:tc>
          <w:tcPr>
            <w:tcW w:w="1964" w:type="pct"/>
            <w:tcBorders>
              <w:top w:val="nil"/>
              <w:bottom w:val="nil"/>
              <w:right w:val="nil"/>
            </w:tcBorders>
          </w:tcPr>
          <w:p w14:paraId="3BBF8BF7" w14:textId="77777777" w:rsidR="007F0408" w:rsidRPr="001A4ACC" w:rsidRDefault="007F0408" w:rsidP="00FD1CFE">
            <w:pPr>
              <w:spacing w:line="480" w:lineRule="auto"/>
              <w:rPr>
                <w:sz w:val="24"/>
                <w:lang w:val="en-US"/>
              </w:rPr>
            </w:pPr>
            <w:r w:rsidRPr="001A4ACC">
              <w:rPr>
                <w:sz w:val="24"/>
                <w:lang w:val="en-US"/>
              </w:rPr>
              <w:t>Transient corneal edema</w:t>
            </w:r>
          </w:p>
        </w:tc>
        <w:tc>
          <w:tcPr>
            <w:tcW w:w="1197" w:type="pct"/>
            <w:tcBorders>
              <w:top w:val="nil"/>
              <w:left w:val="nil"/>
              <w:bottom w:val="nil"/>
              <w:right w:val="nil"/>
            </w:tcBorders>
          </w:tcPr>
          <w:p w14:paraId="3E694AD0" w14:textId="77777777" w:rsidR="007F0408" w:rsidRPr="001A4ACC" w:rsidRDefault="007F0408" w:rsidP="00FD1CFE">
            <w:pPr>
              <w:spacing w:line="480" w:lineRule="auto"/>
              <w:rPr>
                <w:sz w:val="24"/>
                <w:lang w:val="en-US"/>
              </w:rPr>
            </w:pPr>
            <w:r w:rsidRPr="001A4ACC">
              <w:rPr>
                <w:sz w:val="24"/>
                <w:lang w:val="en-US"/>
              </w:rPr>
              <w:t>5 (11.11%)</w:t>
            </w:r>
          </w:p>
        </w:tc>
        <w:tc>
          <w:tcPr>
            <w:tcW w:w="1112" w:type="pct"/>
            <w:tcBorders>
              <w:top w:val="nil"/>
              <w:left w:val="nil"/>
              <w:bottom w:val="nil"/>
              <w:right w:val="nil"/>
            </w:tcBorders>
          </w:tcPr>
          <w:p w14:paraId="6867DD5C" w14:textId="77777777" w:rsidR="007F0408" w:rsidRPr="001A4ACC" w:rsidRDefault="007F0408" w:rsidP="00FD1CFE">
            <w:pPr>
              <w:spacing w:line="480" w:lineRule="auto"/>
              <w:rPr>
                <w:sz w:val="24"/>
                <w:lang w:val="en-US"/>
              </w:rPr>
            </w:pPr>
            <w:r w:rsidRPr="001A4ACC">
              <w:rPr>
                <w:sz w:val="24"/>
                <w:lang w:val="en-US"/>
              </w:rPr>
              <w:t>0 (0%)</w:t>
            </w:r>
          </w:p>
        </w:tc>
        <w:tc>
          <w:tcPr>
            <w:tcW w:w="728" w:type="pct"/>
            <w:tcBorders>
              <w:top w:val="nil"/>
              <w:left w:val="nil"/>
              <w:bottom w:val="nil"/>
            </w:tcBorders>
          </w:tcPr>
          <w:p w14:paraId="73A3FD6B" w14:textId="77777777" w:rsidR="007F0408" w:rsidRPr="001A4ACC" w:rsidRDefault="007F0408" w:rsidP="00FD1CFE">
            <w:pPr>
              <w:spacing w:line="480" w:lineRule="auto"/>
              <w:rPr>
                <w:sz w:val="24"/>
                <w:lang w:val="en-US"/>
              </w:rPr>
            </w:pPr>
            <w:r w:rsidRPr="001A4ACC">
              <w:rPr>
                <w:sz w:val="24"/>
                <w:lang w:val="en-US"/>
              </w:rPr>
              <w:t>0.075</w:t>
            </w:r>
          </w:p>
        </w:tc>
      </w:tr>
      <w:tr w:rsidR="007F0408" w:rsidRPr="001A4ACC" w14:paraId="6D1795BB" w14:textId="77777777" w:rsidTr="00295D64">
        <w:tc>
          <w:tcPr>
            <w:tcW w:w="1964" w:type="pct"/>
            <w:tcBorders>
              <w:top w:val="nil"/>
              <w:bottom w:val="nil"/>
              <w:right w:val="nil"/>
            </w:tcBorders>
          </w:tcPr>
          <w:p w14:paraId="60F03D84" w14:textId="77777777" w:rsidR="007F0408" w:rsidRPr="001A4ACC" w:rsidRDefault="007F0408" w:rsidP="00FD1CFE">
            <w:pPr>
              <w:spacing w:line="480" w:lineRule="auto"/>
              <w:rPr>
                <w:sz w:val="24"/>
                <w:lang w:val="en-US"/>
              </w:rPr>
            </w:pPr>
            <w:r w:rsidRPr="001A4ACC">
              <w:rPr>
                <w:sz w:val="24"/>
                <w:lang w:val="en-US"/>
              </w:rPr>
              <w:t xml:space="preserve">     1 eye</w:t>
            </w:r>
          </w:p>
        </w:tc>
        <w:tc>
          <w:tcPr>
            <w:tcW w:w="1197" w:type="pct"/>
            <w:tcBorders>
              <w:top w:val="nil"/>
              <w:left w:val="nil"/>
              <w:bottom w:val="nil"/>
              <w:right w:val="nil"/>
            </w:tcBorders>
          </w:tcPr>
          <w:p w14:paraId="7B74CF49" w14:textId="77777777" w:rsidR="007F0408" w:rsidRPr="001A4ACC" w:rsidRDefault="007F0408" w:rsidP="00FD1CFE">
            <w:pPr>
              <w:spacing w:line="480" w:lineRule="auto"/>
              <w:rPr>
                <w:sz w:val="24"/>
                <w:lang w:val="en-US"/>
              </w:rPr>
            </w:pPr>
            <w:r w:rsidRPr="001A4ACC">
              <w:rPr>
                <w:sz w:val="24"/>
                <w:lang w:val="en-US"/>
              </w:rPr>
              <w:t xml:space="preserve">     4 (8.89%)</w:t>
            </w:r>
          </w:p>
        </w:tc>
        <w:tc>
          <w:tcPr>
            <w:tcW w:w="1112" w:type="pct"/>
            <w:tcBorders>
              <w:top w:val="nil"/>
              <w:left w:val="nil"/>
              <w:bottom w:val="nil"/>
              <w:right w:val="nil"/>
            </w:tcBorders>
          </w:tcPr>
          <w:p w14:paraId="4B4117A8" w14:textId="77777777" w:rsidR="007F0408" w:rsidRPr="001A4ACC" w:rsidRDefault="007F0408" w:rsidP="00FD1CFE">
            <w:pPr>
              <w:spacing w:line="480" w:lineRule="auto"/>
              <w:rPr>
                <w:sz w:val="24"/>
                <w:lang w:val="en-US"/>
              </w:rPr>
            </w:pPr>
            <w:r w:rsidRPr="001A4ACC">
              <w:rPr>
                <w:sz w:val="24"/>
                <w:lang w:val="en-US"/>
              </w:rPr>
              <w:t xml:space="preserve">     0 (0%)</w:t>
            </w:r>
          </w:p>
        </w:tc>
        <w:tc>
          <w:tcPr>
            <w:tcW w:w="728" w:type="pct"/>
            <w:tcBorders>
              <w:top w:val="nil"/>
              <w:left w:val="nil"/>
              <w:bottom w:val="nil"/>
            </w:tcBorders>
          </w:tcPr>
          <w:p w14:paraId="1B3576B4" w14:textId="77777777" w:rsidR="007F0408" w:rsidRPr="001A4ACC" w:rsidRDefault="007F0408" w:rsidP="00FD1CFE">
            <w:pPr>
              <w:spacing w:line="480" w:lineRule="auto"/>
              <w:rPr>
                <w:sz w:val="24"/>
                <w:lang w:val="en-US"/>
              </w:rPr>
            </w:pPr>
          </w:p>
        </w:tc>
      </w:tr>
      <w:tr w:rsidR="007F0408" w:rsidRPr="001A4ACC" w14:paraId="6C3EC22A" w14:textId="77777777" w:rsidTr="00295D64">
        <w:tc>
          <w:tcPr>
            <w:tcW w:w="1964" w:type="pct"/>
            <w:tcBorders>
              <w:top w:val="nil"/>
              <w:bottom w:val="nil"/>
              <w:right w:val="nil"/>
            </w:tcBorders>
          </w:tcPr>
          <w:p w14:paraId="3CD80592" w14:textId="77777777" w:rsidR="007F0408" w:rsidRPr="001A4ACC" w:rsidRDefault="007F0408" w:rsidP="00FD1CFE">
            <w:pPr>
              <w:spacing w:line="480" w:lineRule="auto"/>
              <w:rPr>
                <w:sz w:val="24"/>
                <w:lang w:val="en-US"/>
              </w:rPr>
            </w:pPr>
            <w:r w:rsidRPr="001A4ACC">
              <w:rPr>
                <w:sz w:val="24"/>
                <w:lang w:val="en-US"/>
              </w:rPr>
              <w:t xml:space="preserve">     2 eyes</w:t>
            </w:r>
          </w:p>
        </w:tc>
        <w:tc>
          <w:tcPr>
            <w:tcW w:w="1197" w:type="pct"/>
            <w:tcBorders>
              <w:top w:val="nil"/>
              <w:left w:val="nil"/>
              <w:bottom w:val="nil"/>
              <w:right w:val="nil"/>
            </w:tcBorders>
          </w:tcPr>
          <w:p w14:paraId="465A7566" w14:textId="77777777" w:rsidR="007F0408" w:rsidRPr="001A4ACC" w:rsidRDefault="007F0408" w:rsidP="00FD1CFE">
            <w:pPr>
              <w:spacing w:line="480" w:lineRule="auto"/>
              <w:rPr>
                <w:sz w:val="24"/>
                <w:lang w:val="en-US"/>
              </w:rPr>
            </w:pPr>
            <w:r w:rsidRPr="001A4ACC">
              <w:rPr>
                <w:sz w:val="24"/>
                <w:lang w:val="en-US"/>
              </w:rPr>
              <w:t xml:space="preserve">     1 (2.22%)</w:t>
            </w:r>
          </w:p>
        </w:tc>
        <w:tc>
          <w:tcPr>
            <w:tcW w:w="1112" w:type="pct"/>
            <w:tcBorders>
              <w:top w:val="nil"/>
              <w:left w:val="nil"/>
              <w:bottom w:val="nil"/>
              <w:right w:val="nil"/>
            </w:tcBorders>
          </w:tcPr>
          <w:p w14:paraId="1756AF36" w14:textId="77777777" w:rsidR="007F0408" w:rsidRPr="001A4ACC" w:rsidRDefault="007F0408" w:rsidP="00FD1CFE">
            <w:pPr>
              <w:spacing w:line="480" w:lineRule="auto"/>
              <w:rPr>
                <w:sz w:val="24"/>
                <w:lang w:val="en-US"/>
              </w:rPr>
            </w:pPr>
            <w:r w:rsidRPr="001A4ACC">
              <w:rPr>
                <w:sz w:val="24"/>
                <w:lang w:val="en-US"/>
              </w:rPr>
              <w:t xml:space="preserve">     0 (0%)</w:t>
            </w:r>
          </w:p>
        </w:tc>
        <w:tc>
          <w:tcPr>
            <w:tcW w:w="728" w:type="pct"/>
            <w:tcBorders>
              <w:top w:val="nil"/>
              <w:left w:val="nil"/>
              <w:bottom w:val="nil"/>
            </w:tcBorders>
          </w:tcPr>
          <w:p w14:paraId="738C6655" w14:textId="77777777" w:rsidR="007F0408" w:rsidRPr="001A4ACC" w:rsidRDefault="007F0408" w:rsidP="00FD1CFE">
            <w:pPr>
              <w:spacing w:line="480" w:lineRule="auto"/>
              <w:rPr>
                <w:sz w:val="24"/>
                <w:lang w:val="en-US"/>
              </w:rPr>
            </w:pPr>
          </w:p>
        </w:tc>
      </w:tr>
      <w:tr w:rsidR="007F0408" w:rsidRPr="001A4ACC" w14:paraId="69AA99C8" w14:textId="77777777" w:rsidTr="00295D64">
        <w:tc>
          <w:tcPr>
            <w:tcW w:w="1964" w:type="pct"/>
            <w:tcBorders>
              <w:top w:val="nil"/>
              <w:bottom w:val="nil"/>
              <w:right w:val="nil"/>
            </w:tcBorders>
          </w:tcPr>
          <w:p w14:paraId="3EABA5B1" w14:textId="77777777" w:rsidR="007F0408" w:rsidRPr="001A4ACC" w:rsidRDefault="007F0408" w:rsidP="00FD1CFE">
            <w:pPr>
              <w:spacing w:line="480" w:lineRule="auto"/>
              <w:rPr>
                <w:sz w:val="24"/>
                <w:lang w:val="en-US"/>
              </w:rPr>
            </w:pPr>
            <w:r w:rsidRPr="001A4ACC">
              <w:rPr>
                <w:sz w:val="24"/>
                <w:lang w:val="en-US"/>
              </w:rPr>
              <w:t>Posterior capsule opacification</w:t>
            </w:r>
          </w:p>
        </w:tc>
        <w:tc>
          <w:tcPr>
            <w:tcW w:w="1197" w:type="pct"/>
            <w:tcBorders>
              <w:top w:val="nil"/>
              <w:left w:val="nil"/>
              <w:bottom w:val="nil"/>
              <w:right w:val="nil"/>
            </w:tcBorders>
          </w:tcPr>
          <w:p w14:paraId="5A004872" w14:textId="77777777" w:rsidR="007F0408" w:rsidRPr="001A4ACC" w:rsidRDefault="007F0408" w:rsidP="00FD1CFE">
            <w:pPr>
              <w:spacing w:line="480" w:lineRule="auto"/>
              <w:rPr>
                <w:sz w:val="24"/>
                <w:lang w:val="en-US"/>
              </w:rPr>
            </w:pPr>
            <w:r w:rsidRPr="001A4ACC">
              <w:rPr>
                <w:sz w:val="24"/>
                <w:lang w:val="en-US"/>
              </w:rPr>
              <w:t>0 (0%)</w:t>
            </w:r>
          </w:p>
        </w:tc>
        <w:tc>
          <w:tcPr>
            <w:tcW w:w="1112" w:type="pct"/>
            <w:tcBorders>
              <w:top w:val="nil"/>
              <w:left w:val="nil"/>
              <w:bottom w:val="nil"/>
              <w:right w:val="nil"/>
            </w:tcBorders>
          </w:tcPr>
          <w:p w14:paraId="57E832C0" w14:textId="77777777" w:rsidR="007F0408" w:rsidRPr="001A4ACC" w:rsidRDefault="007F0408" w:rsidP="00FD1CFE">
            <w:pPr>
              <w:spacing w:line="480" w:lineRule="auto"/>
              <w:rPr>
                <w:sz w:val="24"/>
                <w:lang w:val="en-US"/>
              </w:rPr>
            </w:pPr>
            <w:r w:rsidRPr="001A4ACC">
              <w:rPr>
                <w:sz w:val="24"/>
                <w:lang w:val="en-US"/>
              </w:rPr>
              <w:t>1 (2.27%)</w:t>
            </w:r>
          </w:p>
        </w:tc>
        <w:tc>
          <w:tcPr>
            <w:tcW w:w="728" w:type="pct"/>
            <w:tcBorders>
              <w:top w:val="nil"/>
              <w:left w:val="nil"/>
              <w:bottom w:val="nil"/>
            </w:tcBorders>
          </w:tcPr>
          <w:p w14:paraId="01EFDAD4" w14:textId="77777777" w:rsidR="007F0408" w:rsidRPr="001A4ACC" w:rsidRDefault="007F0408" w:rsidP="00FD1CFE">
            <w:pPr>
              <w:spacing w:line="480" w:lineRule="auto"/>
              <w:rPr>
                <w:sz w:val="24"/>
                <w:lang w:val="en-US"/>
              </w:rPr>
            </w:pPr>
            <w:r w:rsidRPr="001A4ACC">
              <w:rPr>
                <w:sz w:val="24"/>
                <w:lang w:val="en-US"/>
              </w:rPr>
              <w:t>0.991</w:t>
            </w:r>
          </w:p>
        </w:tc>
      </w:tr>
      <w:tr w:rsidR="007F0408" w:rsidRPr="001A4ACC" w14:paraId="48A439C4" w14:textId="77777777" w:rsidTr="00295D64">
        <w:tc>
          <w:tcPr>
            <w:tcW w:w="1964" w:type="pct"/>
            <w:tcBorders>
              <w:top w:val="nil"/>
              <w:right w:val="nil"/>
            </w:tcBorders>
          </w:tcPr>
          <w:p w14:paraId="50DA7249" w14:textId="77777777" w:rsidR="007F0408" w:rsidRPr="001A4ACC" w:rsidRDefault="007F0408" w:rsidP="00FD1CFE">
            <w:pPr>
              <w:spacing w:line="480" w:lineRule="auto"/>
              <w:rPr>
                <w:sz w:val="24"/>
                <w:lang w:val="en-US"/>
              </w:rPr>
            </w:pPr>
            <w:r w:rsidRPr="001A4ACC">
              <w:rPr>
                <w:sz w:val="24"/>
                <w:lang w:val="en-US"/>
              </w:rPr>
              <w:t>Cystoid macular edema</w:t>
            </w:r>
          </w:p>
        </w:tc>
        <w:tc>
          <w:tcPr>
            <w:tcW w:w="1197" w:type="pct"/>
            <w:tcBorders>
              <w:top w:val="nil"/>
              <w:left w:val="nil"/>
              <w:right w:val="nil"/>
            </w:tcBorders>
          </w:tcPr>
          <w:p w14:paraId="675F4930" w14:textId="77777777" w:rsidR="007F0408" w:rsidRPr="001A4ACC" w:rsidRDefault="007F0408" w:rsidP="00FD1CFE">
            <w:pPr>
              <w:spacing w:line="480" w:lineRule="auto"/>
              <w:rPr>
                <w:sz w:val="24"/>
                <w:lang w:val="en-US"/>
              </w:rPr>
            </w:pPr>
            <w:r w:rsidRPr="001A4ACC">
              <w:rPr>
                <w:sz w:val="24"/>
                <w:lang w:val="en-US"/>
              </w:rPr>
              <w:t>1 (2.22 %)</w:t>
            </w:r>
          </w:p>
        </w:tc>
        <w:tc>
          <w:tcPr>
            <w:tcW w:w="1112" w:type="pct"/>
            <w:tcBorders>
              <w:top w:val="nil"/>
              <w:left w:val="nil"/>
              <w:right w:val="nil"/>
            </w:tcBorders>
          </w:tcPr>
          <w:p w14:paraId="4D879B24" w14:textId="77777777" w:rsidR="007F0408" w:rsidRPr="001A4ACC" w:rsidRDefault="007F0408" w:rsidP="00FD1CFE">
            <w:pPr>
              <w:spacing w:line="480" w:lineRule="auto"/>
              <w:rPr>
                <w:sz w:val="24"/>
                <w:lang w:val="en-US"/>
              </w:rPr>
            </w:pPr>
            <w:r w:rsidRPr="001A4ACC">
              <w:rPr>
                <w:sz w:val="24"/>
                <w:lang w:val="en-US"/>
              </w:rPr>
              <w:t>0 (0%)</w:t>
            </w:r>
          </w:p>
        </w:tc>
        <w:tc>
          <w:tcPr>
            <w:tcW w:w="728" w:type="pct"/>
            <w:tcBorders>
              <w:top w:val="nil"/>
              <w:left w:val="nil"/>
            </w:tcBorders>
          </w:tcPr>
          <w:p w14:paraId="665792B6" w14:textId="77777777" w:rsidR="007F0408" w:rsidRPr="001A4ACC" w:rsidRDefault="007F0408" w:rsidP="00FD1CFE">
            <w:pPr>
              <w:spacing w:line="480" w:lineRule="auto"/>
              <w:rPr>
                <w:sz w:val="24"/>
                <w:lang w:val="en-US"/>
              </w:rPr>
            </w:pPr>
            <w:r w:rsidRPr="001A4ACC">
              <w:rPr>
                <w:sz w:val="24"/>
                <w:lang w:val="en-US"/>
              </w:rPr>
              <w:t>1.000</w:t>
            </w:r>
          </w:p>
        </w:tc>
      </w:tr>
    </w:tbl>
    <w:p w14:paraId="61227248" w14:textId="77777777" w:rsidR="00B506F7" w:rsidRDefault="00B506F7" w:rsidP="00FD1CFE">
      <w:pPr>
        <w:spacing w:line="480" w:lineRule="auto"/>
        <w:rPr>
          <w:rFonts w:cs="Times New Roman"/>
          <w:b/>
          <w:bCs/>
          <w:sz w:val="24"/>
          <w:lang w:val="en-US"/>
        </w:rPr>
      </w:pPr>
    </w:p>
    <w:p w14:paraId="6B0475CE" w14:textId="4E139AB2" w:rsidR="007F0408" w:rsidRDefault="002200C0" w:rsidP="00FD1CFE">
      <w:pPr>
        <w:spacing w:line="480" w:lineRule="auto"/>
        <w:rPr>
          <w:rFonts w:cs="Times New Roman"/>
          <w:b/>
          <w:bCs/>
          <w:sz w:val="24"/>
          <w:lang w:val="en-US"/>
        </w:rPr>
      </w:pPr>
      <w:r>
        <w:rPr>
          <w:rFonts w:cs="Times New Roman"/>
          <w:b/>
          <w:bCs/>
          <w:sz w:val="24"/>
          <w:lang w:val="en-US"/>
        </w:rPr>
        <w:t>Notes:</w:t>
      </w:r>
    </w:p>
    <w:p w14:paraId="41BEC808" w14:textId="21BCBA96" w:rsidR="002200C0" w:rsidRPr="008878C4" w:rsidRDefault="008878C4" w:rsidP="00FD1CFE">
      <w:pPr>
        <w:spacing w:line="480" w:lineRule="auto"/>
        <w:rPr>
          <w:rFonts w:cs="Times New Roman"/>
          <w:sz w:val="24"/>
          <w:lang w:val="en-US"/>
        </w:rPr>
      </w:pPr>
      <w:r>
        <w:rPr>
          <w:rFonts w:cs="Times New Roman"/>
          <w:b/>
          <w:bCs/>
          <w:sz w:val="24"/>
          <w:lang w:val="en-US"/>
        </w:rPr>
        <w:t xml:space="preserve">Abbreviations: </w:t>
      </w:r>
      <w:r>
        <w:rPr>
          <w:rFonts w:cs="Times New Roman"/>
          <w:sz w:val="24"/>
          <w:lang w:val="en-US"/>
        </w:rPr>
        <w:t>DSBCS, delayed sequential bilateral cataract surgery; ISBCS, immediate sequential bilateral cataract surgery</w:t>
      </w:r>
    </w:p>
    <w:p w14:paraId="43853FD1" w14:textId="044F3767" w:rsidR="006D6120" w:rsidRPr="00F32C17" w:rsidRDefault="006D6120" w:rsidP="00FD1CFE">
      <w:pPr>
        <w:rPr>
          <w:rFonts w:cs="Times New Roman"/>
          <w:b/>
          <w:bCs/>
          <w:sz w:val="24"/>
          <w:lang w:val="en-US"/>
        </w:rPr>
      </w:pPr>
    </w:p>
    <w:sectPr w:rsidR="006D6120" w:rsidRPr="00F32C17" w:rsidSect="00F643BD">
      <w:pgSz w:w="11906" w:h="16838"/>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40"/>
    <w:multiLevelType w:val="hybridMultilevel"/>
    <w:tmpl w:val="63D8AD6E"/>
    <w:lvl w:ilvl="0" w:tplc="F7BCA9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B75F6"/>
    <w:multiLevelType w:val="hybridMultilevel"/>
    <w:tmpl w:val="79BA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C6F97"/>
    <w:multiLevelType w:val="hybridMultilevel"/>
    <w:tmpl w:val="960A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C7869"/>
    <w:multiLevelType w:val="hybridMultilevel"/>
    <w:tmpl w:val="3A9AB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A23680"/>
    <w:multiLevelType w:val="hybridMultilevel"/>
    <w:tmpl w:val="1F92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C03FA"/>
    <w:multiLevelType w:val="hybridMultilevel"/>
    <w:tmpl w:val="7738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B744C"/>
    <w:multiLevelType w:val="hybridMultilevel"/>
    <w:tmpl w:val="8DF2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559E6"/>
    <w:multiLevelType w:val="hybridMultilevel"/>
    <w:tmpl w:val="3820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5322E"/>
    <w:multiLevelType w:val="hybridMultilevel"/>
    <w:tmpl w:val="86B40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50219">
    <w:abstractNumId w:val="6"/>
  </w:num>
  <w:num w:numId="2" w16cid:durableId="294604457">
    <w:abstractNumId w:val="0"/>
  </w:num>
  <w:num w:numId="3" w16cid:durableId="1896046252">
    <w:abstractNumId w:val="3"/>
  </w:num>
  <w:num w:numId="4" w16cid:durableId="1934045750">
    <w:abstractNumId w:val="7"/>
  </w:num>
  <w:num w:numId="5" w16cid:durableId="710767237">
    <w:abstractNumId w:val="4"/>
  </w:num>
  <w:num w:numId="6" w16cid:durableId="521670599">
    <w:abstractNumId w:val="8"/>
  </w:num>
  <w:num w:numId="7" w16cid:durableId="1300069601">
    <w:abstractNumId w:val="2"/>
  </w:num>
  <w:num w:numId="8" w16cid:durableId="2110618598">
    <w:abstractNumId w:val="1"/>
  </w:num>
  <w:num w:numId="9" w16cid:durableId="970944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rdvdpt4eradsexdf25p0eiawfssrxwtdr2&quot;&gt;DrCong-PhD_project&lt;record-ids&gt;&lt;item&gt;65&lt;/item&gt;&lt;item&gt;402&lt;/item&gt;&lt;item&gt;652&lt;/item&gt;&lt;item&gt;653&lt;/item&gt;&lt;item&gt;660&lt;/item&gt;&lt;item&gt;661&lt;/item&gt;&lt;item&gt;781&lt;/item&gt;&lt;/record-ids&gt;&lt;/item&gt;&lt;/Libraries&gt;"/>
  </w:docVars>
  <w:rsids>
    <w:rsidRoot w:val="006D6120"/>
    <w:rsid w:val="00005762"/>
    <w:rsid w:val="00006AFE"/>
    <w:rsid w:val="00011BD0"/>
    <w:rsid w:val="000147EE"/>
    <w:rsid w:val="00024D29"/>
    <w:rsid w:val="00033FB3"/>
    <w:rsid w:val="000359F8"/>
    <w:rsid w:val="00042F71"/>
    <w:rsid w:val="00060181"/>
    <w:rsid w:val="00067F4F"/>
    <w:rsid w:val="0007317B"/>
    <w:rsid w:val="00085A8A"/>
    <w:rsid w:val="000A1AFF"/>
    <w:rsid w:val="000A2AC8"/>
    <w:rsid w:val="000A460C"/>
    <w:rsid w:val="000B5AF5"/>
    <w:rsid w:val="000C36D3"/>
    <w:rsid w:val="000C3E28"/>
    <w:rsid w:val="000C52AC"/>
    <w:rsid w:val="000D7402"/>
    <w:rsid w:val="000E0B98"/>
    <w:rsid w:val="000E2DDF"/>
    <w:rsid w:val="000F2C2C"/>
    <w:rsid w:val="000F38C7"/>
    <w:rsid w:val="000F4D14"/>
    <w:rsid w:val="000F5992"/>
    <w:rsid w:val="001074CD"/>
    <w:rsid w:val="00107817"/>
    <w:rsid w:val="00110ECC"/>
    <w:rsid w:val="0013592D"/>
    <w:rsid w:val="00135B2F"/>
    <w:rsid w:val="00145260"/>
    <w:rsid w:val="001512B1"/>
    <w:rsid w:val="0015508B"/>
    <w:rsid w:val="00162019"/>
    <w:rsid w:val="001736B9"/>
    <w:rsid w:val="00192156"/>
    <w:rsid w:val="00194318"/>
    <w:rsid w:val="001A0813"/>
    <w:rsid w:val="001A2C89"/>
    <w:rsid w:val="001A59C9"/>
    <w:rsid w:val="001B172B"/>
    <w:rsid w:val="001B6AE1"/>
    <w:rsid w:val="001C62D9"/>
    <w:rsid w:val="00211476"/>
    <w:rsid w:val="00216E22"/>
    <w:rsid w:val="002200C0"/>
    <w:rsid w:val="00224815"/>
    <w:rsid w:val="00233FDC"/>
    <w:rsid w:val="00246EFF"/>
    <w:rsid w:val="00247B2C"/>
    <w:rsid w:val="00270A38"/>
    <w:rsid w:val="00276704"/>
    <w:rsid w:val="00276AD5"/>
    <w:rsid w:val="00281C88"/>
    <w:rsid w:val="002856C2"/>
    <w:rsid w:val="0028782F"/>
    <w:rsid w:val="002B2180"/>
    <w:rsid w:val="002C05C1"/>
    <w:rsid w:val="002C2AEC"/>
    <w:rsid w:val="002C5110"/>
    <w:rsid w:val="002D655A"/>
    <w:rsid w:val="002D67A5"/>
    <w:rsid w:val="002E448E"/>
    <w:rsid w:val="003035EC"/>
    <w:rsid w:val="0030773E"/>
    <w:rsid w:val="00324A99"/>
    <w:rsid w:val="00325746"/>
    <w:rsid w:val="00334F90"/>
    <w:rsid w:val="003379F8"/>
    <w:rsid w:val="00346128"/>
    <w:rsid w:val="00351A54"/>
    <w:rsid w:val="00353AF2"/>
    <w:rsid w:val="003610B0"/>
    <w:rsid w:val="003772B3"/>
    <w:rsid w:val="00385DA8"/>
    <w:rsid w:val="003863A6"/>
    <w:rsid w:val="00387B87"/>
    <w:rsid w:val="0039043E"/>
    <w:rsid w:val="00392A93"/>
    <w:rsid w:val="003C1A18"/>
    <w:rsid w:val="003D1E34"/>
    <w:rsid w:val="003D7F2B"/>
    <w:rsid w:val="003E3743"/>
    <w:rsid w:val="003E5E32"/>
    <w:rsid w:val="003F79A9"/>
    <w:rsid w:val="004000AF"/>
    <w:rsid w:val="00400971"/>
    <w:rsid w:val="00402A4D"/>
    <w:rsid w:val="00410B16"/>
    <w:rsid w:val="00410BCC"/>
    <w:rsid w:val="00412E6F"/>
    <w:rsid w:val="00414BAC"/>
    <w:rsid w:val="00420794"/>
    <w:rsid w:val="00433C5D"/>
    <w:rsid w:val="0044073F"/>
    <w:rsid w:val="004446B8"/>
    <w:rsid w:val="00444A08"/>
    <w:rsid w:val="00457036"/>
    <w:rsid w:val="00472A32"/>
    <w:rsid w:val="00472C9D"/>
    <w:rsid w:val="00473EC8"/>
    <w:rsid w:val="00495891"/>
    <w:rsid w:val="004A0A49"/>
    <w:rsid w:val="004B6ABE"/>
    <w:rsid w:val="004C7210"/>
    <w:rsid w:val="004E6FFC"/>
    <w:rsid w:val="004F0D29"/>
    <w:rsid w:val="004F5190"/>
    <w:rsid w:val="00520AA0"/>
    <w:rsid w:val="005221B7"/>
    <w:rsid w:val="00523E53"/>
    <w:rsid w:val="00530EB1"/>
    <w:rsid w:val="00566EC7"/>
    <w:rsid w:val="00567606"/>
    <w:rsid w:val="00571748"/>
    <w:rsid w:val="0057506D"/>
    <w:rsid w:val="005813BC"/>
    <w:rsid w:val="00582DA5"/>
    <w:rsid w:val="005844F1"/>
    <w:rsid w:val="005951E5"/>
    <w:rsid w:val="005A2409"/>
    <w:rsid w:val="005A341A"/>
    <w:rsid w:val="005B0DB4"/>
    <w:rsid w:val="005D5D4A"/>
    <w:rsid w:val="005D6653"/>
    <w:rsid w:val="005D7260"/>
    <w:rsid w:val="006110B5"/>
    <w:rsid w:val="00613BA2"/>
    <w:rsid w:val="00616B91"/>
    <w:rsid w:val="00622BD1"/>
    <w:rsid w:val="00623173"/>
    <w:rsid w:val="00626E44"/>
    <w:rsid w:val="00635ADD"/>
    <w:rsid w:val="00636C74"/>
    <w:rsid w:val="00647BA0"/>
    <w:rsid w:val="00654033"/>
    <w:rsid w:val="00671F2C"/>
    <w:rsid w:val="00676200"/>
    <w:rsid w:val="006762DD"/>
    <w:rsid w:val="006A2ABC"/>
    <w:rsid w:val="006A4BB3"/>
    <w:rsid w:val="006A519B"/>
    <w:rsid w:val="006A7D94"/>
    <w:rsid w:val="006B5859"/>
    <w:rsid w:val="006C739C"/>
    <w:rsid w:val="006D6120"/>
    <w:rsid w:val="006D78C5"/>
    <w:rsid w:val="006E765C"/>
    <w:rsid w:val="006E79DA"/>
    <w:rsid w:val="00703594"/>
    <w:rsid w:val="007144AF"/>
    <w:rsid w:val="00715121"/>
    <w:rsid w:val="00725C15"/>
    <w:rsid w:val="00744577"/>
    <w:rsid w:val="0075459E"/>
    <w:rsid w:val="00764D4A"/>
    <w:rsid w:val="0077769E"/>
    <w:rsid w:val="0078211F"/>
    <w:rsid w:val="00782D99"/>
    <w:rsid w:val="00787D82"/>
    <w:rsid w:val="00790D2F"/>
    <w:rsid w:val="007978D6"/>
    <w:rsid w:val="007A425D"/>
    <w:rsid w:val="007C3D00"/>
    <w:rsid w:val="007D11C7"/>
    <w:rsid w:val="007E3B89"/>
    <w:rsid w:val="007F0408"/>
    <w:rsid w:val="00813209"/>
    <w:rsid w:val="00821406"/>
    <w:rsid w:val="008252A8"/>
    <w:rsid w:val="00847E1C"/>
    <w:rsid w:val="008543E5"/>
    <w:rsid w:val="00855571"/>
    <w:rsid w:val="008656E4"/>
    <w:rsid w:val="00873611"/>
    <w:rsid w:val="00877703"/>
    <w:rsid w:val="00877E1F"/>
    <w:rsid w:val="00877F32"/>
    <w:rsid w:val="008878C4"/>
    <w:rsid w:val="00897597"/>
    <w:rsid w:val="008A4F7F"/>
    <w:rsid w:val="008A73D4"/>
    <w:rsid w:val="008B34AB"/>
    <w:rsid w:val="008B5DCC"/>
    <w:rsid w:val="008C5C2D"/>
    <w:rsid w:val="008C5E31"/>
    <w:rsid w:val="008D2D9D"/>
    <w:rsid w:val="008E0179"/>
    <w:rsid w:val="00904172"/>
    <w:rsid w:val="0091628C"/>
    <w:rsid w:val="00920E6B"/>
    <w:rsid w:val="00930A58"/>
    <w:rsid w:val="0094250F"/>
    <w:rsid w:val="00952E42"/>
    <w:rsid w:val="009533C9"/>
    <w:rsid w:val="0096765C"/>
    <w:rsid w:val="0097258C"/>
    <w:rsid w:val="00991428"/>
    <w:rsid w:val="0099583C"/>
    <w:rsid w:val="009A4462"/>
    <w:rsid w:val="009B2898"/>
    <w:rsid w:val="009B479B"/>
    <w:rsid w:val="009B508B"/>
    <w:rsid w:val="009C0592"/>
    <w:rsid w:val="009C5D14"/>
    <w:rsid w:val="009D6706"/>
    <w:rsid w:val="009E1103"/>
    <w:rsid w:val="009E5779"/>
    <w:rsid w:val="009E6FB6"/>
    <w:rsid w:val="009E76C5"/>
    <w:rsid w:val="00A16137"/>
    <w:rsid w:val="00A21807"/>
    <w:rsid w:val="00A238B9"/>
    <w:rsid w:val="00A34A96"/>
    <w:rsid w:val="00A54D62"/>
    <w:rsid w:val="00A720DE"/>
    <w:rsid w:val="00A745B3"/>
    <w:rsid w:val="00A76AAA"/>
    <w:rsid w:val="00A76B16"/>
    <w:rsid w:val="00A95EC4"/>
    <w:rsid w:val="00A96692"/>
    <w:rsid w:val="00AA1842"/>
    <w:rsid w:val="00AB5AE9"/>
    <w:rsid w:val="00AE00E6"/>
    <w:rsid w:val="00AF5424"/>
    <w:rsid w:val="00AF70EC"/>
    <w:rsid w:val="00B00A9F"/>
    <w:rsid w:val="00B01CA5"/>
    <w:rsid w:val="00B02F68"/>
    <w:rsid w:val="00B04059"/>
    <w:rsid w:val="00B05F50"/>
    <w:rsid w:val="00B10902"/>
    <w:rsid w:val="00B1118A"/>
    <w:rsid w:val="00B229F9"/>
    <w:rsid w:val="00B243D6"/>
    <w:rsid w:val="00B41E70"/>
    <w:rsid w:val="00B470E4"/>
    <w:rsid w:val="00B506F7"/>
    <w:rsid w:val="00B50BEC"/>
    <w:rsid w:val="00B53B59"/>
    <w:rsid w:val="00B6649B"/>
    <w:rsid w:val="00B66AA5"/>
    <w:rsid w:val="00B70318"/>
    <w:rsid w:val="00B71694"/>
    <w:rsid w:val="00B74379"/>
    <w:rsid w:val="00B80553"/>
    <w:rsid w:val="00BA28AE"/>
    <w:rsid w:val="00BD143C"/>
    <w:rsid w:val="00BD22A4"/>
    <w:rsid w:val="00BD454E"/>
    <w:rsid w:val="00BE51DC"/>
    <w:rsid w:val="00BF1BEB"/>
    <w:rsid w:val="00C02C72"/>
    <w:rsid w:val="00C15A40"/>
    <w:rsid w:val="00C430FB"/>
    <w:rsid w:val="00C56DEE"/>
    <w:rsid w:val="00C624CF"/>
    <w:rsid w:val="00C66ED9"/>
    <w:rsid w:val="00C73AA3"/>
    <w:rsid w:val="00C74B48"/>
    <w:rsid w:val="00C77C31"/>
    <w:rsid w:val="00C8258C"/>
    <w:rsid w:val="00C85E51"/>
    <w:rsid w:val="00C90E15"/>
    <w:rsid w:val="00CA47E4"/>
    <w:rsid w:val="00CE05BE"/>
    <w:rsid w:val="00CE329C"/>
    <w:rsid w:val="00CE7E2D"/>
    <w:rsid w:val="00CF0FB3"/>
    <w:rsid w:val="00D03711"/>
    <w:rsid w:val="00D03CA7"/>
    <w:rsid w:val="00D07D89"/>
    <w:rsid w:val="00D1717B"/>
    <w:rsid w:val="00D30645"/>
    <w:rsid w:val="00D31249"/>
    <w:rsid w:val="00D335E3"/>
    <w:rsid w:val="00D36A0F"/>
    <w:rsid w:val="00D52081"/>
    <w:rsid w:val="00D52BF6"/>
    <w:rsid w:val="00D55532"/>
    <w:rsid w:val="00D7744E"/>
    <w:rsid w:val="00D91829"/>
    <w:rsid w:val="00D920DC"/>
    <w:rsid w:val="00D96A54"/>
    <w:rsid w:val="00DA78F9"/>
    <w:rsid w:val="00DB3E28"/>
    <w:rsid w:val="00DC0298"/>
    <w:rsid w:val="00DC426A"/>
    <w:rsid w:val="00DC4F0D"/>
    <w:rsid w:val="00DE22DC"/>
    <w:rsid w:val="00DE7240"/>
    <w:rsid w:val="00DF651C"/>
    <w:rsid w:val="00DF77A0"/>
    <w:rsid w:val="00DF7CD9"/>
    <w:rsid w:val="00E04D10"/>
    <w:rsid w:val="00E1457D"/>
    <w:rsid w:val="00E17705"/>
    <w:rsid w:val="00E3020E"/>
    <w:rsid w:val="00E304FE"/>
    <w:rsid w:val="00E31B15"/>
    <w:rsid w:val="00E3593B"/>
    <w:rsid w:val="00E4071F"/>
    <w:rsid w:val="00E41076"/>
    <w:rsid w:val="00E435A1"/>
    <w:rsid w:val="00E45A72"/>
    <w:rsid w:val="00E5140E"/>
    <w:rsid w:val="00E54066"/>
    <w:rsid w:val="00E629BE"/>
    <w:rsid w:val="00E654B1"/>
    <w:rsid w:val="00E742BD"/>
    <w:rsid w:val="00E74E4A"/>
    <w:rsid w:val="00E80CD2"/>
    <w:rsid w:val="00E81E7A"/>
    <w:rsid w:val="00EB4238"/>
    <w:rsid w:val="00EC2FE6"/>
    <w:rsid w:val="00ED5F01"/>
    <w:rsid w:val="00ED68B8"/>
    <w:rsid w:val="00EF1E7C"/>
    <w:rsid w:val="00EF7047"/>
    <w:rsid w:val="00F1274B"/>
    <w:rsid w:val="00F1679E"/>
    <w:rsid w:val="00F20AB9"/>
    <w:rsid w:val="00F25AC7"/>
    <w:rsid w:val="00F30EAF"/>
    <w:rsid w:val="00F310A9"/>
    <w:rsid w:val="00F312C7"/>
    <w:rsid w:val="00F32C17"/>
    <w:rsid w:val="00F4385F"/>
    <w:rsid w:val="00F45615"/>
    <w:rsid w:val="00F643BD"/>
    <w:rsid w:val="00F72393"/>
    <w:rsid w:val="00F76A63"/>
    <w:rsid w:val="00F8353B"/>
    <w:rsid w:val="00F96A4A"/>
    <w:rsid w:val="00FA0180"/>
    <w:rsid w:val="00FA6E46"/>
    <w:rsid w:val="00FB56FB"/>
    <w:rsid w:val="00FC26AA"/>
    <w:rsid w:val="00FC521E"/>
    <w:rsid w:val="00FC6110"/>
    <w:rsid w:val="00FD0756"/>
    <w:rsid w:val="00FD1CFE"/>
    <w:rsid w:val="00FE246D"/>
    <w:rsid w:val="00FF327C"/>
  </w:rsids>
  <m:mathPr>
    <m:mathFont m:val="Cambria Math"/>
    <m:brkBin m:val="before"/>
    <m:brkBinSub m:val="--"/>
    <m:smallFrac m:val="0"/>
    <m:dispDef/>
    <m:lMargin m:val="0"/>
    <m:rMargin m:val="0"/>
    <m:defJc m:val="centerGroup"/>
    <m:wrapIndent m:val="1440"/>
    <m:intLim m:val="subSup"/>
    <m:naryLim m:val="undOvr"/>
  </m:mathPr>
  <w:themeFontLang w:val="en-V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1E563"/>
  <w15:chartTrackingRefBased/>
  <w15:docId w15:val="{3859A80F-CD71-9E45-AA6E-5DBDB4D9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8"/>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54E"/>
    <w:pPr>
      <w:keepNext/>
      <w:keepLines/>
      <w:spacing w:before="240"/>
      <w:outlineLvl w:val="0"/>
    </w:pPr>
    <w:rPr>
      <w:rFonts w:eastAsiaTheme="majorEastAsia" w:cstheme="majorBidi"/>
      <w:color w:val="000000" w:themeColor="text1"/>
      <w:sz w:val="24"/>
      <w:szCs w:val="32"/>
    </w:rPr>
  </w:style>
  <w:style w:type="paragraph" w:styleId="Heading2">
    <w:name w:val="heading 2"/>
    <w:basedOn w:val="Normal"/>
    <w:next w:val="Normal"/>
    <w:link w:val="Heading2Char"/>
    <w:uiPriority w:val="9"/>
    <w:semiHidden/>
    <w:unhideWhenUsed/>
    <w:qFormat/>
    <w:rsid w:val="00BD454E"/>
    <w:pPr>
      <w:keepNext/>
      <w:keepLines/>
      <w:spacing w:before="40"/>
      <w:outlineLvl w:val="1"/>
    </w:pPr>
    <w:rPr>
      <w:rFonts w:eastAsiaTheme="majorEastAsia" w:cstheme="majorBidi"/>
      <w:color w:val="000000" w:themeColor="text1"/>
      <w:sz w:val="24"/>
      <w:szCs w:val="26"/>
    </w:rPr>
  </w:style>
  <w:style w:type="paragraph" w:styleId="Heading3">
    <w:name w:val="heading 3"/>
    <w:basedOn w:val="Normal"/>
    <w:next w:val="Normal"/>
    <w:link w:val="Heading3Char"/>
    <w:uiPriority w:val="9"/>
    <w:unhideWhenUsed/>
    <w:qFormat/>
    <w:rsid w:val="006D612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D454E"/>
    <w:pPr>
      <w:keepNext/>
      <w:keepLines/>
      <w:spacing w:before="40"/>
      <w:outlineLvl w:val="3"/>
    </w:pPr>
    <w:rPr>
      <w:rFonts w:eastAsiaTheme="majorEastAsia" w:cstheme="majorBidi"/>
      <w:i/>
      <w:iCs/>
      <w:color w:val="000000" w:themeColor="text1"/>
      <w:sz w:val="24"/>
    </w:rPr>
  </w:style>
  <w:style w:type="paragraph" w:styleId="Heading5">
    <w:name w:val="heading 5"/>
    <w:basedOn w:val="Normal"/>
    <w:next w:val="Normal"/>
    <w:link w:val="Heading5Char"/>
    <w:uiPriority w:val="9"/>
    <w:semiHidden/>
    <w:unhideWhenUsed/>
    <w:qFormat/>
    <w:rsid w:val="006D612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612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612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612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612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54E"/>
    <w:rPr>
      <w:rFonts w:eastAsiaTheme="majorEastAsia" w:cstheme="majorBidi"/>
      <w:color w:val="000000" w:themeColor="text1"/>
      <w:sz w:val="24"/>
      <w:szCs w:val="32"/>
    </w:rPr>
  </w:style>
  <w:style w:type="character" w:customStyle="1" w:styleId="Heading2Char">
    <w:name w:val="Heading 2 Char"/>
    <w:basedOn w:val="DefaultParagraphFont"/>
    <w:link w:val="Heading2"/>
    <w:uiPriority w:val="9"/>
    <w:semiHidden/>
    <w:rsid w:val="00BD454E"/>
    <w:rPr>
      <w:rFonts w:eastAsiaTheme="majorEastAsia" w:cstheme="majorBidi"/>
      <w:color w:val="000000" w:themeColor="text1"/>
      <w:sz w:val="24"/>
      <w:szCs w:val="26"/>
    </w:rPr>
  </w:style>
  <w:style w:type="character" w:customStyle="1" w:styleId="Heading4Char">
    <w:name w:val="Heading 4 Char"/>
    <w:basedOn w:val="DefaultParagraphFont"/>
    <w:link w:val="Heading4"/>
    <w:uiPriority w:val="9"/>
    <w:semiHidden/>
    <w:rsid w:val="00BD454E"/>
    <w:rPr>
      <w:rFonts w:eastAsiaTheme="majorEastAsia" w:cstheme="majorBidi"/>
      <w:i/>
      <w:iCs/>
      <w:color w:val="000000" w:themeColor="text1"/>
      <w:sz w:val="24"/>
    </w:rPr>
  </w:style>
  <w:style w:type="paragraph" w:customStyle="1" w:styleId="figure1">
    <w:name w:val="figure 1"/>
    <w:basedOn w:val="Normal"/>
    <w:qFormat/>
    <w:rsid w:val="00BD454E"/>
    <w:pPr>
      <w:spacing w:after="240" w:line="360" w:lineRule="auto"/>
      <w:jc w:val="center"/>
    </w:pPr>
    <w:rPr>
      <w:rFonts w:cs="Times New Roman"/>
      <w:sz w:val="24"/>
      <w:lang w:val="en-US"/>
    </w:rPr>
  </w:style>
  <w:style w:type="character" w:customStyle="1" w:styleId="Heading3Char">
    <w:name w:val="Heading 3 Char"/>
    <w:basedOn w:val="DefaultParagraphFont"/>
    <w:link w:val="Heading3"/>
    <w:uiPriority w:val="9"/>
    <w:rsid w:val="006D6120"/>
    <w:rPr>
      <w:rFonts w:asciiTheme="minorHAnsi" w:eastAsiaTheme="majorEastAsia" w:hAnsiTheme="minorHAnsi" w:cstheme="majorBidi"/>
      <w:color w:val="0F4761" w:themeColor="accent1" w:themeShade="BF"/>
      <w:szCs w:val="28"/>
    </w:rPr>
  </w:style>
  <w:style w:type="character" w:customStyle="1" w:styleId="Heading5Char">
    <w:name w:val="Heading 5 Char"/>
    <w:basedOn w:val="DefaultParagraphFont"/>
    <w:link w:val="Heading5"/>
    <w:uiPriority w:val="9"/>
    <w:semiHidden/>
    <w:rsid w:val="006D61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61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61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61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61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61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12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D612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D61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6120"/>
    <w:rPr>
      <w:i/>
      <w:iCs/>
      <w:color w:val="404040" w:themeColor="text1" w:themeTint="BF"/>
    </w:rPr>
  </w:style>
  <w:style w:type="paragraph" w:styleId="ListParagraph">
    <w:name w:val="List Paragraph"/>
    <w:basedOn w:val="Normal"/>
    <w:link w:val="ListParagraphChar"/>
    <w:uiPriority w:val="34"/>
    <w:qFormat/>
    <w:rsid w:val="006D6120"/>
    <w:pPr>
      <w:ind w:left="720"/>
      <w:contextualSpacing/>
    </w:pPr>
  </w:style>
  <w:style w:type="character" w:styleId="IntenseEmphasis">
    <w:name w:val="Intense Emphasis"/>
    <w:basedOn w:val="DefaultParagraphFont"/>
    <w:uiPriority w:val="21"/>
    <w:qFormat/>
    <w:rsid w:val="006D6120"/>
    <w:rPr>
      <w:i/>
      <w:iCs/>
      <w:color w:val="0F4761" w:themeColor="accent1" w:themeShade="BF"/>
    </w:rPr>
  </w:style>
  <w:style w:type="paragraph" w:styleId="IntenseQuote">
    <w:name w:val="Intense Quote"/>
    <w:basedOn w:val="Normal"/>
    <w:next w:val="Normal"/>
    <w:link w:val="IntenseQuoteChar"/>
    <w:uiPriority w:val="30"/>
    <w:qFormat/>
    <w:rsid w:val="006D6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120"/>
    <w:rPr>
      <w:i/>
      <w:iCs/>
      <w:color w:val="0F4761" w:themeColor="accent1" w:themeShade="BF"/>
    </w:rPr>
  </w:style>
  <w:style w:type="character" w:styleId="IntenseReference">
    <w:name w:val="Intense Reference"/>
    <w:basedOn w:val="DefaultParagraphFont"/>
    <w:uiPriority w:val="32"/>
    <w:qFormat/>
    <w:rsid w:val="006D6120"/>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6D6120"/>
  </w:style>
  <w:style w:type="paragraph" w:styleId="NormalWeb">
    <w:name w:val="Normal (Web)"/>
    <w:basedOn w:val="Normal"/>
    <w:link w:val="NormalWebChar"/>
    <w:uiPriority w:val="99"/>
    <w:unhideWhenUsed/>
    <w:rsid w:val="006D6120"/>
    <w:pPr>
      <w:spacing w:before="100" w:beforeAutospacing="1" w:after="100" w:afterAutospacing="1" w:line="360" w:lineRule="auto"/>
    </w:pPr>
    <w:rPr>
      <w:rFonts w:eastAsia="Times New Roman" w:cs="Times New Roman"/>
      <w:kern w:val="0"/>
      <w:sz w:val="24"/>
      <w14:ligatures w14:val="none"/>
    </w:rPr>
  </w:style>
  <w:style w:type="paragraph" w:customStyle="1" w:styleId="EndNoteBibliographyTitle">
    <w:name w:val="EndNote Bibliography Title"/>
    <w:basedOn w:val="Normal"/>
    <w:link w:val="EndNoteBibliographyTitleChar"/>
    <w:rsid w:val="00107817"/>
    <w:pPr>
      <w:jc w:val="center"/>
    </w:pPr>
    <w:rPr>
      <w:rFonts w:cs="Times New Roman"/>
      <w:lang w:val="en-US"/>
    </w:rPr>
  </w:style>
  <w:style w:type="character" w:customStyle="1" w:styleId="NormalWebChar">
    <w:name w:val="Normal (Web) Char"/>
    <w:basedOn w:val="DefaultParagraphFont"/>
    <w:link w:val="NormalWeb"/>
    <w:uiPriority w:val="99"/>
    <w:rsid w:val="00107817"/>
    <w:rPr>
      <w:rFonts w:eastAsia="Times New Roman" w:cs="Times New Roman"/>
      <w:kern w:val="0"/>
      <w:sz w:val="24"/>
      <w14:ligatures w14:val="none"/>
    </w:rPr>
  </w:style>
  <w:style w:type="character" w:customStyle="1" w:styleId="EndNoteBibliographyTitleChar">
    <w:name w:val="EndNote Bibliography Title Char"/>
    <w:basedOn w:val="NormalWebChar"/>
    <w:link w:val="EndNoteBibliographyTitle"/>
    <w:rsid w:val="00107817"/>
    <w:rPr>
      <w:rFonts w:eastAsia="Times New Roman" w:cs="Times New Roman"/>
      <w:kern w:val="0"/>
      <w:sz w:val="24"/>
      <w:lang w:val="en-US"/>
      <w14:ligatures w14:val="none"/>
    </w:rPr>
  </w:style>
  <w:style w:type="paragraph" w:customStyle="1" w:styleId="EndNoteBibliography">
    <w:name w:val="EndNote Bibliography"/>
    <w:basedOn w:val="Normal"/>
    <w:link w:val="EndNoteBibliographyChar"/>
    <w:rsid w:val="00107817"/>
    <w:rPr>
      <w:rFonts w:cs="Times New Roman"/>
      <w:lang w:val="en-US"/>
    </w:rPr>
  </w:style>
  <w:style w:type="character" w:customStyle="1" w:styleId="EndNoteBibliographyChar">
    <w:name w:val="EndNote Bibliography Char"/>
    <w:basedOn w:val="NormalWebChar"/>
    <w:link w:val="EndNoteBibliography"/>
    <w:rsid w:val="00107817"/>
    <w:rPr>
      <w:rFonts w:eastAsia="Times New Roman" w:cs="Times New Roman"/>
      <w:kern w:val="0"/>
      <w:sz w:val="24"/>
      <w:lang w:val="en-US"/>
      <w14:ligatures w14:val="none"/>
    </w:rPr>
  </w:style>
  <w:style w:type="character" w:styleId="Hyperlink">
    <w:name w:val="Hyperlink"/>
    <w:basedOn w:val="DefaultParagraphFont"/>
    <w:uiPriority w:val="99"/>
    <w:unhideWhenUsed/>
    <w:rsid w:val="00107817"/>
    <w:rPr>
      <w:color w:val="467886" w:themeColor="hyperlink"/>
      <w:u w:val="single"/>
    </w:rPr>
  </w:style>
  <w:style w:type="character" w:styleId="UnresolvedMention">
    <w:name w:val="Unresolved Mention"/>
    <w:basedOn w:val="DefaultParagraphFont"/>
    <w:uiPriority w:val="99"/>
    <w:semiHidden/>
    <w:unhideWhenUsed/>
    <w:rsid w:val="00107817"/>
    <w:rPr>
      <w:color w:val="605E5C"/>
      <w:shd w:val="clear" w:color="auto" w:fill="E1DFDD"/>
    </w:rPr>
  </w:style>
  <w:style w:type="table" w:styleId="TableGrid">
    <w:name w:val="Table Grid"/>
    <w:basedOn w:val="TableNormal"/>
    <w:uiPriority w:val="39"/>
    <w:rsid w:val="00035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47647">
      <w:bodyDiv w:val="1"/>
      <w:marLeft w:val="0"/>
      <w:marRight w:val="0"/>
      <w:marTop w:val="0"/>
      <w:marBottom w:val="0"/>
      <w:divBdr>
        <w:top w:val="none" w:sz="0" w:space="0" w:color="auto"/>
        <w:left w:val="none" w:sz="0" w:space="0" w:color="auto"/>
        <w:bottom w:val="none" w:sz="0" w:space="0" w:color="auto"/>
        <w:right w:val="none" w:sz="0" w:space="0" w:color="auto"/>
      </w:divBdr>
      <w:divsChild>
        <w:div w:id="1102532711">
          <w:marLeft w:val="0"/>
          <w:marRight w:val="0"/>
          <w:marTop w:val="0"/>
          <w:marBottom w:val="0"/>
          <w:divBdr>
            <w:top w:val="none" w:sz="0" w:space="0" w:color="auto"/>
            <w:left w:val="none" w:sz="0" w:space="0" w:color="auto"/>
            <w:bottom w:val="none" w:sz="0" w:space="0" w:color="auto"/>
            <w:right w:val="none" w:sz="0" w:space="0" w:color="auto"/>
          </w:divBdr>
          <w:divsChild>
            <w:div w:id="380787723">
              <w:marLeft w:val="0"/>
              <w:marRight w:val="0"/>
              <w:marTop w:val="0"/>
              <w:marBottom w:val="0"/>
              <w:divBdr>
                <w:top w:val="none" w:sz="0" w:space="0" w:color="auto"/>
                <w:left w:val="none" w:sz="0" w:space="0" w:color="auto"/>
                <w:bottom w:val="none" w:sz="0" w:space="0" w:color="auto"/>
                <w:right w:val="none" w:sz="0" w:space="0" w:color="auto"/>
              </w:divBdr>
              <w:divsChild>
                <w:div w:id="11863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55361">
      <w:bodyDiv w:val="1"/>
      <w:marLeft w:val="0"/>
      <w:marRight w:val="0"/>
      <w:marTop w:val="0"/>
      <w:marBottom w:val="0"/>
      <w:divBdr>
        <w:top w:val="none" w:sz="0" w:space="0" w:color="auto"/>
        <w:left w:val="none" w:sz="0" w:space="0" w:color="auto"/>
        <w:bottom w:val="none" w:sz="0" w:space="0" w:color="auto"/>
        <w:right w:val="none" w:sz="0" w:space="0" w:color="auto"/>
      </w:divBdr>
      <w:divsChild>
        <w:div w:id="2079400841">
          <w:marLeft w:val="0"/>
          <w:marRight w:val="0"/>
          <w:marTop w:val="0"/>
          <w:marBottom w:val="0"/>
          <w:divBdr>
            <w:top w:val="none" w:sz="0" w:space="0" w:color="auto"/>
            <w:left w:val="none" w:sz="0" w:space="0" w:color="auto"/>
            <w:bottom w:val="none" w:sz="0" w:space="0" w:color="auto"/>
            <w:right w:val="none" w:sz="0" w:space="0" w:color="auto"/>
          </w:divBdr>
          <w:divsChild>
            <w:div w:id="876428646">
              <w:marLeft w:val="0"/>
              <w:marRight w:val="0"/>
              <w:marTop w:val="0"/>
              <w:marBottom w:val="0"/>
              <w:divBdr>
                <w:top w:val="none" w:sz="0" w:space="0" w:color="auto"/>
                <w:left w:val="none" w:sz="0" w:space="0" w:color="auto"/>
                <w:bottom w:val="none" w:sz="0" w:space="0" w:color="auto"/>
                <w:right w:val="none" w:sz="0" w:space="0" w:color="auto"/>
              </w:divBdr>
              <w:divsChild>
                <w:div w:id="9704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67984">
      <w:bodyDiv w:val="1"/>
      <w:marLeft w:val="0"/>
      <w:marRight w:val="0"/>
      <w:marTop w:val="0"/>
      <w:marBottom w:val="0"/>
      <w:divBdr>
        <w:top w:val="none" w:sz="0" w:space="0" w:color="auto"/>
        <w:left w:val="none" w:sz="0" w:space="0" w:color="auto"/>
        <w:bottom w:val="none" w:sz="0" w:space="0" w:color="auto"/>
        <w:right w:val="none" w:sz="0" w:space="0" w:color="auto"/>
      </w:divBdr>
      <w:divsChild>
        <w:div w:id="36777963">
          <w:marLeft w:val="0"/>
          <w:marRight w:val="0"/>
          <w:marTop w:val="0"/>
          <w:marBottom w:val="0"/>
          <w:divBdr>
            <w:top w:val="none" w:sz="0" w:space="0" w:color="auto"/>
            <w:left w:val="none" w:sz="0" w:space="0" w:color="auto"/>
            <w:bottom w:val="none" w:sz="0" w:space="0" w:color="auto"/>
            <w:right w:val="none" w:sz="0" w:space="0" w:color="auto"/>
          </w:divBdr>
          <w:divsChild>
            <w:div w:id="1786802617">
              <w:marLeft w:val="0"/>
              <w:marRight w:val="0"/>
              <w:marTop w:val="0"/>
              <w:marBottom w:val="0"/>
              <w:divBdr>
                <w:top w:val="none" w:sz="0" w:space="0" w:color="auto"/>
                <w:left w:val="none" w:sz="0" w:space="0" w:color="auto"/>
                <w:bottom w:val="none" w:sz="0" w:space="0" w:color="auto"/>
                <w:right w:val="none" w:sz="0" w:space="0" w:color="auto"/>
              </w:divBdr>
              <w:divsChild>
                <w:div w:id="9490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8316">
      <w:bodyDiv w:val="1"/>
      <w:marLeft w:val="0"/>
      <w:marRight w:val="0"/>
      <w:marTop w:val="0"/>
      <w:marBottom w:val="0"/>
      <w:divBdr>
        <w:top w:val="none" w:sz="0" w:space="0" w:color="auto"/>
        <w:left w:val="none" w:sz="0" w:space="0" w:color="auto"/>
        <w:bottom w:val="none" w:sz="0" w:space="0" w:color="auto"/>
        <w:right w:val="none" w:sz="0" w:space="0" w:color="auto"/>
      </w:divBdr>
      <w:divsChild>
        <w:div w:id="360253961">
          <w:marLeft w:val="0"/>
          <w:marRight w:val="0"/>
          <w:marTop w:val="0"/>
          <w:marBottom w:val="0"/>
          <w:divBdr>
            <w:top w:val="none" w:sz="0" w:space="0" w:color="auto"/>
            <w:left w:val="none" w:sz="0" w:space="0" w:color="auto"/>
            <w:bottom w:val="none" w:sz="0" w:space="0" w:color="auto"/>
            <w:right w:val="none" w:sz="0" w:space="0" w:color="auto"/>
          </w:divBdr>
          <w:divsChild>
            <w:div w:id="130829508">
              <w:marLeft w:val="0"/>
              <w:marRight w:val="0"/>
              <w:marTop w:val="0"/>
              <w:marBottom w:val="0"/>
              <w:divBdr>
                <w:top w:val="none" w:sz="0" w:space="0" w:color="auto"/>
                <w:left w:val="none" w:sz="0" w:space="0" w:color="auto"/>
                <w:bottom w:val="none" w:sz="0" w:space="0" w:color="auto"/>
                <w:right w:val="none" w:sz="0" w:space="0" w:color="auto"/>
              </w:divBdr>
              <w:divsChild>
                <w:div w:id="15380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774410">
      <w:bodyDiv w:val="1"/>
      <w:marLeft w:val="0"/>
      <w:marRight w:val="0"/>
      <w:marTop w:val="0"/>
      <w:marBottom w:val="0"/>
      <w:divBdr>
        <w:top w:val="none" w:sz="0" w:space="0" w:color="auto"/>
        <w:left w:val="none" w:sz="0" w:space="0" w:color="auto"/>
        <w:bottom w:val="none" w:sz="0" w:space="0" w:color="auto"/>
        <w:right w:val="none" w:sz="0" w:space="0" w:color="auto"/>
      </w:divBdr>
      <w:divsChild>
        <w:div w:id="573709540">
          <w:marLeft w:val="0"/>
          <w:marRight w:val="0"/>
          <w:marTop w:val="0"/>
          <w:marBottom w:val="0"/>
          <w:divBdr>
            <w:top w:val="none" w:sz="0" w:space="0" w:color="auto"/>
            <w:left w:val="none" w:sz="0" w:space="0" w:color="auto"/>
            <w:bottom w:val="none" w:sz="0" w:space="0" w:color="auto"/>
            <w:right w:val="none" w:sz="0" w:space="0" w:color="auto"/>
          </w:divBdr>
          <w:divsChild>
            <w:div w:id="1441990344">
              <w:marLeft w:val="0"/>
              <w:marRight w:val="0"/>
              <w:marTop w:val="0"/>
              <w:marBottom w:val="0"/>
              <w:divBdr>
                <w:top w:val="none" w:sz="0" w:space="0" w:color="auto"/>
                <w:left w:val="none" w:sz="0" w:space="0" w:color="auto"/>
                <w:bottom w:val="none" w:sz="0" w:space="0" w:color="auto"/>
                <w:right w:val="none" w:sz="0" w:space="0" w:color="auto"/>
              </w:divBdr>
              <w:divsChild>
                <w:div w:id="9342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1019</Words>
  <Characters>5703</Characters>
  <Application>Microsoft Office Word</Application>
  <DocSecurity>0</DocSecurity>
  <Lines>155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cong Nguyen</dc:creator>
  <cp:keywords/>
  <dc:description/>
  <cp:lastModifiedBy>Ngoc cong Nguyen</cp:lastModifiedBy>
  <cp:revision>34</cp:revision>
  <dcterms:created xsi:type="dcterms:W3CDTF">2026-01-20T02:12:00Z</dcterms:created>
  <dcterms:modified xsi:type="dcterms:W3CDTF">2026-03-22T10:09:00Z</dcterms:modified>
</cp:coreProperties>
</file>