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33AFB6" w14:textId="22B7E5BA" w:rsidR="00D73BCB" w:rsidRPr="00557AD1" w:rsidRDefault="00D73BCB" w:rsidP="00E24C4B">
      <w:pPr>
        <w:pStyle w:val="Titolo1"/>
        <w:jc w:val="center"/>
        <w:rPr>
          <w:lang w:val="en-US"/>
        </w:rPr>
      </w:pPr>
      <w:bookmarkStart w:id="0" w:name="_Hlk213749284"/>
      <w:bookmarkStart w:id="1" w:name="_Hlk197677111"/>
      <w:bookmarkStart w:id="2" w:name="_Hlk198292992"/>
      <w:bookmarkStart w:id="3" w:name="_Hlk190439368"/>
      <w:r w:rsidRPr="00557AD1">
        <w:rPr>
          <w:lang w:val="en-US"/>
        </w:rPr>
        <w:t>-</w:t>
      </w:r>
      <w:r w:rsidR="00D61B87" w:rsidRPr="00557AD1">
        <w:rPr>
          <w:lang w:val="en-US"/>
        </w:rPr>
        <w:t xml:space="preserve"> </w:t>
      </w:r>
      <w:r w:rsidR="008A6290" w:rsidRPr="00557AD1">
        <w:rPr>
          <w:lang w:val="en-US"/>
        </w:rPr>
        <w:t xml:space="preserve"> </w:t>
      </w:r>
      <w:r w:rsidR="001375D9" w:rsidRPr="00557AD1">
        <w:rPr>
          <w:rStyle w:val="Titolo1Carattere"/>
          <w:b/>
          <w:lang w:val="en-US"/>
        </w:rPr>
        <w:t>Supplementary</w:t>
      </w:r>
      <w:r w:rsidR="00843C92" w:rsidRPr="00557AD1">
        <w:rPr>
          <w:rStyle w:val="Titolo1Carattere"/>
          <w:b/>
          <w:lang w:val="en-US"/>
        </w:rPr>
        <w:t xml:space="preserve"> </w:t>
      </w:r>
      <w:r w:rsidR="00D61B87" w:rsidRPr="00557AD1">
        <w:rPr>
          <w:rStyle w:val="Titolo1Carattere"/>
          <w:b/>
          <w:lang w:val="en-US"/>
        </w:rPr>
        <w:t>Materials</w:t>
      </w:r>
      <w:r w:rsidR="00D61B87" w:rsidRPr="00557AD1" w:rsidDel="00D61B87">
        <w:rPr>
          <w:lang w:val="en-US"/>
        </w:rPr>
        <w:t xml:space="preserve"> </w:t>
      </w:r>
      <w:r w:rsidRPr="00557AD1">
        <w:rPr>
          <w:lang w:val="en-US"/>
        </w:rPr>
        <w:t>-</w:t>
      </w:r>
    </w:p>
    <w:p w14:paraId="454D9751" w14:textId="46F249BE" w:rsidR="00D73BCB" w:rsidRPr="00D73BCB" w:rsidRDefault="001F4DF0" w:rsidP="00E24C4B">
      <w:pPr>
        <w:pStyle w:val="Titolo1"/>
        <w:rPr>
          <w:lang w:val="en-US"/>
        </w:rPr>
      </w:pPr>
      <w:r w:rsidRPr="001F4DF0">
        <w:rPr>
          <w:lang w:val="en-US"/>
        </w:rPr>
        <w:t>Cost-Effectiveness of Blinatumomab plus Chemotherapy vs Chemotherapy in Adults Newly Diagnosed with Philadelphia-Negative B-Cell Acute Lymphoblastic Leukemia in Italy</w:t>
      </w:r>
    </w:p>
    <w:p w14:paraId="6B82C2E7" w14:textId="61BCDCCF" w:rsidR="00D73BCB" w:rsidRPr="00066D2A" w:rsidRDefault="00D73BCB" w:rsidP="008A6290">
      <w:pPr>
        <w:pStyle w:val="Titolo1"/>
        <w:rPr>
          <w:lang w:val="en-US"/>
        </w:rPr>
      </w:pPr>
      <w:bookmarkStart w:id="4" w:name="_Figures"/>
      <w:bookmarkStart w:id="5" w:name="_Supplementary_Materials"/>
      <w:bookmarkStart w:id="6" w:name="_Toc187400116"/>
      <w:bookmarkEnd w:id="0"/>
      <w:bookmarkEnd w:id="4"/>
      <w:bookmarkEnd w:id="5"/>
      <w:r w:rsidRPr="00066D2A">
        <w:rPr>
          <w:lang w:val="en-US"/>
        </w:rPr>
        <w:t xml:space="preserve">Supplementary </w:t>
      </w:r>
      <w:r w:rsidR="008856E5" w:rsidRPr="00066D2A">
        <w:rPr>
          <w:lang w:val="en-US"/>
        </w:rPr>
        <w:t>Tables</w:t>
      </w:r>
    </w:p>
    <w:p w14:paraId="2C783C2B" w14:textId="6C55378A" w:rsidR="005C5436" w:rsidRPr="00102B2D" w:rsidRDefault="00A61152" w:rsidP="00753AB2">
      <w:pPr>
        <w:spacing w:after="120" w:line="276" w:lineRule="auto"/>
        <w:rPr>
          <w:rFonts w:cs="Arial"/>
          <w:szCs w:val="20"/>
          <w:lang w:val="en-GB"/>
        </w:rPr>
      </w:pPr>
      <w:r w:rsidRPr="00102B2D">
        <w:rPr>
          <w:rFonts w:cs="Arial"/>
          <w:b/>
          <w:bCs/>
          <w:szCs w:val="20"/>
          <w:lang w:val="en-GB"/>
        </w:rPr>
        <w:t>Supplementa</w:t>
      </w:r>
      <w:r w:rsidR="001375D9" w:rsidRPr="00102B2D">
        <w:rPr>
          <w:rFonts w:cs="Arial"/>
          <w:b/>
          <w:bCs/>
          <w:szCs w:val="20"/>
          <w:lang w:val="en-GB"/>
        </w:rPr>
        <w:t>l</w:t>
      </w:r>
      <w:r w:rsidR="00801CE0" w:rsidRPr="00102B2D">
        <w:rPr>
          <w:rFonts w:cs="Arial"/>
          <w:b/>
          <w:bCs/>
          <w:szCs w:val="20"/>
          <w:lang w:val="en-GB"/>
        </w:rPr>
        <w:t xml:space="preserve"> </w:t>
      </w:r>
      <w:r w:rsidR="005C5436" w:rsidRPr="00102B2D">
        <w:rPr>
          <w:rFonts w:cs="Arial"/>
          <w:b/>
          <w:bCs/>
          <w:szCs w:val="20"/>
          <w:lang w:val="en-GB"/>
        </w:rPr>
        <w:t xml:space="preserve">Table </w:t>
      </w:r>
      <w:r w:rsidR="005C5436" w:rsidRPr="00102B2D">
        <w:rPr>
          <w:rFonts w:cs="Arial"/>
          <w:b/>
          <w:bCs/>
          <w:szCs w:val="20"/>
          <w:lang w:val="en-GB"/>
        </w:rPr>
        <w:fldChar w:fldCharType="begin"/>
      </w:r>
      <w:r w:rsidR="005C5436" w:rsidRPr="00102B2D">
        <w:rPr>
          <w:rFonts w:cs="Arial"/>
          <w:b/>
          <w:bCs/>
          <w:szCs w:val="20"/>
          <w:lang w:val="en-GB"/>
        </w:rPr>
        <w:instrText xml:space="preserve"> SEQ Table_S \* ARABIC </w:instrText>
      </w:r>
      <w:r w:rsidR="005C5436" w:rsidRPr="00102B2D">
        <w:rPr>
          <w:rFonts w:cs="Arial"/>
          <w:b/>
          <w:bCs/>
          <w:szCs w:val="20"/>
          <w:lang w:val="en-GB"/>
        </w:rPr>
        <w:fldChar w:fldCharType="separate"/>
      </w:r>
      <w:r w:rsidR="005C5436" w:rsidRPr="00102B2D">
        <w:rPr>
          <w:rFonts w:cs="Arial"/>
          <w:b/>
          <w:bCs/>
          <w:szCs w:val="20"/>
          <w:lang w:val="en-GB"/>
        </w:rPr>
        <w:t>1</w:t>
      </w:r>
      <w:r w:rsidR="005C5436" w:rsidRPr="00102B2D">
        <w:rPr>
          <w:rFonts w:cs="Arial"/>
          <w:b/>
          <w:bCs/>
          <w:szCs w:val="20"/>
          <w:lang w:val="en-GB"/>
        </w:rPr>
        <w:fldChar w:fldCharType="end"/>
      </w:r>
      <w:r w:rsidR="005C5436" w:rsidRPr="00102B2D">
        <w:rPr>
          <w:rFonts w:cs="Arial"/>
          <w:b/>
          <w:bCs/>
          <w:szCs w:val="20"/>
          <w:lang w:val="en-GB"/>
        </w:rPr>
        <w:t xml:space="preserve"> </w:t>
      </w:r>
      <w:bookmarkEnd w:id="6"/>
      <w:r w:rsidR="005C5436" w:rsidRPr="00102B2D">
        <w:rPr>
          <w:rFonts w:cs="Arial"/>
          <w:szCs w:val="20"/>
          <w:lang w:val="en-GB"/>
        </w:rPr>
        <w:t>Additional model input parameters</w:t>
      </w:r>
      <w:r w:rsidR="000A18E0" w:rsidRPr="00102B2D">
        <w:rPr>
          <w:rFonts w:cs="Arial"/>
          <w:szCs w:val="20"/>
          <w:lang w:val="en-GB"/>
        </w:rPr>
        <w:t xml:space="preserve"> </w:t>
      </w:r>
    </w:p>
    <w:tbl>
      <w:tblPr>
        <w:tblStyle w:val="TableGrid1"/>
        <w:tblW w:w="14596" w:type="dxa"/>
        <w:tblLayout w:type="fixed"/>
        <w:tblLook w:val="04A0" w:firstRow="1" w:lastRow="0" w:firstColumn="1" w:lastColumn="0" w:noHBand="0" w:noVBand="1"/>
      </w:tblPr>
      <w:tblGrid>
        <w:gridCol w:w="4470"/>
        <w:gridCol w:w="2755"/>
        <w:gridCol w:w="2409"/>
        <w:gridCol w:w="2410"/>
        <w:gridCol w:w="2552"/>
      </w:tblGrid>
      <w:tr w:rsidR="00811425" w:rsidRPr="002E1D08" w14:paraId="354D2101" w14:textId="77777777" w:rsidTr="00B11008">
        <w:trPr>
          <w:trHeight w:val="647"/>
          <w:tblHeader/>
        </w:trPr>
        <w:tc>
          <w:tcPr>
            <w:tcW w:w="4470" w:type="dxa"/>
            <w:shd w:val="clear" w:color="auto" w:fill="808080" w:themeFill="background1" w:themeFillShade="80"/>
            <w:noWrap/>
            <w:vAlign w:val="center"/>
          </w:tcPr>
          <w:p w14:paraId="1BA90EC5" w14:textId="77777777" w:rsidR="002E3220" w:rsidRPr="00E24C4B" w:rsidRDefault="002E3220" w:rsidP="001007F0">
            <w:pPr>
              <w:spacing w:line="276" w:lineRule="auto"/>
              <w:rPr>
                <w:rFonts w:eastAsia="Times New Roman" w:cs="Arial"/>
                <w:b/>
                <w:bCs/>
                <w:color w:val="FFFFFF" w:themeColor="background1"/>
                <w:lang w:val="en-GB" w:eastAsia="it-IT"/>
              </w:rPr>
            </w:pPr>
            <w:r w:rsidRPr="00E24C4B">
              <w:rPr>
                <w:rFonts w:eastAsia="Times New Roman" w:cs="Arial"/>
                <w:b/>
                <w:bCs/>
                <w:color w:val="FFFFFF" w:themeColor="background1"/>
                <w:lang w:val="en-GB" w:eastAsia="it-IT"/>
              </w:rPr>
              <w:t>Parameter</w:t>
            </w:r>
          </w:p>
        </w:tc>
        <w:tc>
          <w:tcPr>
            <w:tcW w:w="2755" w:type="dxa"/>
            <w:shd w:val="clear" w:color="auto" w:fill="808080" w:themeFill="background1" w:themeFillShade="80"/>
            <w:noWrap/>
            <w:vAlign w:val="center"/>
          </w:tcPr>
          <w:p w14:paraId="3FA86A8B" w14:textId="778D4B08" w:rsidR="002E3220" w:rsidRPr="00E24C4B" w:rsidRDefault="0042599F" w:rsidP="001007F0">
            <w:pPr>
              <w:spacing w:line="276" w:lineRule="auto"/>
              <w:jc w:val="center"/>
              <w:rPr>
                <w:rFonts w:cs="Arial"/>
                <w:b/>
                <w:bCs/>
                <w:color w:val="FFFFFF" w:themeColor="background1"/>
                <w:lang w:val="en-GB"/>
              </w:rPr>
            </w:pPr>
            <w:r w:rsidRPr="00E24C4B">
              <w:rPr>
                <w:rFonts w:eastAsia="Times New Roman" w:cs="Arial"/>
                <w:b/>
                <w:bCs/>
                <w:color w:val="FFFFFF" w:themeColor="background1"/>
                <w:lang w:val="en-GB" w:eastAsia="it-IT"/>
              </w:rPr>
              <w:t>Point estimate</w:t>
            </w:r>
          </w:p>
        </w:tc>
        <w:tc>
          <w:tcPr>
            <w:tcW w:w="2409" w:type="dxa"/>
            <w:shd w:val="clear" w:color="auto" w:fill="808080" w:themeFill="background1" w:themeFillShade="80"/>
            <w:noWrap/>
            <w:vAlign w:val="center"/>
          </w:tcPr>
          <w:p w14:paraId="5A7C8962" w14:textId="7EFF5ED5" w:rsidR="002E3220" w:rsidRPr="00E24C4B" w:rsidRDefault="0042599F" w:rsidP="001007F0">
            <w:pPr>
              <w:spacing w:line="276" w:lineRule="auto"/>
              <w:jc w:val="center"/>
              <w:rPr>
                <w:rFonts w:cs="Arial"/>
                <w:b/>
                <w:bCs/>
                <w:color w:val="FFFFFF" w:themeColor="background1"/>
                <w:lang w:val="en-GB"/>
              </w:rPr>
            </w:pPr>
            <w:r w:rsidRPr="00E24C4B">
              <w:rPr>
                <w:rFonts w:eastAsia="Times New Roman" w:cs="Arial"/>
                <w:b/>
                <w:bCs/>
                <w:color w:val="FFFFFF" w:themeColor="background1"/>
                <w:lang w:val="en-GB" w:eastAsia="it-IT"/>
              </w:rPr>
              <w:t>Distribution used in the PSA</w:t>
            </w:r>
            <w:r w:rsidR="002E3220" w:rsidRPr="00E24C4B">
              <w:rPr>
                <w:rFonts w:eastAsia="Times New Roman" w:cs="Arial"/>
                <w:b/>
                <w:bCs/>
                <w:color w:val="FFFFFF" w:themeColor="background1"/>
                <w:lang w:val="en-GB" w:eastAsia="it-IT"/>
              </w:rPr>
              <w:t xml:space="preserve"> </w:t>
            </w:r>
          </w:p>
        </w:tc>
        <w:tc>
          <w:tcPr>
            <w:tcW w:w="2410" w:type="dxa"/>
            <w:shd w:val="clear" w:color="auto" w:fill="808080" w:themeFill="background1" w:themeFillShade="80"/>
          </w:tcPr>
          <w:p w14:paraId="76AF593A" w14:textId="77777777" w:rsidR="002E3220" w:rsidRPr="00E24C4B" w:rsidRDefault="002E3220" w:rsidP="001007F0">
            <w:pPr>
              <w:spacing w:line="276" w:lineRule="auto"/>
              <w:jc w:val="center"/>
              <w:rPr>
                <w:rFonts w:eastAsia="Times New Roman" w:cs="Arial"/>
                <w:b/>
                <w:bCs/>
                <w:color w:val="FFFFFF" w:themeColor="background1"/>
                <w:lang w:val="en-GB" w:eastAsia="it-IT"/>
              </w:rPr>
            </w:pPr>
            <w:r w:rsidRPr="00E24C4B">
              <w:rPr>
                <w:rFonts w:eastAsia="Times New Roman" w:cs="Arial"/>
                <w:b/>
                <w:bCs/>
                <w:color w:val="FFFFFF" w:themeColor="background1"/>
                <w:lang w:val="en-GB" w:eastAsia="it-IT"/>
              </w:rPr>
              <w:t>Value tested in the DSA</w:t>
            </w:r>
          </w:p>
        </w:tc>
        <w:tc>
          <w:tcPr>
            <w:tcW w:w="2552" w:type="dxa"/>
            <w:shd w:val="clear" w:color="auto" w:fill="808080" w:themeFill="background1" w:themeFillShade="80"/>
            <w:noWrap/>
            <w:vAlign w:val="center"/>
          </w:tcPr>
          <w:p w14:paraId="3FFF041A" w14:textId="77777777" w:rsidR="002E3220" w:rsidRPr="00E24C4B" w:rsidRDefault="002E3220" w:rsidP="001007F0">
            <w:pPr>
              <w:spacing w:line="276" w:lineRule="auto"/>
              <w:jc w:val="center"/>
              <w:rPr>
                <w:rFonts w:cs="Arial"/>
                <w:b/>
                <w:bCs/>
                <w:color w:val="FFFFFF" w:themeColor="background1"/>
                <w:lang w:val="en-GB"/>
              </w:rPr>
            </w:pPr>
            <w:r w:rsidRPr="00E24C4B">
              <w:rPr>
                <w:rFonts w:eastAsia="Times New Roman" w:cs="Arial"/>
                <w:b/>
                <w:bCs/>
                <w:color w:val="FFFFFF" w:themeColor="background1"/>
                <w:lang w:val="en-GB" w:eastAsia="it-IT"/>
              </w:rPr>
              <w:t>Source</w:t>
            </w:r>
          </w:p>
        </w:tc>
      </w:tr>
      <w:tr w:rsidR="00811425" w:rsidRPr="002E1D08" w14:paraId="43A8C8DE" w14:textId="77777777" w:rsidTr="00B11008">
        <w:trPr>
          <w:trHeight w:val="20"/>
        </w:trPr>
        <w:tc>
          <w:tcPr>
            <w:tcW w:w="14596" w:type="dxa"/>
            <w:gridSpan w:val="5"/>
            <w:shd w:val="clear" w:color="auto" w:fill="BFBFBF" w:themeFill="background1" w:themeFillShade="BF"/>
          </w:tcPr>
          <w:p w14:paraId="6AF7E8BF" w14:textId="79BE56D2" w:rsidR="005C5436" w:rsidRPr="00E24C4B" w:rsidRDefault="005C5436" w:rsidP="001007F0">
            <w:pPr>
              <w:spacing w:line="276" w:lineRule="auto"/>
              <w:rPr>
                <w:rFonts w:cs="Arial"/>
                <w:b/>
                <w:bCs/>
                <w:lang w:val="en-GB"/>
              </w:rPr>
            </w:pPr>
            <w:r w:rsidRPr="00E24C4B">
              <w:rPr>
                <w:rFonts w:cs="Arial"/>
                <w:b/>
                <w:bCs/>
                <w:lang w:val="en-GB"/>
              </w:rPr>
              <w:t>Clinical Parameters</w:t>
            </w:r>
          </w:p>
        </w:tc>
      </w:tr>
      <w:tr w:rsidR="00811425" w:rsidRPr="008849A6" w14:paraId="48532622" w14:textId="77777777" w:rsidTr="001007F0">
        <w:trPr>
          <w:trHeight w:val="20"/>
        </w:trPr>
        <w:tc>
          <w:tcPr>
            <w:tcW w:w="14596" w:type="dxa"/>
            <w:gridSpan w:val="5"/>
            <w:shd w:val="clear" w:color="auto" w:fill="F2F2F2" w:themeFill="background1" w:themeFillShade="F2"/>
          </w:tcPr>
          <w:p w14:paraId="3D2ED2A0" w14:textId="77777777" w:rsidR="005C5436" w:rsidRPr="00E24C4B" w:rsidRDefault="005C5436" w:rsidP="001007F0">
            <w:pPr>
              <w:spacing w:line="276" w:lineRule="auto"/>
              <w:rPr>
                <w:rFonts w:cs="Arial"/>
                <w:b/>
                <w:bCs/>
                <w:lang w:val="en-GB"/>
              </w:rPr>
            </w:pPr>
            <w:r w:rsidRPr="00E24C4B">
              <w:rPr>
                <w:rFonts w:cs="Arial"/>
                <w:b/>
                <w:bCs/>
                <w:i/>
                <w:iCs/>
                <w:lang w:val="en-GB"/>
              </w:rPr>
              <w:t>Overall survival (OS) – parametric distribution</w:t>
            </w:r>
          </w:p>
        </w:tc>
      </w:tr>
      <w:tr w:rsidR="00811425" w:rsidRPr="002E1D08" w14:paraId="3F05DCBA" w14:textId="77777777" w:rsidTr="00B23DFB">
        <w:trPr>
          <w:trHeight w:val="20"/>
        </w:trPr>
        <w:tc>
          <w:tcPr>
            <w:tcW w:w="4470" w:type="dxa"/>
            <w:noWrap/>
            <w:vAlign w:val="center"/>
          </w:tcPr>
          <w:p w14:paraId="38EAB04E" w14:textId="1B4B922B" w:rsidR="00162D8D" w:rsidRPr="00E24C4B" w:rsidRDefault="00B11008" w:rsidP="001007F0">
            <w:pPr>
              <w:spacing w:line="276" w:lineRule="auto"/>
              <w:rPr>
                <w:rFonts w:cs="Arial"/>
                <w:lang w:val="en-GB"/>
              </w:rPr>
            </w:pPr>
            <w:r w:rsidRPr="00E24C4B">
              <w:rPr>
                <w:rFonts w:cs="Arial"/>
                <w:lang w:val="en-GB"/>
              </w:rPr>
              <w:t>Blinatumomab</w:t>
            </w:r>
            <w:r w:rsidR="00162D8D" w:rsidRPr="00E24C4B">
              <w:rPr>
                <w:rFonts w:cs="Arial"/>
                <w:lang w:val="en-GB"/>
              </w:rPr>
              <w:t xml:space="preserve"> + SoC (Weibull)</w:t>
            </w:r>
          </w:p>
        </w:tc>
        <w:tc>
          <w:tcPr>
            <w:tcW w:w="2755" w:type="dxa"/>
            <w:noWrap/>
          </w:tcPr>
          <w:p w14:paraId="1E7A84E4" w14:textId="77777777" w:rsidR="00162D8D" w:rsidRPr="00E24C4B" w:rsidRDefault="00162D8D" w:rsidP="001007F0">
            <w:pPr>
              <w:spacing w:line="276" w:lineRule="auto"/>
              <w:jc w:val="center"/>
              <w:rPr>
                <w:rFonts w:cs="Arial"/>
                <w:lang w:val="en-GB"/>
              </w:rPr>
            </w:pPr>
            <w:r w:rsidRPr="00E24C4B">
              <w:rPr>
                <w:rFonts w:cs="Arial"/>
                <w:lang w:val="en-GB"/>
              </w:rPr>
              <w:t>Shape: 0.495</w:t>
            </w:r>
          </w:p>
          <w:p w14:paraId="5D48EF86" w14:textId="77777777" w:rsidR="00162D8D" w:rsidRPr="00E24C4B" w:rsidRDefault="00162D8D" w:rsidP="001007F0">
            <w:pPr>
              <w:spacing w:line="276" w:lineRule="auto"/>
              <w:jc w:val="center"/>
              <w:rPr>
                <w:rFonts w:cs="Arial"/>
                <w:lang w:val="en-GB"/>
              </w:rPr>
            </w:pPr>
            <w:r w:rsidRPr="00E24C4B">
              <w:rPr>
                <w:rFonts w:cs="Arial"/>
                <w:lang w:val="en-GB"/>
              </w:rPr>
              <w:t>Scale: 3.217</w:t>
            </w:r>
          </w:p>
          <w:p w14:paraId="5219D992" w14:textId="77777777" w:rsidR="00162D8D" w:rsidRPr="00E24C4B" w:rsidRDefault="00162D8D" w:rsidP="001007F0">
            <w:pPr>
              <w:spacing w:line="276" w:lineRule="auto"/>
              <w:jc w:val="center"/>
              <w:rPr>
                <w:rFonts w:cs="Arial"/>
                <w:lang w:val="en-GB"/>
              </w:rPr>
            </w:pPr>
            <w:r w:rsidRPr="00E24C4B">
              <w:rPr>
                <w:rFonts w:cs="Arial"/>
                <w:lang w:val="en-GB"/>
              </w:rPr>
              <w:t>Theta: 1.507</w:t>
            </w:r>
          </w:p>
        </w:tc>
        <w:tc>
          <w:tcPr>
            <w:tcW w:w="2409" w:type="dxa"/>
            <w:noWrap/>
            <w:vAlign w:val="center"/>
          </w:tcPr>
          <w:p w14:paraId="44BC937A" w14:textId="77777777" w:rsidR="00162D8D" w:rsidRPr="00E24C4B" w:rsidRDefault="00162D8D" w:rsidP="001007F0">
            <w:pPr>
              <w:spacing w:line="276" w:lineRule="auto"/>
              <w:jc w:val="center"/>
              <w:rPr>
                <w:rFonts w:eastAsia="Times New Roman" w:cs="Arial"/>
                <w:lang w:val="en-GB" w:eastAsia="it-IT"/>
              </w:rPr>
            </w:pPr>
            <w:r w:rsidRPr="00E24C4B">
              <w:rPr>
                <w:rFonts w:cs="Arial"/>
                <w:lang w:val="en-GB"/>
              </w:rPr>
              <w:t>Cholesky decomposition of the covariance matrix</w:t>
            </w:r>
          </w:p>
        </w:tc>
        <w:tc>
          <w:tcPr>
            <w:tcW w:w="2410" w:type="dxa"/>
            <w:vAlign w:val="center"/>
          </w:tcPr>
          <w:p w14:paraId="11727635" w14:textId="1615B0A6" w:rsidR="00162D8D" w:rsidRPr="00E24C4B" w:rsidRDefault="00162D8D" w:rsidP="001007F0">
            <w:pPr>
              <w:spacing w:line="276" w:lineRule="auto"/>
              <w:jc w:val="center"/>
              <w:rPr>
                <w:rFonts w:cs="Arial"/>
                <w:highlight w:val="yellow"/>
                <w:lang w:val="en-GB"/>
              </w:rPr>
            </w:pPr>
            <w:r w:rsidRPr="00E24C4B">
              <w:rPr>
                <w:rFonts w:cs="Arial"/>
                <w:lang w:val="en-GB"/>
              </w:rPr>
              <w:t>-</w:t>
            </w:r>
          </w:p>
        </w:tc>
        <w:tc>
          <w:tcPr>
            <w:tcW w:w="2552" w:type="dxa"/>
            <w:noWrap/>
            <w:vAlign w:val="center"/>
          </w:tcPr>
          <w:p w14:paraId="6F2D7C49" w14:textId="0CD98F0B" w:rsidR="00162D8D" w:rsidRPr="00E24C4B" w:rsidRDefault="00162D8D" w:rsidP="001007F0">
            <w:pPr>
              <w:spacing w:line="276" w:lineRule="auto"/>
              <w:rPr>
                <w:rFonts w:cs="Arial"/>
                <w:lang w:val="en-GB"/>
              </w:rPr>
            </w:pPr>
            <w:r w:rsidRPr="00E24C4B">
              <w:rPr>
                <w:rFonts w:eastAsia="Calibri" w:cs="Arial"/>
                <w:iCs/>
                <w:lang w:val="en-GB" w:eastAsia="it-IT" w:bidi="it-IT"/>
              </w:rPr>
              <w:t>ECOG-ACRIN E1910</w:t>
            </w:r>
            <w:r w:rsidR="00557AD1">
              <w:rPr>
                <w:rFonts w:eastAsia="Calibri" w:cs="Arial"/>
                <w:iCs/>
                <w:lang w:val="en-GB" w:eastAsia="it-IT" w:bidi="it-IT"/>
              </w:rPr>
              <w:t>*</w:t>
            </w:r>
          </w:p>
        </w:tc>
      </w:tr>
      <w:tr w:rsidR="00811425" w:rsidRPr="002E1D08" w14:paraId="45095878" w14:textId="77777777" w:rsidTr="00B23DFB">
        <w:trPr>
          <w:trHeight w:val="20"/>
        </w:trPr>
        <w:tc>
          <w:tcPr>
            <w:tcW w:w="4470" w:type="dxa"/>
            <w:noWrap/>
            <w:vAlign w:val="center"/>
          </w:tcPr>
          <w:p w14:paraId="5EF1AE19" w14:textId="77777777" w:rsidR="00162D8D" w:rsidRPr="00E24C4B" w:rsidRDefault="00162D8D" w:rsidP="001007F0">
            <w:pPr>
              <w:spacing w:line="276" w:lineRule="auto"/>
              <w:rPr>
                <w:rFonts w:cs="Arial"/>
                <w:lang w:val="en-GB"/>
              </w:rPr>
            </w:pPr>
            <w:r w:rsidRPr="00E24C4B">
              <w:rPr>
                <w:rFonts w:cs="Arial"/>
                <w:lang w:val="en-GB"/>
              </w:rPr>
              <w:t>SoC (Weibull)</w:t>
            </w:r>
          </w:p>
        </w:tc>
        <w:tc>
          <w:tcPr>
            <w:tcW w:w="2755" w:type="dxa"/>
            <w:noWrap/>
          </w:tcPr>
          <w:p w14:paraId="78B0EFD0" w14:textId="77777777" w:rsidR="00162D8D" w:rsidRPr="00E24C4B" w:rsidRDefault="00162D8D" w:rsidP="001007F0">
            <w:pPr>
              <w:spacing w:line="276" w:lineRule="auto"/>
              <w:jc w:val="center"/>
              <w:rPr>
                <w:rFonts w:cs="Arial"/>
                <w:lang w:val="en-GB"/>
              </w:rPr>
            </w:pPr>
            <w:r w:rsidRPr="00E24C4B">
              <w:rPr>
                <w:rFonts w:cs="Arial"/>
                <w:lang w:val="en-GB"/>
              </w:rPr>
              <w:t>Shape: 0.370</w:t>
            </w:r>
          </w:p>
          <w:p w14:paraId="36ECECA2" w14:textId="77777777" w:rsidR="00162D8D" w:rsidRPr="00E24C4B" w:rsidRDefault="00162D8D" w:rsidP="001007F0">
            <w:pPr>
              <w:spacing w:line="276" w:lineRule="auto"/>
              <w:jc w:val="center"/>
              <w:rPr>
                <w:rFonts w:cs="Arial"/>
                <w:lang w:val="en-GB"/>
              </w:rPr>
            </w:pPr>
            <w:r w:rsidRPr="00E24C4B">
              <w:rPr>
                <w:rFonts w:cs="Arial"/>
                <w:lang w:val="en-GB"/>
              </w:rPr>
              <w:t>Scale: 3.624</w:t>
            </w:r>
          </w:p>
          <w:p w14:paraId="3A3ED63F" w14:textId="77777777" w:rsidR="00162D8D" w:rsidRPr="00E24C4B" w:rsidRDefault="00162D8D" w:rsidP="001007F0">
            <w:pPr>
              <w:spacing w:line="276" w:lineRule="auto"/>
              <w:jc w:val="center"/>
              <w:rPr>
                <w:rFonts w:cs="Arial"/>
                <w:lang w:val="en-GB"/>
              </w:rPr>
            </w:pPr>
            <w:r w:rsidRPr="00E24C4B">
              <w:rPr>
                <w:rFonts w:cs="Arial"/>
                <w:lang w:val="en-GB"/>
              </w:rPr>
              <w:t>Theta: 0.131</w:t>
            </w:r>
          </w:p>
        </w:tc>
        <w:tc>
          <w:tcPr>
            <w:tcW w:w="2409" w:type="dxa"/>
            <w:noWrap/>
            <w:vAlign w:val="center"/>
          </w:tcPr>
          <w:p w14:paraId="17AE0F19" w14:textId="77777777" w:rsidR="00162D8D" w:rsidRPr="00E24C4B" w:rsidRDefault="00162D8D" w:rsidP="001007F0">
            <w:pPr>
              <w:spacing w:line="276" w:lineRule="auto"/>
              <w:jc w:val="center"/>
              <w:rPr>
                <w:rFonts w:eastAsia="Times New Roman" w:cs="Arial"/>
                <w:lang w:val="en-GB" w:eastAsia="it-IT"/>
              </w:rPr>
            </w:pPr>
            <w:r w:rsidRPr="00E24C4B">
              <w:rPr>
                <w:rFonts w:cs="Arial"/>
                <w:lang w:val="en-GB"/>
              </w:rPr>
              <w:t>Cholesky decomposition of the covariance matrix</w:t>
            </w:r>
          </w:p>
        </w:tc>
        <w:tc>
          <w:tcPr>
            <w:tcW w:w="2410" w:type="dxa"/>
            <w:vAlign w:val="center"/>
          </w:tcPr>
          <w:p w14:paraId="0B85EE41" w14:textId="7A0C3622" w:rsidR="00162D8D" w:rsidRPr="00E24C4B" w:rsidRDefault="00162D8D" w:rsidP="001007F0">
            <w:pPr>
              <w:spacing w:line="276" w:lineRule="auto"/>
              <w:jc w:val="center"/>
              <w:rPr>
                <w:rFonts w:cs="Arial"/>
                <w:highlight w:val="yellow"/>
                <w:lang w:val="en-GB"/>
              </w:rPr>
            </w:pPr>
            <w:r w:rsidRPr="00E24C4B">
              <w:rPr>
                <w:rFonts w:cs="Arial"/>
                <w:lang w:val="en-GB"/>
              </w:rPr>
              <w:t>-</w:t>
            </w:r>
          </w:p>
        </w:tc>
        <w:tc>
          <w:tcPr>
            <w:tcW w:w="2552" w:type="dxa"/>
            <w:noWrap/>
            <w:vAlign w:val="center"/>
          </w:tcPr>
          <w:p w14:paraId="2C11E19F" w14:textId="1151607B" w:rsidR="00162D8D" w:rsidRPr="00E24C4B" w:rsidRDefault="00162D8D" w:rsidP="001007F0">
            <w:pPr>
              <w:spacing w:line="276" w:lineRule="auto"/>
              <w:rPr>
                <w:rFonts w:cs="Arial"/>
                <w:lang w:val="en-GB"/>
              </w:rPr>
            </w:pPr>
            <w:r w:rsidRPr="00E24C4B">
              <w:rPr>
                <w:rFonts w:eastAsia="Calibri" w:cs="Arial"/>
                <w:iCs/>
                <w:lang w:val="en-GB" w:eastAsia="it-IT" w:bidi="it-IT"/>
              </w:rPr>
              <w:t>ECOG-ACRIN E1910</w:t>
            </w:r>
            <w:r w:rsidR="00557AD1">
              <w:rPr>
                <w:rFonts w:eastAsia="Calibri" w:cs="Arial"/>
                <w:iCs/>
                <w:lang w:val="en-GB" w:eastAsia="it-IT" w:bidi="it-IT"/>
              </w:rPr>
              <w:t>*</w:t>
            </w:r>
          </w:p>
        </w:tc>
      </w:tr>
      <w:tr w:rsidR="00811425" w:rsidRPr="008849A6" w14:paraId="4A42D83F" w14:textId="77777777" w:rsidTr="001007F0">
        <w:trPr>
          <w:trHeight w:val="20"/>
        </w:trPr>
        <w:tc>
          <w:tcPr>
            <w:tcW w:w="14596" w:type="dxa"/>
            <w:gridSpan w:val="5"/>
            <w:shd w:val="clear" w:color="auto" w:fill="F2F2F2" w:themeFill="background1" w:themeFillShade="F2"/>
          </w:tcPr>
          <w:p w14:paraId="1293C6EB" w14:textId="77777777" w:rsidR="005C5436" w:rsidRPr="00E24C4B" w:rsidRDefault="005C5436" w:rsidP="001007F0">
            <w:pPr>
              <w:spacing w:line="276" w:lineRule="auto"/>
              <w:rPr>
                <w:rFonts w:cs="Arial"/>
                <w:b/>
                <w:bCs/>
                <w:lang w:val="en-GB"/>
              </w:rPr>
            </w:pPr>
            <w:r w:rsidRPr="00E24C4B">
              <w:rPr>
                <w:rFonts w:eastAsia="Times New Roman" w:cs="Arial"/>
                <w:b/>
                <w:bCs/>
                <w:i/>
                <w:iCs/>
                <w:lang w:val="en-GB" w:eastAsia="it-IT"/>
              </w:rPr>
              <w:t>Relapse-free survival (RFS) – parametric distribution</w:t>
            </w:r>
          </w:p>
        </w:tc>
      </w:tr>
      <w:tr w:rsidR="00811425" w:rsidRPr="002E1D08" w14:paraId="2BB039A1" w14:textId="77777777" w:rsidTr="00B23DFB">
        <w:trPr>
          <w:trHeight w:val="20"/>
        </w:trPr>
        <w:tc>
          <w:tcPr>
            <w:tcW w:w="4470" w:type="dxa"/>
            <w:noWrap/>
            <w:vAlign w:val="center"/>
          </w:tcPr>
          <w:p w14:paraId="016ECF8B" w14:textId="70FB943B" w:rsidR="00162D8D" w:rsidRPr="00E24C4B" w:rsidRDefault="00B11008" w:rsidP="001007F0">
            <w:pPr>
              <w:spacing w:line="276" w:lineRule="auto"/>
              <w:rPr>
                <w:rFonts w:cs="Arial"/>
                <w:lang w:val="en-GB"/>
              </w:rPr>
            </w:pPr>
            <w:r w:rsidRPr="00E24C4B">
              <w:rPr>
                <w:rFonts w:cs="Arial"/>
                <w:lang w:val="en-GB"/>
              </w:rPr>
              <w:t>Blinatumomab</w:t>
            </w:r>
            <w:r w:rsidR="00162D8D" w:rsidRPr="00E24C4B">
              <w:rPr>
                <w:rFonts w:cs="Arial"/>
                <w:lang w:val="en-GB"/>
              </w:rPr>
              <w:t xml:space="preserve"> + SoC (Lognormal)</w:t>
            </w:r>
          </w:p>
        </w:tc>
        <w:tc>
          <w:tcPr>
            <w:tcW w:w="2755" w:type="dxa"/>
            <w:noWrap/>
          </w:tcPr>
          <w:p w14:paraId="131CB521" w14:textId="77777777" w:rsidR="00162D8D" w:rsidRPr="00E24C4B" w:rsidRDefault="00162D8D" w:rsidP="001007F0">
            <w:pPr>
              <w:spacing w:line="276" w:lineRule="auto"/>
              <w:jc w:val="center"/>
              <w:rPr>
                <w:rFonts w:cs="Arial"/>
                <w:lang w:val="en-GB"/>
              </w:rPr>
            </w:pPr>
            <w:r w:rsidRPr="00E24C4B">
              <w:rPr>
                <w:rFonts w:cs="Arial"/>
                <w:lang w:val="en-GB"/>
              </w:rPr>
              <w:t>Meanlog: 2.625</w:t>
            </w:r>
          </w:p>
          <w:p w14:paraId="4F5D7E38" w14:textId="77777777" w:rsidR="00162D8D" w:rsidRPr="00E24C4B" w:rsidRDefault="00162D8D" w:rsidP="001007F0">
            <w:pPr>
              <w:spacing w:line="276" w:lineRule="auto"/>
              <w:jc w:val="center"/>
              <w:rPr>
                <w:rFonts w:cs="Arial"/>
                <w:lang w:val="en-GB"/>
              </w:rPr>
            </w:pPr>
            <w:r w:rsidRPr="00E24C4B">
              <w:rPr>
                <w:rFonts w:cs="Arial"/>
                <w:lang w:val="en-GB"/>
              </w:rPr>
              <w:t>Sdlog: 0.181</w:t>
            </w:r>
          </w:p>
          <w:p w14:paraId="50BFF768" w14:textId="77777777" w:rsidR="00162D8D" w:rsidRPr="00E24C4B" w:rsidRDefault="00162D8D" w:rsidP="001007F0">
            <w:pPr>
              <w:spacing w:line="276" w:lineRule="auto"/>
              <w:jc w:val="center"/>
              <w:rPr>
                <w:rFonts w:cs="Arial"/>
                <w:lang w:val="en-GB"/>
              </w:rPr>
            </w:pPr>
            <w:r w:rsidRPr="00E24C4B">
              <w:rPr>
                <w:rFonts w:cs="Arial"/>
                <w:lang w:val="en-GB"/>
              </w:rPr>
              <w:t>Theta: 1.048</w:t>
            </w:r>
          </w:p>
        </w:tc>
        <w:tc>
          <w:tcPr>
            <w:tcW w:w="2409" w:type="dxa"/>
            <w:noWrap/>
            <w:vAlign w:val="center"/>
          </w:tcPr>
          <w:p w14:paraId="6F8336D5" w14:textId="77777777" w:rsidR="00162D8D" w:rsidRPr="00E24C4B" w:rsidRDefault="00162D8D" w:rsidP="001007F0">
            <w:pPr>
              <w:spacing w:line="276" w:lineRule="auto"/>
              <w:jc w:val="center"/>
              <w:rPr>
                <w:rFonts w:eastAsia="Times New Roman" w:cs="Arial"/>
                <w:lang w:val="en-GB" w:eastAsia="it-IT"/>
              </w:rPr>
            </w:pPr>
            <w:r w:rsidRPr="00E24C4B">
              <w:rPr>
                <w:rFonts w:cs="Arial"/>
                <w:lang w:val="en-GB"/>
              </w:rPr>
              <w:t>Cholesky decomposition of the covariance matrix</w:t>
            </w:r>
          </w:p>
        </w:tc>
        <w:tc>
          <w:tcPr>
            <w:tcW w:w="2410" w:type="dxa"/>
            <w:vAlign w:val="center"/>
          </w:tcPr>
          <w:p w14:paraId="17DB725B" w14:textId="3CD522D7" w:rsidR="00162D8D" w:rsidRPr="00E24C4B" w:rsidRDefault="00162D8D" w:rsidP="001007F0">
            <w:pPr>
              <w:spacing w:line="276" w:lineRule="auto"/>
              <w:jc w:val="center"/>
              <w:rPr>
                <w:rFonts w:cs="Arial"/>
                <w:highlight w:val="yellow"/>
                <w:lang w:val="en-GB"/>
              </w:rPr>
            </w:pPr>
            <w:r w:rsidRPr="00E24C4B">
              <w:rPr>
                <w:rFonts w:cs="Arial"/>
                <w:lang w:val="en-GB"/>
              </w:rPr>
              <w:t>-</w:t>
            </w:r>
          </w:p>
        </w:tc>
        <w:tc>
          <w:tcPr>
            <w:tcW w:w="2552" w:type="dxa"/>
            <w:noWrap/>
            <w:vAlign w:val="center"/>
          </w:tcPr>
          <w:p w14:paraId="58BED2F7" w14:textId="79EF0D18" w:rsidR="00162D8D" w:rsidRPr="00E24C4B" w:rsidRDefault="00162D8D" w:rsidP="001007F0">
            <w:pPr>
              <w:spacing w:line="276" w:lineRule="auto"/>
              <w:rPr>
                <w:rFonts w:cs="Arial"/>
                <w:lang w:val="en-GB"/>
              </w:rPr>
            </w:pPr>
            <w:r w:rsidRPr="00E24C4B">
              <w:rPr>
                <w:rFonts w:eastAsia="Calibri" w:cs="Arial"/>
                <w:iCs/>
                <w:lang w:val="en-GB" w:eastAsia="it-IT" w:bidi="it-IT"/>
              </w:rPr>
              <w:t>ECOG-ACRIN E1910</w:t>
            </w:r>
            <w:r w:rsidR="00557AD1">
              <w:rPr>
                <w:rFonts w:eastAsia="Calibri" w:cs="Arial"/>
                <w:iCs/>
                <w:lang w:val="en-GB" w:eastAsia="it-IT" w:bidi="it-IT"/>
              </w:rPr>
              <w:t>*</w:t>
            </w:r>
          </w:p>
        </w:tc>
      </w:tr>
      <w:tr w:rsidR="00811425" w:rsidRPr="002E1D08" w14:paraId="686D2C85" w14:textId="77777777" w:rsidTr="00E24C4B">
        <w:trPr>
          <w:trHeight w:val="972"/>
        </w:trPr>
        <w:tc>
          <w:tcPr>
            <w:tcW w:w="4470" w:type="dxa"/>
            <w:noWrap/>
            <w:vAlign w:val="center"/>
          </w:tcPr>
          <w:p w14:paraId="229F9E8C" w14:textId="77777777" w:rsidR="00162D8D" w:rsidRPr="00E24C4B" w:rsidRDefault="00162D8D" w:rsidP="001007F0">
            <w:pPr>
              <w:spacing w:line="276" w:lineRule="auto"/>
              <w:rPr>
                <w:rFonts w:cs="Arial"/>
                <w:lang w:val="en-GB"/>
              </w:rPr>
            </w:pPr>
            <w:r w:rsidRPr="00E24C4B">
              <w:rPr>
                <w:rFonts w:cs="Arial"/>
                <w:lang w:val="en-GB"/>
              </w:rPr>
              <w:t>SoC (Lognormal)</w:t>
            </w:r>
          </w:p>
        </w:tc>
        <w:tc>
          <w:tcPr>
            <w:tcW w:w="2755" w:type="dxa"/>
            <w:noWrap/>
            <w:vAlign w:val="center"/>
          </w:tcPr>
          <w:p w14:paraId="60921828" w14:textId="42FB238A" w:rsidR="00162D8D" w:rsidRPr="00E24C4B" w:rsidRDefault="00162D8D" w:rsidP="00E24C4B">
            <w:pPr>
              <w:spacing w:line="276" w:lineRule="auto"/>
              <w:jc w:val="center"/>
              <w:rPr>
                <w:rFonts w:cs="Arial"/>
                <w:lang w:val="en-GB"/>
              </w:rPr>
            </w:pPr>
            <w:r w:rsidRPr="00E24C4B">
              <w:rPr>
                <w:rFonts w:cs="Arial"/>
                <w:lang w:val="en-GB"/>
              </w:rPr>
              <w:t>Meanlog: 3.085</w:t>
            </w:r>
          </w:p>
          <w:p w14:paraId="5FB59251" w14:textId="77777777" w:rsidR="00162D8D" w:rsidRPr="00E24C4B" w:rsidRDefault="00162D8D" w:rsidP="00E24C4B">
            <w:pPr>
              <w:spacing w:line="276" w:lineRule="auto"/>
              <w:jc w:val="center"/>
              <w:rPr>
                <w:rFonts w:cs="Arial"/>
                <w:lang w:val="en-GB"/>
              </w:rPr>
            </w:pPr>
            <w:r w:rsidRPr="00E24C4B">
              <w:rPr>
                <w:rFonts w:cs="Arial"/>
                <w:lang w:val="en-GB"/>
              </w:rPr>
              <w:t>Sdlog: 0.282</w:t>
            </w:r>
          </w:p>
          <w:p w14:paraId="53BB1AD2" w14:textId="0A564BD4" w:rsidR="00E24C4B" w:rsidRPr="00E24C4B" w:rsidRDefault="00162D8D" w:rsidP="00E24C4B">
            <w:pPr>
              <w:spacing w:line="276" w:lineRule="auto"/>
              <w:jc w:val="center"/>
              <w:rPr>
                <w:rFonts w:cs="Arial"/>
                <w:lang w:val="en-GB"/>
              </w:rPr>
            </w:pPr>
            <w:r w:rsidRPr="00E24C4B">
              <w:rPr>
                <w:rFonts w:cs="Arial"/>
                <w:lang w:val="en-GB"/>
              </w:rPr>
              <w:t>Theta: -0.141</w:t>
            </w:r>
          </w:p>
        </w:tc>
        <w:tc>
          <w:tcPr>
            <w:tcW w:w="2409" w:type="dxa"/>
            <w:noWrap/>
            <w:vAlign w:val="center"/>
          </w:tcPr>
          <w:p w14:paraId="4C00CB9F" w14:textId="77777777" w:rsidR="00162D8D" w:rsidRPr="00E24C4B" w:rsidRDefault="00162D8D" w:rsidP="00E24C4B">
            <w:pPr>
              <w:spacing w:line="276" w:lineRule="auto"/>
              <w:jc w:val="center"/>
              <w:rPr>
                <w:rFonts w:eastAsia="Times New Roman" w:cs="Arial"/>
                <w:lang w:val="en-GB" w:eastAsia="it-IT"/>
              </w:rPr>
            </w:pPr>
            <w:r w:rsidRPr="00E24C4B">
              <w:rPr>
                <w:rFonts w:cs="Arial"/>
                <w:lang w:val="en-GB"/>
              </w:rPr>
              <w:t>Cholesky decomposition of the covariance matrix</w:t>
            </w:r>
          </w:p>
        </w:tc>
        <w:tc>
          <w:tcPr>
            <w:tcW w:w="2410" w:type="dxa"/>
            <w:vAlign w:val="center"/>
          </w:tcPr>
          <w:p w14:paraId="55906ABA" w14:textId="44CF2A7F" w:rsidR="00162D8D" w:rsidRPr="00E24C4B" w:rsidRDefault="00162D8D" w:rsidP="001007F0">
            <w:pPr>
              <w:spacing w:line="276" w:lineRule="auto"/>
              <w:jc w:val="center"/>
              <w:rPr>
                <w:rFonts w:cs="Arial"/>
                <w:lang w:val="en-GB"/>
              </w:rPr>
            </w:pPr>
            <w:r w:rsidRPr="00E24C4B">
              <w:rPr>
                <w:rFonts w:cs="Arial"/>
                <w:lang w:val="en-GB"/>
              </w:rPr>
              <w:t>-</w:t>
            </w:r>
          </w:p>
        </w:tc>
        <w:tc>
          <w:tcPr>
            <w:tcW w:w="2552" w:type="dxa"/>
            <w:noWrap/>
            <w:vAlign w:val="center"/>
          </w:tcPr>
          <w:p w14:paraId="205B44DA" w14:textId="62D65DAF" w:rsidR="00162D8D" w:rsidRPr="00E24C4B" w:rsidRDefault="00162D8D" w:rsidP="001007F0">
            <w:pPr>
              <w:spacing w:line="276" w:lineRule="auto"/>
              <w:rPr>
                <w:rFonts w:cs="Arial"/>
                <w:lang w:val="en-GB"/>
              </w:rPr>
            </w:pPr>
            <w:r w:rsidRPr="00E24C4B">
              <w:rPr>
                <w:rFonts w:eastAsia="Calibri" w:cs="Arial"/>
                <w:iCs/>
                <w:lang w:val="en-GB" w:eastAsia="it-IT" w:bidi="it-IT"/>
              </w:rPr>
              <w:t>ECOG-ACRIN E1910</w:t>
            </w:r>
            <w:r w:rsidR="00557AD1">
              <w:rPr>
                <w:rFonts w:eastAsia="Calibri" w:cs="Arial"/>
                <w:iCs/>
                <w:lang w:val="en-GB" w:eastAsia="it-IT" w:bidi="it-IT"/>
              </w:rPr>
              <w:t>*</w:t>
            </w:r>
          </w:p>
        </w:tc>
      </w:tr>
      <w:tr w:rsidR="00811425" w:rsidRPr="008849A6" w14:paraId="4179E633" w14:textId="77777777" w:rsidTr="001007F0">
        <w:trPr>
          <w:trHeight w:val="20"/>
        </w:trPr>
        <w:tc>
          <w:tcPr>
            <w:tcW w:w="14596" w:type="dxa"/>
            <w:gridSpan w:val="5"/>
            <w:shd w:val="clear" w:color="auto" w:fill="F2F2F2" w:themeFill="background1" w:themeFillShade="F2"/>
          </w:tcPr>
          <w:p w14:paraId="3F51D58A" w14:textId="77777777" w:rsidR="005C5436" w:rsidRPr="00E24C4B" w:rsidRDefault="005C5436" w:rsidP="001007F0">
            <w:pPr>
              <w:spacing w:line="276" w:lineRule="auto"/>
              <w:rPr>
                <w:rFonts w:cs="Arial"/>
                <w:b/>
                <w:bCs/>
                <w:i/>
                <w:iCs/>
                <w:lang w:val="en-GB"/>
              </w:rPr>
            </w:pPr>
            <w:r w:rsidRPr="00E24C4B">
              <w:rPr>
                <w:rFonts w:cs="Arial"/>
                <w:b/>
                <w:bCs/>
                <w:i/>
                <w:iCs/>
                <w:lang w:val="en-GB"/>
              </w:rPr>
              <w:lastRenderedPageBreak/>
              <w:t>Survival of the general population</w:t>
            </w:r>
          </w:p>
        </w:tc>
      </w:tr>
      <w:tr w:rsidR="002F6056" w:rsidRPr="00066D2A" w14:paraId="5F5D72E1" w14:textId="77777777" w:rsidTr="00B23DFB">
        <w:trPr>
          <w:trHeight w:val="20"/>
        </w:trPr>
        <w:tc>
          <w:tcPr>
            <w:tcW w:w="4470" w:type="dxa"/>
            <w:noWrap/>
            <w:vAlign w:val="center"/>
          </w:tcPr>
          <w:p w14:paraId="7C810EE9" w14:textId="77777777" w:rsidR="002F6056" w:rsidRPr="00E24C4B" w:rsidRDefault="002F6056" w:rsidP="002F6056">
            <w:pPr>
              <w:spacing w:line="276" w:lineRule="auto"/>
              <w:rPr>
                <w:rFonts w:cs="Arial"/>
                <w:lang w:val="en-GB"/>
              </w:rPr>
            </w:pPr>
            <w:r w:rsidRPr="00E24C4B">
              <w:rPr>
                <w:rFonts w:cs="Arial"/>
                <w:lang w:val="en-GB"/>
              </w:rPr>
              <w:t>SMR</w:t>
            </w:r>
          </w:p>
        </w:tc>
        <w:tc>
          <w:tcPr>
            <w:tcW w:w="2755" w:type="dxa"/>
            <w:noWrap/>
            <w:vAlign w:val="center"/>
          </w:tcPr>
          <w:p w14:paraId="7E25FF6B" w14:textId="77777777" w:rsidR="002F6056" w:rsidRPr="00E24C4B" w:rsidRDefault="002F6056" w:rsidP="002F6056">
            <w:pPr>
              <w:spacing w:line="276" w:lineRule="auto"/>
              <w:jc w:val="center"/>
              <w:rPr>
                <w:rFonts w:cs="Arial"/>
                <w:lang w:val="en-GB"/>
              </w:rPr>
            </w:pPr>
            <w:r w:rsidRPr="00E24C4B">
              <w:rPr>
                <w:rFonts w:cs="Arial"/>
                <w:lang w:val="en-GB"/>
              </w:rPr>
              <w:t>1.09</w:t>
            </w:r>
          </w:p>
        </w:tc>
        <w:tc>
          <w:tcPr>
            <w:tcW w:w="2409" w:type="dxa"/>
            <w:noWrap/>
            <w:vAlign w:val="center"/>
          </w:tcPr>
          <w:p w14:paraId="1FF89068" w14:textId="77777777" w:rsidR="002F6056" w:rsidRPr="00E24C4B" w:rsidRDefault="002F6056" w:rsidP="002F6056">
            <w:pPr>
              <w:spacing w:line="276" w:lineRule="auto"/>
              <w:jc w:val="center"/>
              <w:rPr>
                <w:rFonts w:eastAsia="Times New Roman" w:cs="Arial"/>
                <w:lang w:val="en-GB" w:eastAsia="it-IT"/>
              </w:rPr>
            </w:pPr>
            <w:r w:rsidRPr="00E24C4B">
              <w:rPr>
                <w:rFonts w:eastAsia="Times New Roman" w:cs="Arial"/>
                <w:lang w:val="en-GB" w:eastAsia="it-IT"/>
              </w:rPr>
              <w:t>Gamma</w:t>
            </w:r>
          </w:p>
        </w:tc>
        <w:tc>
          <w:tcPr>
            <w:tcW w:w="2410" w:type="dxa"/>
            <w:vAlign w:val="center"/>
          </w:tcPr>
          <w:p w14:paraId="1DC8B3DC" w14:textId="77777777" w:rsidR="002F6056" w:rsidRPr="00E24C4B" w:rsidRDefault="002F6056" w:rsidP="002F6056">
            <w:pPr>
              <w:spacing w:line="276" w:lineRule="auto"/>
              <w:jc w:val="center"/>
              <w:rPr>
                <w:rFonts w:cs="Arial"/>
                <w:iCs/>
                <w:noProof/>
                <w:lang w:val="en-GB"/>
              </w:rPr>
            </w:pPr>
            <w:r w:rsidRPr="00E24C4B">
              <w:rPr>
                <w:rFonts w:cs="Arial"/>
                <w:iCs/>
                <w:noProof/>
                <w:lang w:val="en-GB"/>
              </w:rPr>
              <w:t>0.89 to 1.31</w:t>
            </w:r>
          </w:p>
        </w:tc>
        <w:tc>
          <w:tcPr>
            <w:tcW w:w="2552" w:type="dxa"/>
            <w:noWrap/>
            <w:vAlign w:val="center"/>
          </w:tcPr>
          <w:p w14:paraId="37A8BCBD" w14:textId="4D960699" w:rsidR="002F6056" w:rsidRPr="00E24C4B" w:rsidRDefault="002F6056" w:rsidP="002F6056">
            <w:pPr>
              <w:spacing w:line="276" w:lineRule="auto"/>
              <w:rPr>
                <w:rFonts w:cs="Arial"/>
                <w:iCs/>
                <w:lang w:val="en-GB"/>
              </w:rPr>
            </w:pPr>
            <w:r>
              <w:rPr>
                <w:rFonts w:cs="Arial"/>
                <w:vertAlign w:val="superscript"/>
                <w:lang w:val="en-GB"/>
              </w:rPr>
              <w:t>17,18,4</w:t>
            </w:r>
            <w:r w:rsidR="00843045">
              <w:rPr>
                <w:rFonts w:cs="Arial"/>
                <w:vertAlign w:val="superscript"/>
                <w:lang w:val="en-GB"/>
              </w:rPr>
              <w:t>4</w:t>
            </w:r>
          </w:p>
        </w:tc>
      </w:tr>
      <w:tr w:rsidR="00811425" w:rsidRPr="00066D2A" w14:paraId="26394A67" w14:textId="77777777" w:rsidTr="001007F0">
        <w:trPr>
          <w:trHeight w:val="20"/>
        </w:trPr>
        <w:tc>
          <w:tcPr>
            <w:tcW w:w="14596" w:type="dxa"/>
            <w:gridSpan w:val="5"/>
            <w:shd w:val="clear" w:color="auto" w:fill="F2F2F2" w:themeFill="background1" w:themeFillShade="F2"/>
            <w:noWrap/>
          </w:tcPr>
          <w:p w14:paraId="591C1AB4" w14:textId="0B6AF300" w:rsidR="00B11008" w:rsidRPr="00E24C4B" w:rsidRDefault="00B11008" w:rsidP="001007F0">
            <w:pPr>
              <w:spacing w:line="276" w:lineRule="auto"/>
              <w:rPr>
                <w:rFonts w:cs="Arial"/>
                <w:iCs/>
                <w:noProof/>
                <w:lang w:val="en-GB"/>
              </w:rPr>
            </w:pPr>
            <w:r w:rsidRPr="00E24C4B">
              <w:rPr>
                <w:rFonts w:cs="Arial"/>
                <w:b/>
                <w:bCs/>
                <w:i/>
                <w:lang w:val="en-GB"/>
              </w:rPr>
              <w:t>% pre-relapse HSCT</w:t>
            </w:r>
          </w:p>
        </w:tc>
      </w:tr>
      <w:tr w:rsidR="00811425" w:rsidRPr="00066D2A" w14:paraId="5F0916BD" w14:textId="77777777" w:rsidTr="00F4088B">
        <w:trPr>
          <w:trHeight w:val="20"/>
        </w:trPr>
        <w:tc>
          <w:tcPr>
            <w:tcW w:w="4470" w:type="dxa"/>
            <w:noWrap/>
            <w:vAlign w:val="center"/>
          </w:tcPr>
          <w:p w14:paraId="345891F6" w14:textId="63CB4472" w:rsidR="00B11008" w:rsidRPr="00E24C4B" w:rsidRDefault="00B11008" w:rsidP="001007F0">
            <w:pPr>
              <w:spacing w:line="276" w:lineRule="auto"/>
              <w:rPr>
                <w:rFonts w:cs="Arial"/>
                <w:lang w:val="en-GB"/>
              </w:rPr>
            </w:pPr>
            <w:r w:rsidRPr="00E24C4B">
              <w:rPr>
                <w:rFonts w:cs="Arial"/>
                <w:lang w:val="en-GB"/>
              </w:rPr>
              <w:t>Blinatumomab + SoC</w:t>
            </w:r>
          </w:p>
        </w:tc>
        <w:tc>
          <w:tcPr>
            <w:tcW w:w="2755" w:type="dxa"/>
            <w:noWrap/>
            <w:vAlign w:val="center"/>
          </w:tcPr>
          <w:p w14:paraId="44E45452" w14:textId="3DC45B60" w:rsidR="00B11008" w:rsidRPr="00E24C4B" w:rsidRDefault="00B11008" w:rsidP="001007F0">
            <w:pPr>
              <w:spacing w:line="276" w:lineRule="auto"/>
              <w:jc w:val="center"/>
              <w:rPr>
                <w:rFonts w:cs="Arial"/>
                <w:lang w:val="en-GB"/>
              </w:rPr>
            </w:pPr>
            <w:r w:rsidRPr="00E24C4B">
              <w:rPr>
                <w:rFonts w:cs="Arial"/>
                <w:lang w:val="en-GB"/>
              </w:rPr>
              <w:t>22.32%</w:t>
            </w:r>
          </w:p>
        </w:tc>
        <w:tc>
          <w:tcPr>
            <w:tcW w:w="2409" w:type="dxa"/>
            <w:noWrap/>
            <w:vAlign w:val="center"/>
          </w:tcPr>
          <w:p w14:paraId="0683B259" w14:textId="5A8EBA4E" w:rsidR="00B11008" w:rsidRPr="00E24C4B" w:rsidRDefault="00B11008" w:rsidP="001007F0">
            <w:pPr>
              <w:spacing w:line="276" w:lineRule="auto"/>
              <w:jc w:val="center"/>
              <w:rPr>
                <w:rFonts w:eastAsia="Times New Roman" w:cs="Arial"/>
                <w:lang w:val="en-GB" w:eastAsia="it-IT"/>
              </w:rPr>
            </w:pPr>
            <w:r w:rsidRPr="00E24C4B">
              <w:rPr>
                <w:rFonts w:eastAsia="Times New Roman" w:cs="Arial"/>
                <w:lang w:val="en-GB" w:eastAsia="it-IT"/>
              </w:rPr>
              <w:t>Beta</w:t>
            </w:r>
          </w:p>
        </w:tc>
        <w:tc>
          <w:tcPr>
            <w:tcW w:w="2410" w:type="dxa"/>
          </w:tcPr>
          <w:p w14:paraId="055DAAAC" w14:textId="5A7392A2" w:rsidR="00B11008" w:rsidRPr="00E24C4B" w:rsidRDefault="00B11008" w:rsidP="001007F0">
            <w:pPr>
              <w:spacing w:line="276" w:lineRule="auto"/>
              <w:jc w:val="center"/>
              <w:rPr>
                <w:rFonts w:cs="Arial"/>
                <w:iCs/>
                <w:noProof/>
                <w:lang w:val="en-GB"/>
              </w:rPr>
            </w:pPr>
            <w:r w:rsidRPr="00E24C4B">
              <w:rPr>
                <w:rFonts w:eastAsia="Calibri" w:cs="Arial"/>
                <w:iCs/>
                <w:lang w:val="en-GB" w:eastAsia="it-IT" w:bidi="it-IT"/>
              </w:rPr>
              <w:t>18.11</w:t>
            </w:r>
            <w:r w:rsidRPr="00E24C4B">
              <w:rPr>
                <w:rFonts w:cs="Arial"/>
                <w:iCs/>
                <w:lang w:val="en-GB"/>
              </w:rPr>
              <w:t>%</w:t>
            </w:r>
            <w:r w:rsidRPr="00E24C4B">
              <w:rPr>
                <w:rFonts w:eastAsia="Calibri" w:cs="Arial"/>
                <w:iCs/>
                <w:lang w:val="en-GB" w:eastAsia="it-IT" w:bidi="it-IT"/>
              </w:rPr>
              <w:t xml:space="preserve"> to 26.83</w:t>
            </w:r>
            <w:r w:rsidRPr="00E24C4B">
              <w:rPr>
                <w:rFonts w:cs="Arial"/>
                <w:iCs/>
                <w:lang w:val="en-GB"/>
              </w:rPr>
              <w:t>%</w:t>
            </w:r>
          </w:p>
        </w:tc>
        <w:tc>
          <w:tcPr>
            <w:tcW w:w="2552" w:type="dxa"/>
            <w:noWrap/>
            <w:vAlign w:val="center"/>
          </w:tcPr>
          <w:p w14:paraId="75692DA5" w14:textId="54D4E81A" w:rsidR="00B11008" w:rsidRPr="00E24C4B" w:rsidRDefault="00B11008" w:rsidP="001007F0">
            <w:pPr>
              <w:spacing w:line="276" w:lineRule="auto"/>
              <w:rPr>
                <w:rFonts w:cs="Arial"/>
                <w:iCs/>
                <w:noProof/>
                <w:lang w:val="en-GB"/>
              </w:rPr>
            </w:pPr>
            <w:r w:rsidRPr="00E24C4B">
              <w:rPr>
                <w:rFonts w:eastAsia="Calibri" w:cs="Arial"/>
                <w:iCs/>
                <w:lang w:val="en-GB" w:eastAsia="it-IT" w:bidi="it-IT"/>
              </w:rPr>
              <w:t>ECOG-ACRIN E1910</w:t>
            </w:r>
            <w:r w:rsidR="00557AD1">
              <w:rPr>
                <w:rFonts w:eastAsia="Calibri" w:cs="Arial"/>
                <w:iCs/>
                <w:lang w:val="en-GB" w:eastAsia="it-IT" w:bidi="it-IT"/>
              </w:rPr>
              <w:t>*</w:t>
            </w:r>
          </w:p>
        </w:tc>
      </w:tr>
      <w:tr w:rsidR="00811425" w:rsidRPr="00066D2A" w14:paraId="58B53E79" w14:textId="77777777" w:rsidTr="00F4088B">
        <w:trPr>
          <w:trHeight w:val="20"/>
        </w:trPr>
        <w:tc>
          <w:tcPr>
            <w:tcW w:w="4470" w:type="dxa"/>
            <w:noWrap/>
            <w:vAlign w:val="center"/>
          </w:tcPr>
          <w:p w14:paraId="7171F7CC" w14:textId="080DAC8C" w:rsidR="00B11008" w:rsidRPr="00E24C4B" w:rsidRDefault="00B11008" w:rsidP="001007F0">
            <w:pPr>
              <w:spacing w:line="276" w:lineRule="auto"/>
              <w:rPr>
                <w:rFonts w:cs="Arial"/>
                <w:lang w:val="en-GB"/>
              </w:rPr>
            </w:pPr>
            <w:r w:rsidRPr="00E24C4B">
              <w:rPr>
                <w:rFonts w:cs="Arial"/>
                <w:lang w:val="en-GB"/>
              </w:rPr>
              <w:t>SoC</w:t>
            </w:r>
          </w:p>
        </w:tc>
        <w:tc>
          <w:tcPr>
            <w:tcW w:w="2755" w:type="dxa"/>
            <w:noWrap/>
            <w:vAlign w:val="center"/>
          </w:tcPr>
          <w:p w14:paraId="3C3C4D2A" w14:textId="4106B8BA" w:rsidR="00B11008" w:rsidRPr="00E24C4B" w:rsidRDefault="00B11008" w:rsidP="001007F0">
            <w:pPr>
              <w:spacing w:line="276" w:lineRule="auto"/>
              <w:jc w:val="center"/>
              <w:rPr>
                <w:rFonts w:cs="Arial"/>
                <w:lang w:val="en-GB"/>
              </w:rPr>
            </w:pPr>
            <w:r w:rsidRPr="00E24C4B">
              <w:rPr>
                <w:rFonts w:cs="Arial"/>
                <w:lang w:val="en-GB"/>
              </w:rPr>
              <w:t>25.00%</w:t>
            </w:r>
          </w:p>
        </w:tc>
        <w:tc>
          <w:tcPr>
            <w:tcW w:w="2409" w:type="dxa"/>
            <w:noWrap/>
            <w:vAlign w:val="center"/>
          </w:tcPr>
          <w:p w14:paraId="70690811" w14:textId="4F62877D" w:rsidR="00B11008" w:rsidRPr="00E24C4B" w:rsidRDefault="00B11008" w:rsidP="001007F0">
            <w:pPr>
              <w:spacing w:line="276" w:lineRule="auto"/>
              <w:jc w:val="center"/>
              <w:rPr>
                <w:rFonts w:eastAsia="Times New Roman" w:cs="Arial"/>
                <w:lang w:val="en-GB" w:eastAsia="it-IT"/>
              </w:rPr>
            </w:pPr>
            <w:r w:rsidRPr="00E24C4B">
              <w:rPr>
                <w:rFonts w:eastAsia="Times New Roman" w:cs="Arial"/>
                <w:lang w:val="en-GB" w:eastAsia="it-IT"/>
              </w:rPr>
              <w:t>Beta</w:t>
            </w:r>
          </w:p>
        </w:tc>
        <w:tc>
          <w:tcPr>
            <w:tcW w:w="2410" w:type="dxa"/>
          </w:tcPr>
          <w:p w14:paraId="08675CC8" w14:textId="73AB66C7" w:rsidR="00B11008" w:rsidRPr="00E24C4B" w:rsidRDefault="00B11008" w:rsidP="001007F0">
            <w:pPr>
              <w:spacing w:line="276" w:lineRule="auto"/>
              <w:jc w:val="center"/>
              <w:rPr>
                <w:rFonts w:cs="Arial"/>
                <w:iCs/>
                <w:noProof/>
                <w:lang w:val="en-GB"/>
              </w:rPr>
            </w:pPr>
            <w:r w:rsidRPr="00E24C4B">
              <w:rPr>
                <w:rFonts w:cs="Arial"/>
                <w:iCs/>
                <w:lang w:val="en-GB"/>
              </w:rPr>
              <w:t>20.27% to 30.04%</w:t>
            </w:r>
          </w:p>
        </w:tc>
        <w:tc>
          <w:tcPr>
            <w:tcW w:w="2552" w:type="dxa"/>
            <w:noWrap/>
            <w:vAlign w:val="center"/>
          </w:tcPr>
          <w:p w14:paraId="005F07A7" w14:textId="06D90C02" w:rsidR="00B11008" w:rsidRPr="00E24C4B" w:rsidRDefault="00B11008" w:rsidP="001007F0">
            <w:pPr>
              <w:spacing w:line="276" w:lineRule="auto"/>
              <w:rPr>
                <w:rFonts w:cs="Arial"/>
                <w:iCs/>
                <w:noProof/>
                <w:lang w:val="en-GB"/>
              </w:rPr>
            </w:pPr>
            <w:r w:rsidRPr="00E24C4B">
              <w:rPr>
                <w:rFonts w:eastAsia="Calibri" w:cs="Arial"/>
                <w:iCs/>
                <w:lang w:val="en-GB" w:eastAsia="it-IT" w:bidi="it-IT"/>
              </w:rPr>
              <w:t>ECOG-ACRIN E1910</w:t>
            </w:r>
            <w:r w:rsidR="00557AD1">
              <w:rPr>
                <w:rFonts w:eastAsia="Calibri" w:cs="Arial"/>
                <w:iCs/>
                <w:lang w:val="en-GB" w:eastAsia="it-IT" w:bidi="it-IT"/>
              </w:rPr>
              <w:t>*</w:t>
            </w:r>
          </w:p>
        </w:tc>
      </w:tr>
      <w:tr w:rsidR="00811425" w:rsidRPr="00066D2A" w14:paraId="679FF719" w14:textId="77777777" w:rsidTr="00B11008">
        <w:trPr>
          <w:trHeight w:val="20"/>
        </w:trPr>
        <w:tc>
          <w:tcPr>
            <w:tcW w:w="14596" w:type="dxa"/>
            <w:gridSpan w:val="5"/>
            <w:shd w:val="clear" w:color="auto" w:fill="BFBFBF" w:themeFill="background1" w:themeFillShade="BF"/>
          </w:tcPr>
          <w:p w14:paraId="48225191" w14:textId="2D137E25" w:rsidR="005C5436" w:rsidRPr="00E24C4B" w:rsidDel="007F5A15" w:rsidRDefault="009D38C0" w:rsidP="001007F0">
            <w:pPr>
              <w:spacing w:line="276" w:lineRule="auto"/>
              <w:rPr>
                <w:rFonts w:eastAsia="Times New Roman" w:cs="Arial"/>
                <w:lang w:val="en-GB" w:eastAsia="it-IT"/>
              </w:rPr>
            </w:pPr>
            <w:r w:rsidRPr="00E24C4B">
              <w:rPr>
                <w:rFonts w:cs="Arial"/>
                <w:b/>
                <w:bCs/>
                <w:lang w:val="en-GB"/>
              </w:rPr>
              <w:t xml:space="preserve">Safety </w:t>
            </w:r>
            <w:r w:rsidR="00DD5656" w:rsidRPr="00E24C4B">
              <w:rPr>
                <w:rFonts w:cs="Arial"/>
                <w:b/>
                <w:bCs/>
                <w:lang w:val="en-GB"/>
              </w:rPr>
              <w:t xml:space="preserve">Parameters </w:t>
            </w:r>
          </w:p>
        </w:tc>
      </w:tr>
      <w:tr w:rsidR="00811425" w:rsidRPr="00066D2A" w14:paraId="659478D9" w14:textId="77777777" w:rsidTr="001007F0">
        <w:trPr>
          <w:trHeight w:val="20"/>
        </w:trPr>
        <w:tc>
          <w:tcPr>
            <w:tcW w:w="14596" w:type="dxa"/>
            <w:gridSpan w:val="5"/>
            <w:shd w:val="clear" w:color="auto" w:fill="F2F2F2" w:themeFill="background1" w:themeFillShade="F2"/>
          </w:tcPr>
          <w:p w14:paraId="012AE4B4" w14:textId="529DB0D1" w:rsidR="00BD2621" w:rsidRPr="00E24C4B" w:rsidRDefault="00F74D06" w:rsidP="001007F0">
            <w:pPr>
              <w:spacing w:line="276" w:lineRule="auto"/>
              <w:rPr>
                <w:rFonts w:cs="Arial"/>
                <w:b/>
                <w:bCs/>
                <w:i/>
                <w:iCs/>
                <w:lang w:val="en-GB"/>
              </w:rPr>
            </w:pPr>
            <w:r w:rsidRPr="00E24C4B">
              <w:rPr>
                <w:rFonts w:cs="Arial"/>
                <w:b/>
                <w:bCs/>
                <w:i/>
                <w:iCs/>
                <w:lang w:val="en-GB"/>
              </w:rPr>
              <w:t xml:space="preserve">Cost of </w:t>
            </w:r>
            <w:r w:rsidR="00DD5656" w:rsidRPr="00E24C4B">
              <w:rPr>
                <w:rFonts w:cs="Arial"/>
                <w:b/>
                <w:bCs/>
                <w:i/>
                <w:iCs/>
                <w:lang w:val="en-GB"/>
              </w:rPr>
              <w:t>AEs</w:t>
            </w:r>
            <w:r w:rsidRPr="00E24C4B">
              <w:rPr>
                <w:rFonts w:cs="Arial"/>
                <w:b/>
                <w:bCs/>
                <w:i/>
                <w:iCs/>
                <w:lang w:val="en-GB"/>
              </w:rPr>
              <w:t xml:space="preserve"> management</w:t>
            </w:r>
          </w:p>
        </w:tc>
      </w:tr>
      <w:tr w:rsidR="00811425" w:rsidRPr="00066D2A" w14:paraId="6FB94BF4" w14:textId="77777777" w:rsidTr="0042599F">
        <w:trPr>
          <w:trHeight w:val="20"/>
        </w:trPr>
        <w:tc>
          <w:tcPr>
            <w:tcW w:w="4470" w:type="dxa"/>
            <w:noWrap/>
            <w:vAlign w:val="center"/>
          </w:tcPr>
          <w:p w14:paraId="7ED76899" w14:textId="563B5404" w:rsidR="00B11008" w:rsidRPr="00E24C4B" w:rsidDel="007F5A15" w:rsidRDefault="00B11008" w:rsidP="001007F0">
            <w:pPr>
              <w:spacing w:line="276" w:lineRule="auto"/>
              <w:rPr>
                <w:rFonts w:cs="Arial"/>
                <w:lang w:val="en-GB"/>
              </w:rPr>
            </w:pPr>
            <w:r w:rsidRPr="00E24C4B">
              <w:rPr>
                <w:rFonts w:cs="Arial"/>
                <w:lang w:val="en-GB"/>
              </w:rPr>
              <w:t>Alanine aminotransferase increased</w:t>
            </w:r>
          </w:p>
        </w:tc>
        <w:tc>
          <w:tcPr>
            <w:tcW w:w="2755" w:type="dxa"/>
            <w:noWrap/>
            <w:vAlign w:val="center"/>
          </w:tcPr>
          <w:p w14:paraId="28D4B2B7" w14:textId="2AFF2BC8" w:rsidR="00B11008" w:rsidRPr="00E24C4B" w:rsidDel="007F5A15" w:rsidRDefault="00B11008" w:rsidP="001007F0">
            <w:pPr>
              <w:spacing w:line="276" w:lineRule="auto"/>
              <w:jc w:val="center"/>
              <w:rPr>
                <w:rFonts w:eastAsia="Times New Roman" w:cs="Arial"/>
                <w:lang w:val="en-GB" w:eastAsia="it-IT"/>
              </w:rPr>
            </w:pPr>
            <w:r w:rsidRPr="00E24C4B">
              <w:rPr>
                <w:rFonts w:eastAsia="Times New Roman" w:cs="Arial"/>
                <w:lang w:val="en-GB" w:eastAsia="it-IT"/>
              </w:rPr>
              <w:t>€20.66</w:t>
            </w:r>
          </w:p>
        </w:tc>
        <w:tc>
          <w:tcPr>
            <w:tcW w:w="2409" w:type="dxa"/>
            <w:noWrap/>
            <w:vAlign w:val="center"/>
          </w:tcPr>
          <w:p w14:paraId="53C276EA" w14:textId="26695B6A" w:rsidR="00B11008" w:rsidRPr="00E24C4B" w:rsidDel="007F5A15" w:rsidRDefault="00B11008" w:rsidP="001007F0">
            <w:pPr>
              <w:spacing w:line="276" w:lineRule="auto"/>
              <w:jc w:val="center"/>
              <w:rPr>
                <w:rFonts w:eastAsia="Times New Roman" w:cs="Arial"/>
                <w:lang w:val="en-GB" w:eastAsia="it-IT"/>
              </w:rPr>
            </w:pPr>
            <w:r w:rsidRPr="00E24C4B">
              <w:rPr>
                <w:rFonts w:cs="Arial"/>
                <w:lang w:val="en-GB"/>
              </w:rPr>
              <w:t>Gamma</w:t>
            </w:r>
          </w:p>
        </w:tc>
        <w:tc>
          <w:tcPr>
            <w:tcW w:w="2410" w:type="dxa"/>
            <w:vAlign w:val="center"/>
          </w:tcPr>
          <w:p w14:paraId="6658CBFF" w14:textId="2AC6AA28" w:rsidR="00B11008" w:rsidRPr="00E24C4B" w:rsidRDefault="00B11008" w:rsidP="001007F0">
            <w:pPr>
              <w:spacing w:line="276" w:lineRule="auto"/>
              <w:jc w:val="center"/>
              <w:rPr>
                <w:rFonts w:eastAsia="Times New Roman" w:cs="Arial"/>
                <w:highlight w:val="cyan"/>
                <w:lang w:val="en-GB" w:eastAsia="it-IT"/>
              </w:rPr>
            </w:pPr>
            <w:r w:rsidRPr="00E24C4B">
              <w:rPr>
                <w:rFonts w:cs="Arial"/>
                <w:lang w:val="en-GB"/>
              </w:rPr>
              <w:t>€16.81 to €24.90</w:t>
            </w:r>
          </w:p>
        </w:tc>
        <w:tc>
          <w:tcPr>
            <w:tcW w:w="2552" w:type="dxa"/>
            <w:noWrap/>
            <w:vAlign w:val="center"/>
          </w:tcPr>
          <w:p w14:paraId="7796D012" w14:textId="7759D0FA" w:rsidR="00B11008" w:rsidRPr="00E24C4B" w:rsidDel="007F5A15" w:rsidRDefault="00B11008" w:rsidP="001007F0">
            <w:pPr>
              <w:spacing w:line="276" w:lineRule="auto"/>
              <w:rPr>
                <w:rFonts w:eastAsia="Times New Roman" w:cs="Arial"/>
                <w:highlight w:val="yellow"/>
                <w:lang w:val="en-GB" w:eastAsia="it-IT"/>
              </w:rPr>
            </w:pPr>
            <w:r w:rsidRPr="00E24C4B">
              <w:rPr>
                <w:rFonts w:cs="Arial"/>
                <w:lang w:val="en-GB"/>
              </w:rPr>
              <w:t>Specialist visit tariff</w:t>
            </w:r>
            <w:r w:rsidR="002F6056">
              <w:rPr>
                <w:rFonts w:cs="Arial"/>
                <w:vertAlign w:val="superscript"/>
                <w:lang w:val="en-GB"/>
              </w:rPr>
              <w:t>32</w:t>
            </w:r>
          </w:p>
        </w:tc>
      </w:tr>
      <w:tr w:rsidR="00811425" w:rsidRPr="00066D2A" w14:paraId="4BD321C0" w14:textId="77777777" w:rsidTr="0042599F">
        <w:trPr>
          <w:trHeight w:val="20"/>
        </w:trPr>
        <w:tc>
          <w:tcPr>
            <w:tcW w:w="4470" w:type="dxa"/>
            <w:noWrap/>
            <w:vAlign w:val="center"/>
          </w:tcPr>
          <w:p w14:paraId="32A3D4F0" w14:textId="79E4D851" w:rsidR="00001447" w:rsidRPr="00E24C4B" w:rsidRDefault="00001447" w:rsidP="001007F0">
            <w:pPr>
              <w:spacing w:line="276" w:lineRule="auto"/>
              <w:rPr>
                <w:rFonts w:cs="Arial"/>
                <w:lang w:val="en-GB"/>
              </w:rPr>
            </w:pPr>
            <w:r w:rsidRPr="00E24C4B">
              <w:rPr>
                <w:rFonts w:cs="Arial"/>
                <w:lang w:val="en-GB"/>
              </w:rPr>
              <w:t>Anaemia</w:t>
            </w:r>
          </w:p>
        </w:tc>
        <w:tc>
          <w:tcPr>
            <w:tcW w:w="2755" w:type="dxa"/>
            <w:noWrap/>
          </w:tcPr>
          <w:p w14:paraId="522CDA6C" w14:textId="21894391" w:rsidR="00001447" w:rsidRPr="00E24C4B" w:rsidRDefault="00001447" w:rsidP="001007F0">
            <w:pPr>
              <w:spacing w:line="276" w:lineRule="auto"/>
              <w:jc w:val="center"/>
              <w:rPr>
                <w:rFonts w:eastAsia="Times New Roman" w:cs="Arial"/>
                <w:lang w:val="en-GB" w:eastAsia="it-IT"/>
              </w:rPr>
            </w:pPr>
            <w:r w:rsidRPr="00E24C4B">
              <w:rPr>
                <w:rFonts w:eastAsia="Times New Roman" w:cs="Arial"/>
                <w:lang w:val="en-GB" w:eastAsia="it-IT"/>
              </w:rPr>
              <w:t>€3,061.86</w:t>
            </w:r>
          </w:p>
        </w:tc>
        <w:tc>
          <w:tcPr>
            <w:tcW w:w="2409" w:type="dxa"/>
            <w:noWrap/>
          </w:tcPr>
          <w:p w14:paraId="0B54C280" w14:textId="6B1C96BC" w:rsidR="00001447" w:rsidRPr="00E24C4B" w:rsidRDefault="00001447" w:rsidP="001007F0">
            <w:pPr>
              <w:spacing w:line="276" w:lineRule="auto"/>
              <w:jc w:val="center"/>
              <w:rPr>
                <w:rFonts w:cs="Arial"/>
                <w:lang w:val="en-GB"/>
              </w:rPr>
            </w:pPr>
            <w:r w:rsidRPr="00E24C4B">
              <w:rPr>
                <w:rFonts w:cs="Arial"/>
                <w:lang w:val="en-GB"/>
              </w:rPr>
              <w:t>Gamma</w:t>
            </w:r>
          </w:p>
        </w:tc>
        <w:tc>
          <w:tcPr>
            <w:tcW w:w="2410" w:type="dxa"/>
            <w:vAlign w:val="center"/>
          </w:tcPr>
          <w:p w14:paraId="4DB66B56" w14:textId="0B2F5E10" w:rsidR="00001447" w:rsidRPr="00E24C4B" w:rsidRDefault="00001447" w:rsidP="001007F0">
            <w:pPr>
              <w:spacing w:line="276" w:lineRule="auto"/>
              <w:jc w:val="center"/>
              <w:rPr>
                <w:rFonts w:eastAsia="Times New Roman" w:cs="Arial"/>
                <w:highlight w:val="cyan"/>
                <w:lang w:val="en-GB" w:eastAsia="it-IT"/>
              </w:rPr>
            </w:pPr>
            <w:r w:rsidRPr="00E24C4B">
              <w:rPr>
                <w:rFonts w:cs="Arial"/>
                <w:lang w:val="en-GB"/>
              </w:rPr>
              <w:t>€2,491.25 to €3,690.43</w:t>
            </w:r>
          </w:p>
        </w:tc>
        <w:tc>
          <w:tcPr>
            <w:tcW w:w="2552" w:type="dxa"/>
            <w:noWrap/>
            <w:vAlign w:val="center"/>
          </w:tcPr>
          <w:p w14:paraId="6A409CFA" w14:textId="4BB30BF8" w:rsidR="00001447" w:rsidRPr="00E24C4B" w:rsidRDefault="002F6056" w:rsidP="001007F0">
            <w:pPr>
              <w:spacing w:line="276" w:lineRule="auto"/>
              <w:rPr>
                <w:rFonts w:eastAsia="Times New Roman" w:cs="Arial"/>
                <w:highlight w:val="yellow"/>
                <w:lang w:val="en-GB" w:eastAsia="it-IT"/>
              </w:rPr>
            </w:pPr>
            <w:r>
              <w:rPr>
                <w:rFonts w:cs="Arial"/>
                <w:vertAlign w:val="superscript"/>
                <w:lang w:val="en-US"/>
              </w:rPr>
              <w:t>30</w:t>
            </w:r>
          </w:p>
        </w:tc>
      </w:tr>
      <w:tr w:rsidR="00811425" w:rsidRPr="00066D2A" w14:paraId="37094B14" w14:textId="77777777" w:rsidTr="00B23DFB">
        <w:trPr>
          <w:trHeight w:val="700"/>
        </w:trPr>
        <w:tc>
          <w:tcPr>
            <w:tcW w:w="4470" w:type="dxa"/>
            <w:noWrap/>
            <w:vAlign w:val="center"/>
          </w:tcPr>
          <w:p w14:paraId="7DC2910C" w14:textId="7FD01930" w:rsidR="00001447" w:rsidRPr="00E24C4B" w:rsidDel="007F5A15" w:rsidRDefault="00001447" w:rsidP="001007F0">
            <w:pPr>
              <w:spacing w:line="276" w:lineRule="auto"/>
              <w:rPr>
                <w:rFonts w:cs="Arial"/>
                <w:lang w:val="en-GB"/>
              </w:rPr>
            </w:pPr>
            <w:r w:rsidRPr="00E24C4B">
              <w:rPr>
                <w:rFonts w:cs="Arial"/>
                <w:lang w:val="en-GB"/>
              </w:rPr>
              <w:t>Aphasia</w:t>
            </w:r>
          </w:p>
        </w:tc>
        <w:tc>
          <w:tcPr>
            <w:tcW w:w="2755" w:type="dxa"/>
            <w:noWrap/>
            <w:vAlign w:val="center"/>
          </w:tcPr>
          <w:p w14:paraId="2C437272" w14:textId="78777538" w:rsidR="00001447" w:rsidRPr="00E24C4B" w:rsidDel="007F5A15" w:rsidRDefault="00001447" w:rsidP="001007F0">
            <w:pPr>
              <w:spacing w:line="276" w:lineRule="auto"/>
              <w:jc w:val="center"/>
              <w:rPr>
                <w:rFonts w:eastAsia="Times New Roman" w:cs="Arial"/>
                <w:lang w:val="en-GB" w:eastAsia="it-IT"/>
              </w:rPr>
            </w:pPr>
            <w:r w:rsidRPr="00E24C4B">
              <w:rPr>
                <w:rFonts w:eastAsia="Times New Roman" w:cs="Arial"/>
                <w:lang w:val="en-GB" w:eastAsia="it-IT"/>
              </w:rPr>
              <w:t>€2,850.00</w:t>
            </w:r>
          </w:p>
        </w:tc>
        <w:tc>
          <w:tcPr>
            <w:tcW w:w="2409" w:type="dxa"/>
            <w:noWrap/>
            <w:vAlign w:val="center"/>
          </w:tcPr>
          <w:p w14:paraId="7DDD0352" w14:textId="2FB67153" w:rsidR="00001447" w:rsidRPr="00E24C4B" w:rsidDel="007F5A15" w:rsidRDefault="00001447" w:rsidP="001007F0">
            <w:pPr>
              <w:spacing w:line="276" w:lineRule="auto"/>
              <w:jc w:val="center"/>
              <w:rPr>
                <w:rFonts w:eastAsia="Times New Roman" w:cs="Arial"/>
                <w:lang w:val="en-GB" w:eastAsia="it-IT"/>
              </w:rPr>
            </w:pPr>
            <w:r w:rsidRPr="00E24C4B">
              <w:rPr>
                <w:rFonts w:cs="Arial"/>
                <w:lang w:val="en-GB"/>
              </w:rPr>
              <w:t>Gamma</w:t>
            </w:r>
          </w:p>
        </w:tc>
        <w:tc>
          <w:tcPr>
            <w:tcW w:w="2410" w:type="dxa"/>
            <w:vAlign w:val="center"/>
          </w:tcPr>
          <w:p w14:paraId="22D55827" w14:textId="382F31E4" w:rsidR="00001447" w:rsidRPr="00E24C4B" w:rsidRDefault="00001447" w:rsidP="001007F0">
            <w:pPr>
              <w:spacing w:line="276" w:lineRule="auto"/>
              <w:jc w:val="center"/>
              <w:rPr>
                <w:rFonts w:eastAsia="Times New Roman" w:cs="Arial"/>
                <w:lang w:val="en-GB" w:eastAsia="it-IT"/>
              </w:rPr>
            </w:pPr>
            <w:r w:rsidRPr="00E24C4B">
              <w:rPr>
                <w:rFonts w:cs="Arial"/>
                <w:lang w:val="en-GB"/>
              </w:rPr>
              <w:t>€2,318.87 to €3,435.08</w:t>
            </w:r>
          </w:p>
        </w:tc>
        <w:tc>
          <w:tcPr>
            <w:tcW w:w="2552" w:type="dxa"/>
            <w:noWrap/>
            <w:vAlign w:val="center"/>
          </w:tcPr>
          <w:p w14:paraId="6DA39147" w14:textId="2EDEFA64" w:rsidR="00001447" w:rsidRPr="00E24C4B" w:rsidDel="007F5A15" w:rsidRDefault="00001447" w:rsidP="001007F0">
            <w:pPr>
              <w:spacing w:line="276" w:lineRule="auto"/>
              <w:rPr>
                <w:rFonts w:eastAsia="Times New Roman" w:cs="Arial"/>
                <w:lang w:val="en-GB" w:eastAsia="it-IT"/>
              </w:rPr>
            </w:pPr>
            <w:r w:rsidRPr="00E24C4B">
              <w:rPr>
                <w:rFonts w:cs="Arial"/>
                <w:lang w:val="en-GB"/>
              </w:rPr>
              <w:t>DRG 12</w:t>
            </w:r>
            <w:r w:rsidR="002F6056">
              <w:rPr>
                <w:rFonts w:cs="Arial"/>
                <w:vertAlign w:val="superscript"/>
                <w:lang w:val="en-US"/>
              </w:rPr>
              <w:t>27</w:t>
            </w:r>
          </w:p>
        </w:tc>
      </w:tr>
      <w:tr w:rsidR="00811425" w:rsidRPr="002E1D08" w14:paraId="779DD522" w14:textId="77777777" w:rsidTr="0042599F">
        <w:trPr>
          <w:trHeight w:val="20"/>
        </w:trPr>
        <w:tc>
          <w:tcPr>
            <w:tcW w:w="4470" w:type="dxa"/>
            <w:noWrap/>
            <w:vAlign w:val="center"/>
          </w:tcPr>
          <w:p w14:paraId="7A920286" w14:textId="25EDC193" w:rsidR="00001447" w:rsidRPr="00E24C4B" w:rsidDel="007F5A15" w:rsidRDefault="00001447" w:rsidP="001007F0">
            <w:pPr>
              <w:spacing w:line="276" w:lineRule="auto"/>
              <w:rPr>
                <w:rFonts w:cs="Arial"/>
                <w:lang w:val="en-GB"/>
              </w:rPr>
            </w:pPr>
            <w:r w:rsidRPr="00E24C4B">
              <w:rPr>
                <w:rFonts w:cs="Arial"/>
                <w:lang w:val="en-GB"/>
              </w:rPr>
              <w:t>Aspartate aminotransferase increased</w:t>
            </w:r>
          </w:p>
        </w:tc>
        <w:tc>
          <w:tcPr>
            <w:tcW w:w="2755" w:type="dxa"/>
            <w:noWrap/>
          </w:tcPr>
          <w:p w14:paraId="4E77BABA" w14:textId="51D48653" w:rsidR="00001447" w:rsidRPr="00E24C4B" w:rsidDel="007F5A15" w:rsidRDefault="00001447" w:rsidP="001007F0">
            <w:pPr>
              <w:spacing w:line="276" w:lineRule="auto"/>
              <w:jc w:val="center"/>
              <w:rPr>
                <w:rFonts w:eastAsia="Times New Roman" w:cs="Arial"/>
                <w:lang w:val="en-GB" w:eastAsia="it-IT"/>
              </w:rPr>
            </w:pPr>
            <w:r w:rsidRPr="00E24C4B">
              <w:rPr>
                <w:rFonts w:eastAsia="Times New Roman" w:cs="Arial"/>
                <w:lang w:val="en-GB" w:eastAsia="it-IT"/>
              </w:rPr>
              <w:t>€20.66</w:t>
            </w:r>
          </w:p>
        </w:tc>
        <w:tc>
          <w:tcPr>
            <w:tcW w:w="2409" w:type="dxa"/>
            <w:noWrap/>
          </w:tcPr>
          <w:p w14:paraId="4A495179" w14:textId="26B3F030" w:rsidR="00001447" w:rsidRPr="00E24C4B" w:rsidDel="007F5A15" w:rsidRDefault="00001447" w:rsidP="001007F0">
            <w:pPr>
              <w:spacing w:line="276" w:lineRule="auto"/>
              <w:jc w:val="center"/>
              <w:rPr>
                <w:rFonts w:eastAsia="Times New Roman" w:cs="Arial"/>
                <w:lang w:val="en-GB" w:eastAsia="it-IT"/>
              </w:rPr>
            </w:pPr>
            <w:r w:rsidRPr="00E24C4B">
              <w:rPr>
                <w:rFonts w:cs="Arial"/>
                <w:lang w:val="en-GB"/>
              </w:rPr>
              <w:t>Gamma</w:t>
            </w:r>
          </w:p>
        </w:tc>
        <w:tc>
          <w:tcPr>
            <w:tcW w:w="2410" w:type="dxa"/>
            <w:vAlign w:val="center"/>
          </w:tcPr>
          <w:p w14:paraId="79C76340" w14:textId="62192669" w:rsidR="00001447" w:rsidRPr="00E24C4B" w:rsidRDefault="00001447" w:rsidP="001007F0">
            <w:pPr>
              <w:spacing w:line="276" w:lineRule="auto"/>
              <w:jc w:val="center"/>
              <w:rPr>
                <w:rFonts w:eastAsia="Times New Roman" w:cs="Arial"/>
                <w:highlight w:val="cyan"/>
                <w:lang w:val="en-GB" w:eastAsia="it-IT"/>
              </w:rPr>
            </w:pPr>
            <w:r w:rsidRPr="00E24C4B">
              <w:rPr>
                <w:rFonts w:cs="Arial"/>
                <w:lang w:val="en-GB"/>
              </w:rPr>
              <w:t>€16.81 to €24.90</w:t>
            </w:r>
          </w:p>
        </w:tc>
        <w:tc>
          <w:tcPr>
            <w:tcW w:w="2552" w:type="dxa"/>
            <w:noWrap/>
            <w:vAlign w:val="center"/>
          </w:tcPr>
          <w:p w14:paraId="71377559" w14:textId="3B38AB3D" w:rsidR="00001447" w:rsidRPr="00E24C4B" w:rsidDel="007F5A15" w:rsidRDefault="007575C4" w:rsidP="001007F0">
            <w:pPr>
              <w:spacing w:line="276" w:lineRule="auto"/>
              <w:rPr>
                <w:rFonts w:eastAsia="Times New Roman" w:cs="Arial"/>
                <w:highlight w:val="yellow"/>
                <w:lang w:val="en-GB" w:eastAsia="it-IT"/>
              </w:rPr>
            </w:pPr>
            <w:r w:rsidRPr="00E24C4B">
              <w:rPr>
                <w:rFonts w:cs="Arial"/>
                <w:lang w:val="en-GB"/>
              </w:rPr>
              <w:t>Specialist visit tariff</w:t>
            </w:r>
            <w:r w:rsidR="002F6056">
              <w:rPr>
                <w:rFonts w:cs="Arial"/>
                <w:vertAlign w:val="superscript"/>
              </w:rPr>
              <w:t>32</w:t>
            </w:r>
          </w:p>
        </w:tc>
      </w:tr>
      <w:tr w:rsidR="00811425" w:rsidRPr="002E1D08" w14:paraId="005E6F7C" w14:textId="77777777" w:rsidTr="0042599F">
        <w:trPr>
          <w:trHeight w:val="20"/>
        </w:trPr>
        <w:tc>
          <w:tcPr>
            <w:tcW w:w="4470" w:type="dxa"/>
            <w:noWrap/>
            <w:vAlign w:val="center"/>
          </w:tcPr>
          <w:p w14:paraId="7D0678A7" w14:textId="14EEF1A1" w:rsidR="00001447" w:rsidRPr="00E24C4B" w:rsidDel="007F5A15" w:rsidRDefault="00001447" w:rsidP="001007F0">
            <w:pPr>
              <w:spacing w:line="276" w:lineRule="auto"/>
              <w:rPr>
                <w:rFonts w:cs="Arial"/>
                <w:lang w:val="en-GB"/>
              </w:rPr>
            </w:pPr>
            <w:r w:rsidRPr="00E24C4B">
              <w:rPr>
                <w:rFonts w:cs="Arial"/>
                <w:lang w:val="en-GB"/>
              </w:rPr>
              <w:t xml:space="preserve">Cytokine </w:t>
            </w:r>
            <w:r w:rsidR="000B4C8C" w:rsidRPr="00E24C4B">
              <w:rPr>
                <w:rFonts w:cs="Arial"/>
                <w:lang w:val="en-GB"/>
              </w:rPr>
              <w:t>release</w:t>
            </w:r>
            <w:r w:rsidRPr="00E24C4B">
              <w:rPr>
                <w:rFonts w:cs="Arial"/>
                <w:lang w:val="en-GB"/>
              </w:rPr>
              <w:t xml:space="preserve"> syndrome</w:t>
            </w:r>
          </w:p>
        </w:tc>
        <w:tc>
          <w:tcPr>
            <w:tcW w:w="2755" w:type="dxa"/>
            <w:noWrap/>
          </w:tcPr>
          <w:p w14:paraId="7C4F8FE2" w14:textId="2476BEA1" w:rsidR="00001447" w:rsidRPr="00E24C4B" w:rsidRDefault="00001447" w:rsidP="001007F0">
            <w:pPr>
              <w:spacing w:line="276" w:lineRule="auto"/>
              <w:jc w:val="center"/>
              <w:rPr>
                <w:rFonts w:cs="Arial"/>
                <w:lang w:val="en-GB"/>
              </w:rPr>
            </w:pPr>
            <w:r w:rsidRPr="00E24C4B">
              <w:rPr>
                <w:rFonts w:eastAsia="Times New Roman" w:cs="Arial"/>
                <w:lang w:val="en-GB" w:eastAsia="it-IT"/>
              </w:rPr>
              <w:t>€1,272.00</w:t>
            </w:r>
          </w:p>
        </w:tc>
        <w:tc>
          <w:tcPr>
            <w:tcW w:w="2409" w:type="dxa"/>
            <w:noWrap/>
          </w:tcPr>
          <w:p w14:paraId="750412C6" w14:textId="310C82EE" w:rsidR="00001447" w:rsidRPr="00E24C4B" w:rsidRDefault="00001447" w:rsidP="001007F0">
            <w:pPr>
              <w:spacing w:line="276" w:lineRule="auto"/>
              <w:jc w:val="center"/>
              <w:rPr>
                <w:rFonts w:cs="Arial"/>
                <w:lang w:val="en-GB"/>
              </w:rPr>
            </w:pPr>
            <w:r w:rsidRPr="00E24C4B">
              <w:rPr>
                <w:rFonts w:cs="Arial"/>
                <w:lang w:val="en-GB"/>
              </w:rPr>
              <w:t>Gamma</w:t>
            </w:r>
          </w:p>
        </w:tc>
        <w:tc>
          <w:tcPr>
            <w:tcW w:w="2410" w:type="dxa"/>
            <w:vAlign w:val="center"/>
          </w:tcPr>
          <w:p w14:paraId="38512F2A" w14:textId="739CB5CC" w:rsidR="00001447" w:rsidRPr="00E24C4B" w:rsidRDefault="00001447" w:rsidP="001007F0">
            <w:pPr>
              <w:spacing w:line="276" w:lineRule="auto"/>
              <w:jc w:val="center"/>
              <w:rPr>
                <w:rFonts w:eastAsia="Times New Roman" w:cs="Arial"/>
                <w:highlight w:val="cyan"/>
                <w:lang w:val="en-GB" w:eastAsia="it-IT"/>
              </w:rPr>
            </w:pPr>
            <w:r w:rsidRPr="00E24C4B">
              <w:rPr>
                <w:rFonts w:cs="Arial"/>
                <w:lang w:val="en-GB"/>
              </w:rPr>
              <w:t>€1,034.95 to €1,533.13</w:t>
            </w:r>
          </w:p>
        </w:tc>
        <w:tc>
          <w:tcPr>
            <w:tcW w:w="2552" w:type="dxa"/>
            <w:noWrap/>
            <w:vAlign w:val="center"/>
          </w:tcPr>
          <w:p w14:paraId="1D8B3434" w14:textId="080E25FF" w:rsidR="00001447" w:rsidRPr="00E24C4B" w:rsidRDefault="00001447" w:rsidP="001007F0">
            <w:pPr>
              <w:spacing w:line="276" w:lineRule="auto"/>
              <w:rPr>
                <w:rFonts w:cs="Arial"/>
                <w:lang w:val="en-GB"/>
              </w:rPr>
            </w:pPr>
            <w:r w:rsidRPr="00E24C4B">
              <w:rPr>
                <w:rFonts w:cs="Arial"/>
                <w:lang w:val="en-GB"/>
              </w:rPr>
              <w:t>DRG 450</w:t>
            </w:r>
            <w:r w:rsidR="002F6056">
              <w:rPr>
                <w:rFonts w:cs="Arial"/>
                <w:vertAlign w:val="superscript"/>
              </w:rPr>
              <w:t>27</w:t>
            </w:r>
          </w:p>
        </w:tc>
      </w:tr>
      <w:tr w:rsidR="00811425" w:rsidRPr="008849A6" w14:paraId="6A1E5A3A" w14:textId="77777777" w:rsidTr="00B23DFB">
        <w:trPr>
          <w:trHeight w:val="20"/>
        </w:trPr>
        <w:tc>
          <w:tcPr>
            <w:tcW w:w="4470" w:type="dxa"/>
            <w:noWrap/>
            <w:vAlign w:val="center"/>
          </w:tcPr>
          <w:p w14:paraId="55F20F28" w14:textId="661B6FA3" w:rsidR="00001447" w:rsidRPr="00E24C4B" w:rsidRDefault="00001447" w:rsidP="001007F0">
            <w:pPr>
              <w:spacing w:line="276" w:lineRule="auto"/>
              <w:rPr>
                <w:rFonts w:cs="Arial"/>
                <w:lang w:val="en-GB"/>
              </w:rPr>
            </w:pPr>
            <w:r w:rsidRPr="00E24C4B">
              <w:rPr>
                <w:rFonts w:cs="Arial"/>
                <w:lang w:val="en-GB"/>
              </w:rPr>
              <w:t>Device related infection</w:t>
            </w:r>
          </w:p>
        </w:tc>
        <w:tc>
          <w:tcPr>
            <w:tcW w:w="2755" w:type="dxa"/>
            <w:noWrap/>
            <w:vAlign w:val="center"/>
          </w:tcPr>
          <w:p w14:paraId="423C48BF" w14:textId="17C4D567" w:rsidR="00001447" w:rsidRPr="00E24C4B" w:rsidRDefault="00001447" w:rsidP="001007F0">
            <w:pPr>
              <w:spacing w:line="276" w:lineRule="auto"/>
              <w:jc w:val="center"/>
              <w:rPr>
                <w:rFonts w:cs="Arial"/>
                <w:lang w:val="en-GB"/>
              </w:rPr>
            </w:pPr>
            <w:r w:rsidRPr="00E24C4B">
              <w:rPr>
                <w:rFonts w:eastAsia="Times New Roman" w:cs="Arial"/>
                <w:lang w:val="en-GB" w:eastAsia="it-IT"/>
              </w:rPr>
              <w:t>€1,883.69</w:t>
            </w:r>
          </w:p>
        </w:tc>
        <w:tc>
          <w:tcPr>
            <w:tcW w:w="2409" w:type="dxa"/>
            <w:noWrap/>
            <w:vAlign w:val="center"/>
          </w:tcPr>
          <w:p w14:paraId="5E11634A" w14:textId="4807B96E" w:rsidR="00001447" w:rsidRPr="00E24C4B" w:rsidRDefault="00001447" w:rsidP="001007F0">
            <w:pPr>
              <w:spacing w:line="276" w:lineRule="auto"/>
              <w:jc w:val="center"/>
              <w:rPr>
                <w:rFonts w:cs="Arial"/>
                <w:lang w:val="en-GB"/>
              </w:rPr>
            </w:pPr>
            <w:r w:rsidRPr="00E24C4B">
              <w:rPr>
                <w:rFonts w:cs="Arial"/>
                <w:lang w:val="en-GB"/>
              </w:rPr>
              <w:t>Gamma</w:t>
            </w:r>
          </w:p>
        </w:tc>
        <w:tc>
          <w:tcPr>
            <w:tcW w:w="2410" w:type="dxa"/>
            <w:vAlign w:val="center"/>
          </w:tcPr>
          <w:p w14:paraId="5C1AF55B" w14:textId="51728832" w:rsidR="00001447" w:rsidRPr="00E24C4B" w:rsidRDefault="00001447" w:rsidP="001007F0">
            <w:pPr>
              <w:spacing w:line="276" w:lineRule="auto"/>
              <w:jc w:val="center"/>
              <w:rPr>
                <w:rFonts w:eastAsia="Times New Roman" w:cs="Arial"/>
                <w:highlight w:val="cyan"/>
                <w:lang w:val="en-GB" w:eastAsia="it-IT"/>
              </w:rPr>
            </w:pPr>
            <w:r w:rsidRPr="00E24C4B">
              <w:rPr>
                <w:rFonts w:cs="Arial"/>
                <w:lang w:val="en-GB"/>
              </w:rPr>
              <w:t>€1,532.65 to €2,270.00</w:t>
            </w:r>
          </w:p>
        </w:tc>
        <w:tc>
          <w:tcPr>
            <w:tcW w:w="2552" w:type="dxa"/>
            <w:noWrap/>
            <w:vAlign w:val="center"/>
          </w:tcPr>
          <w:p w14:paraId="11439E58" w14:textId="21D44B28" w:rsidR="00001447" w:rsidRPr="00E24C4B" w:rsidRDefault="00001447" w:rsidP="001007F0">
            <w:pPr>
              <w:spacing w:line="276" w:lineRule="auto"/>
              <w:rPr>
                <w:rFonts w:cs="Arial"/>
                <w:lang w:val="en-GB"/>
              </w:rPr>
            </w:pPr>
            <w:r w:rsidRPr="00E24C4B">
              <w:rPr>
                <w:rFonts w:cs="Arial"/>
                <w:lang w:val="en-GB"/>
              </w:rPr>
              <w:t>DRG 452 and 453</w:t>
            </w:r>
            <w:r w:rsidR="002F6056">
              <w:rPr>
                <w:rFonts w:cs="Arial"/>
                <w:vertAlign w:val="superscript"/>
                <w:lang w:val="en-US"/>
              </w:rPr>
              <w:t>27</w:t>
            </w:r>
            <w:r w:rsidRPr="00E24C4B">
              <w:rPr>
                <w:rFonts w:cs="Arial"/>
                <w:lang w:val="en-GB"/>
              </w:rPr>
              <w:t xml:space="preserve"> (weighed for SDO 2022)</w:t>
            </w:r>
          </w:p>
        </w:tc>
      </w:tr>
      <w:tr w:rsidR="002F6056" w:rsidRPr="002E1D08" w14:paraId="2D2B0557" w14:textId="77777777" w:rsidTr="0042599F">
        <w:trPr>
          <w:trHeight w:val="20"/>
        </w:trPr>
        <w:tc>
          <w:tcPr>
            <w:tcW w:w="4470" w:type="dxa"/>
            <w:noWrap/>
            <w:vAlign w:val="center"/>
          </w:tcPr>
          <w:p w14:paraId="13899EA3" w14:textId="4DFD3E23" w:rsidR="002F6056" w:rsidRPr="00E24C4B" w:rsidRDefault="002F6056" w:rsidP="002F6056">
            <w:pPr>
              <w:spacing w:line="276" w:lineRule="auto"/>
              <w:rPr>
                <w:rFonts w:cs="Arial"/>
                <w:lang w:val="en-GB"/>
              </w:rPr>
            </w:pPr>
            <w:r w:rsidRPr="00E24C4B">
              <w:rPr>
                <w:rFonts w:cs="Arial"/>
                <w:lang w:val="en-GB"/>
              </w:rPr>
              <w:t>Diarrhoea</w:t>
            </w:r>
          </w:p>
        </w:tc>
        <w:tc>
          <w:tcPr>
            <w:tcW w:w="2755" w:type="dxa"/>
            <w:noWrap/>
          </w:tcPr>
          <w:p w14:paraId="21979322" w14:textId="635B2CEF" w:rsidR="002F6056" w:rsidRPr="00E24C4B" w:rsidRDefault="002F6056" w:rsidP="002F6056">
            <w:pPr>
              <w:spacing w:line="276" w:lineRule="auto"/>
              <w:jc w:val="center"/>
              <w:rPr>
                <w:rFonts w:cs="Arial"/>
                <w:lang w:val="en-GB"/>
              </w:rPr>
            </w:pPr>
            <w:r w:rsidRPr="00E24C4B">
              <w:rPr>
                <w:rFonts w:eastAsia="Times New Roman" w:cs="Arial"/>
                <w:lang w:val="en-GB" w:eastAsia="it-IT"/>
              </w:rPr>
              <w:t>€196.08</w:t>
            </w:r>
          </w:p>
        </w:tc>
        <w:tc>
          <w:tcPr>
            <w:tcW w:w="2409" w:type="dxa"/>
            <w:noWrap/>
          </w:tcPr>
          <w:p w14:paraId="08F5A4B3" w14:textId="6B618A0C" w:rsidR="002F6056" w:rsidRPr="00E24C4B" w:rsidRDefault="002F6056" w:rsidP="002F6056">
            <w:pPr>
              <w:spacing w:line="276" w:lineRule="auto"/>
              <w:jc w:val="center"/>
              <w:rPr>
                <w:rFonts w:cs="Arial"/>
                <w:lang w:val="en-GB"/>
              </w:rPr>
            </w:pPr>
            <w:r w:rsidRPr="00E24C4B">
              <w:rPr>
                <w:rFonts w:cs="Arial"/>
                <w:lang w:val="en-GB"/>
              </w:rPr>
              <w:t>Gamma</w:t>
            </w:r>
          </w:p>
        </w:tc>
        <w:tc>
          <w:tcPr>
            <w:tcW w:w="2410" w:type="dxa"/>
            <w:vAlign w:val="center"/>
          </w:tcPr>
          <w:p w14:paraId="52BC26B7" w14:textId="15350AD7" w:rsidR="002F6056" w:rsidRPr="00E24C4B" w:rsidRDefault="002F6056" w:rsidP="002F6056">
            <w:pPr>
              <w:spacing w:line="276" w:lineRule="auto"/>
              <w:jc w:val="center"/>
              <w:rPr>
                <w:rFonts w:eastAsia="Times New Roman" w:cs="Arial"/>
                <w:highlight w:val="cyan"/>
                <w:lang w:val="en-GB" w:eastAsia="it-IT"/>
              </w:rPr>
            </w:pPr>
            <w:r w:rsidRPr="00E24C4B">
              <w:rPr>
                <w:rFonts w:cs="Arial"/>
                <w:lang w:val="en-GB"/>
              </w:rPr>
              <w:t>€159.54 to €236.33</w:t>
            </w:r>
          </w:p>
        </w:tc>
        <w:tc>
          <w:tcPr>
            <w:tcW w:w="2552" w:type="dxa"/>
            <w:noWrap/>
            <w:vAlign w:val="center"/>
          </w:tcPr>
          <w:p w14:paraId="17262375" w14:textId="6853F4C0" w:rsidR="002F6056" w:rsidRPr="00E24C4B" w:rsidRDefault="002F6056" w:rsidP="002F6056">
            <w:pPr>
              <w:spacing w:line="276" w:lineRule="auto"/>
              <w:rPr>
                <w:rFonts w:eastAsia="Times New Roman" w:cs="Arial"/>
                <w:highlight w:val="green"/>
                <w:lang w:val="en-GB" w:eastAsia="it-IT"/>
              </w:rPr>
            </w:pPr>
            <w:r>
              <w:rPr>
                <w:rFonts w:cs="Arial"/>
                <w:vertAlign w:val="superscript"/>
                <w:lang w:val="en-US"/>
              </w:rPr>
              <w:t>30</w:t>
            </w:r>
          </w:p>
        </w:tc>
      </w:tr>
      <w:tr w:rsidR="002F6056" w:rsidRPr="002E1D08" w14:paraId="3B0C6015" w14:textId="77777777" w:rsidTr="0042599F">
        <w:trPr>
          <w:trHeight w:val="20"/>
        </w:trPr>
        <w:tc>
          <w:tcPr>
            <w:tcW w:w="4470" w:type="dxa"/>
            <w:noWrap/>
            <w:vAlign w:val="center"/>
          </w:tcPr>
          <w:p w14:paraId="2C0BC918" w14:textId="43343C87" w:rsidR="002F6056" w:rsidRPr="00E24C4B" w:rsidRDefault="002F6056" w:rsidP="002F6056">
            <w:pPr>
              <w:spacing w:line="276" w:lineRule="auto"/>
              <w:rPr>
                <w:rFonts w:cs="Arial"/>
                <w:lang w:val="en-GB"/>
              </w:rPr>
            </w:pPr>
            <w:r w:rsidRPr="00E24C4B">
              <w:rPr>
                <w:rFonts w:cs="Arial"/>
                <w:lang w:val="en-GB"/>
              </w:rPr>
              <w:t>Fatigue</w:t>
            </w:r>
          </w:p>
        </w:tc>
        <w:tc>
          <w:tcPr>
            <w:tcW w:w="2755" w:type="dxa"/>
            <w:noWrap/>
          </w:tcPr>
          <w:p w14:paraId="5B2E78D5" w14:textId="328AA01E" w:rsidR="002F6056" w:rsidRPr="00E24C4B" w:rsidRDefault="002F6056" w:rsidP="002F6056">
            <w:pPr>
              <w:spacing w:line="276" w:lineRule="auto"/>
              <w:jc w:val="center"/>
              <w:rPr>
                <w:rFonts w:cs="Arial"/>
                <w:lang w:val="en-GB"/>
              </w:rPr>
            </w:pPr>
            <w:r w:rsidRPr="00E24C4B">
              <w:rPr>
                <w:rFonts w:eastAsia="Times New Roman" w:cs="Arial"/>
                <w:lang w:val="en-GB" w:eastAsia="it-IT"/>
              </w:rPr>
              <w:t>€133.26</w:t>
            </w:r>
          </w:p>
        </w:tc>
        <w:tc>
          <w:tcPr>
            <w:tcW w:w="2409" w:type="dxa"/>
            <w:noWrap/>
          </w:tcPr>
          <w:p w14:paraId="10657F98" w14:textId="17F9ED71" w:rsidR="002F6056" w:rsidRPr="00E24C4B" w:rsidRDefault="002F6056" w:rsidP="002F6056">
            <w:pPr>
              <w:spacing w:line="276" w:lineRule="auto"/>
              <w:jc w:val="center"/>
              <w:rPr>
                <w:rFonts w:cs="Arial"/>
                <w:lang w:val="en-GB"/>
              </w:rPr>
            </w:pPr>
            <w:r w:rsidRPr="00E24C4B">
              <w:rPr>
                <w:rFonts w:cs="Arial"/>
                <w:lang w:val="en-GB"/>
              </w:rPr>
              <w:t>Gamma</w:t>
            </w:r>
          </w:p>
        </w:tc>
        <w:tc>
          <w:tcPr>
            <w:tcW w:w="2410" w:type="dxa"/>
            <w:vAlign w:val="center"/>
          </w:tcPr>
          <w:p w14:paraId="20DC9947" w14:textId="3F5C7C31" w:rsidR="002F6056" w:rsidRPr="00E24C4B" w:rsidRDefault="002F6056" w:rsidP="002F6056">
            <w:pPr>
              <w:spacing w:line="276" w:lineRule="auto"/>
              <w:jc w:val="center"/>
              <w:rPr>
                <w:rFonts w:eastAsia="Times New Roman" w:cs="Arial"/>
                <w:highlight w:val="cyan"/>
                <w:lang w:val="en-GB" w:eastAsia="it-IT"/>
              </w:rPr>
            </w:pPr>
            <w:r w:rsidRPr="00E24C4B">
              <w:rPr>
                <w:rFonts w:cs="Arial"/>
                <w:lang w:val="en-GB"/>
              </w:rPr>
              <w:t>€108.43 to €160.62</w:t>
            </w:r>
          </w:p>
        </w:tc>
        <w:tc>
          <w:tcPr>
            <w:tcW w:w="2552" w:type="dxa"/>
            <w:noWrap/>
            <w:vAlign w:val="center"/>
          </w:tcPr>
          <w:p w14:paraId="49F0EEF7" w14:textId="77E164EE" w:rsidR="002F6056" w:rsidRPr="00E24C4B" w:rsidRDefault="002F6056" w:rsidP="002F6056">
            <w:pPr>
              <w:spacing w:line="276" w:lineRule="auto"/>
              <w:rPr>
                <w:rFonts w:eastAsia="Times New Roman" w:cs="Arial"/>
                <w:highlight w:val="green"/>
                <w:lang w:val="en-GB" w:eastAsia="it-IT"/>
              </w:rPr>
            </w:pPr>
            <w:r>
              <w:rPr>
                <w:rFonts w:cs="Arial"/>
                <w:vertAlign w:val="superscript"/>
                <w:lang w:val="en-US"/>
              </w:rPr>
              <w:t>30</w:t>
            </w:r>
          </w:p>
        </w:tc>
      </w:tr>
      <w:tr w:rsidR="002F6056" w:rsidRPr="00066D2A" w14:paraId="678507E6" w14:textId="77777777" w:rsidTr="0042599F">
        <w:trPr>
          <w:trHeight w:val="20"/>
        </w:trPr>
        <w:tc>
          <w:tcPr>
            <w:tcW w:w="4470" w:type="dxa"/>
            <w:noWrap/>
            <w:vAlign w:val="center"/>
          </w:tcPr>
          <w:p w14:paraId="79C73703" w14:textId="63630B86" w:rsidR="002F6056" w:rsidRPr="00E24C4B" w:rsidRDefault="002F6056" w:rsidP="002F6056">
            <w:pPr>
              <w:spacing w:line="276" w:lineRule="auto"/>
              <w:rPr>
                <w:rFonts w:cs="Arial"/>
                <w:lang w:val="en-GB"/>
              </w:rPr>
            </w:pPr>
            <w:r w:rsidRPr="00E24C4B">
              <w:rPr>
                <w:rFonts w:cs="Arial"/>
                <w:lang w:val="en-GB"/>
              </w:rPr>
              <w:t>Febrile neutropenia</w:t>
            </w:r>
          </w:p>
        </w:tc>
        <w:tc>
          <w:tcPr>
            <w:tcW w:w="2755" w:type="dxa"/>
            <w:noWrap/>
          </w:tcPr>
          <w:p w14:paraId="6A966167" w14:textId="2BED8B2F" w:rsidR="002F6056" w:rsidRPr="00E24C4B" w:rsidRDefault="002F6056" w:rsidP="002F6056">
            <w:pPr>
              <w:spacing w:line="276" w:lineRule="auto"/>
              <w:jc w:val="center"/>
              <w:rPr>
                <w:rFonts w:cs="Arial"/>
                <w:lang w:val="en-GB"/>
              </w:rPr>
            </w:pPr>
            <w:r w:rsidRPr="00E24C4B">
              <w:rPr>
                <w:rFonts w:eastAsia="Times New Roman" w:cs="Arial"/>
                <w:lang w:val="en-GB" w:eastAsia="it-IT"/>
              </w:rPr>
              <w:t>€2,387.75</w:t>
            </w:r>
          </w:p>
        </w:tc>
        <w:tc>
          <w:tcPr>
            <w:tcW w:w="2409" w:type="dxa"/>
            <w:noWrap/>
          </w:tcPr>
          <w:p w14:paraId="3F073F70" w14:textId="6A16BDEC" w:rsidR="002F6056" w:rsidRPr="00E24C4B" w:rsidRDefault="002F6056" w:rsidP="002F6056">
            <w:pPr>
              <w:spacing w:line="276" w:lineRule="auto"/>
              <w:jc w:val="center"/>
              <w:rPr>
                <w:rFonts w:cs="Arial"/>
                <w:lang w:val="en-GB"/>
              </w:rPr>
            </w:pPr>
            <w:r w:rsidRPr="00E24C4B">
              <w:rPr>
                <w:rFonts w:cs="Arial"/>
                <w:lang w:val="en-GB"/>
              </w:rPr>
              <w:t>Gamma</w:t>
            </w:r>
          </w:p>
        </w:tc>
        <w:tc>
          <w:tcPr>
            <w:tcW w:w="2410" w:type="dxa"/>
            <w:vAlign w:val="center"/>
          </w:tcPr>
          <w:p w14:paraId="14198215" w14:textId="06103759" w:rsidR="002F6056" w:rsidRPr="00E24C4B" w:rsidRDefault="002F6056" w:rsidP="002F6056">
            <w:pPr>
              <w:spacing w:line="276" w:lineRule="auto"/>
              <w:jc w:val="center"/>
              <w:rPr>
                <w:rFonts w:eastAsia="Times New Roman" w:cs="Arial"/>
                <w:highlight w:val="cyan"/>
                <w:lang w:val="en-GB" w:eastAsia="it-IT"/>
              </w:rPr>
            </w:pPr>
            <w:r w:rsidRPr="00E24C4B">
              <w:rPr>
                <w:rFonts w:cs="Arial"/>
                <w:lang w:val="en-GB"/>
              </w:rPr>
              <w:t>€1,942.77 to €2,877.93</w:t>
            </w:r>
          </w:p>
        </w:tc>
        <w:tc>
          <w:tcPr>
            <w:tcW w:w="2552" w:type="dxa"/>
            <w:noWrap/>
            <w:vAlign w:val="center"/>
          </w:tcPr>
          <w:p w14:paraId="31A023AA" w14:textId="1CE9EFFB" w:rsidR="002F6056" w:rsidRPr="00E24C4B" w:rsidRDefault="002F6056" w:rsidP="002F6056">
            <w:pPr>
              <w:spacing w:line="276" w:lineRule="auto"/>
              <w:rPr>
                <w:rFonts w:eastAsia="Times New Roman" w:cs="Arial"/>
                <w:highlight w:val="yellow"/>
                <w:lang w:val="en-GB" w:eastAsia="it-IT"/>
              </w:rPr>
            </w:pPr>
            <w:r>
              <w:rPr>
                <w:rFonts w:cs="Arial"/>
                <w:vertAlign w:val="superscript"/>
                <w:lang w:val="en-US"/>
              </w:rPr>
              <w:t>30</w:t>
            </w:r>
          </w:p>
        </w:tc>
      </w:tr>
      <w:tr w:rsidR="00811425" w:rsidRPr="00066D2A" w14:paraId="2C7DDB7F" w14:textId="77777777" w:rsidTr="0042599F">
        <w:trPr>
          <w:trHeight w:val="20"/>
        </w:trPr>
        <w:tc>
          <w:tcPr>
            <w:tcW w:w="4470" w:type="dxa"/>
            <w:noWrap/>
            <w:vAlign w:val="center"/>
          </w:tcPr>
          <w:p w14:paraId="660BC1D0" w14:textId="4A9D8D6E" w:rsidR="00001447" w:rsidRPr="00E24C4B" w:rsidRDefault="00001447" w:rsidP="001007F0">
            <w:pPr>
              <w:spacing w:line="276" w:lineRule="auto"/>
              <w:rPr>
                <w:rFonts w:cs="Arial"/>
                <w:lang w:val="en-GB"/>
              </w:rPr>
            </w:pPr>
            <w:r w:rsidRPr="00E24C4B">
              <w:rPr>
                <w:rFonts w:cs="Arial"/>
                <w:lang w:val="en-GB"/>
              </w:rPr>
              <w:t>Headache</w:t>
            </w:r>
          </w:p>
        </w:tc>
        <w:tc>
          <w:tcPr>
            <w:tcW w:w="2755" w:type="dxa"/>
            <w:noWrap/>
          </w:tcPr>
          <w:p w14:paraId="6C1745B1" w14:textId="5F0E8D5E" w:rsidR="00001447" w:rsidRPr="00E24C4B" w:rsidRDefault="00001447" w:rsidP="001007F0">
            <w:pPr>
              <w:spacing w:line="276" w:lineRule="auto"/>
              <w:jc w:val="center"/>
              <w:rPr>
                <w:rFonts w:cs="Arial"/>
                <w:lang w:val="en-GB"/>
              </w:rPr>
            </w:pPr>
            <w:r w:rsidRPr="00E24C4B">
              <w:rPr>
                <w:rFonts w:eastAsia="Times New Roman" w:cs="Arial"/>
                <w:lang w:val="en-GB" w:eastAsia="it-IT"/>
              </w:rPr>
              <w:t>€20.66</w:t>
            </w:r>
          </w:p>
        </w:tc>
        <w:tc>
          <w:tcPr>
            <w:tcW w:w="2409" w:type="dxa"/>
            <w:noWrap/>
          </w:tcPr>
          <w:p w14:paraId="59CA6D52" w14:textId="0580F795" w:rsidR="00001447" w:rsidRPr="00E24C4B" w:rsidRDefault="00001447" w:rsidP="001007F0">
            <w:pPr>
              <w:spacing w:line="276" w:lineRule="auto"/>
              <w:jc w:val="center"/>
              <w:rPr>
                <w:rFonts w:cs="Arial"/>
                <w:lang w:val="en-GB"/>
              </w:rPr>
            </w:pPr>
            <w:r w:rsidRPr="00E24C4B">
              <w:rPr>
                <w:rFonts w:cs="Arial"/>
                <w:lang w:val="en-GB"/>
              </w:rPr>
              <w:t>Gamma</w:t>
            </w:r>
          </w:p>
        </w:tc>
        <w:tc>
          <w:tcPr>
            <w:tcW w:w="2410" w:type="dxa"/>
            <w:vAlign w:val="center"/>
          </w:tcPr>
          <w:p w14:paraId="45D0CEFC" w14:textId="770F47EF" w:rsidR="00001447" w:rsidRPr="00E24C4B" w:rsidRDefault="00001447" w:rsidP="001007F0">
            <w:pPr>
              <w:spacing w:line="276" w:lineRule="auto"/>
              <w:jc w:val="center"/>
              <w:rPr>
                <w:rFonts w:eastAsia="Times New Roman" w:cs="Arial"/>
                <w:highlight w:val="cyan"/>
                <w:lang w:val="en-GB" w:eastAsia="it-IT"/>
              </w:rPr>
            </w:pPr>
            <w:r w:rsidRPr="00E24C4B">
              <w:rPr>
                <w:rFonts w:cs="Arial"/>
                <w:lang w:val="en-GB"/>
              </w:rPr>
              <w:t>€16.81 to €24.90</w:t>
            </w:r>
          </w:p>
        </w:tc>
        <w:tc>
          <w:tcPr>
            <w:tcW w:w="2552" w:type="dxa"/>
            <w:noWrap/>
            <w:vAlign w:val="center"/>
          </w:tcPr>
          <w:p w14:paraId="76A17E79" w14:textId="55A82ADA" w:rsidR="00001447" w:rsidRPr="00E24C4B" w:rsidRDefault="007575C4" w:rsidP="001007F0">
            <w:pPr>
              <w:spacing w:line="276" w:lineRule="auto"/>
              <w:rPr>
                <w:rFonts w:eastAsia="Times New Roman" w:cs="Arial"/>
                <w:highlight w:val="yellow"/>
                <w:lang w:val="en-GB" w:eastAsia="it-IT"/>
              </w:rPr>
            </w:pPr>
            <w:r w:rsidRPr="00E24C4B">
              <w:rPr>
                <w:rFonts w:cs="Arial"/>
                <w:lang w:val="en-GB"/>
              </w:rPr>
              <w:t>Specialist visit tariff</w:t>
            </w:r>
            <w:r w:rsidR="002F6056">
              <w:rPr>
                <w:rFonts w:cs="Arial"/>
                <w:vertAlign w:val="superscript"/>
                <w:lang w:val="en-GB"/>
              </w:rPr>
              <w:t>32</w:t>
            </w:r>
          </w:p>
        </w:tc>
      </w:tr>
      <w:tr w:rsidR="00811425" w:rsidRPr="00D61B87" w14:paraId="18F54EDB" w14:textId="77777777" w:rsidTr="0042599F">
        <w:trPr>
          <w:trHeight w:val="20"/>
        </w:trPr>
        <w:tc>
          <w:tcPr>
            <w:tcW w:w="4470" w:type="dxa"/>
            <w:noWrap/>
            <w:vAlign w:val="center"/>
          </w:tcPr>
          <w:p w14:paraId="34ECA5D5" w14:textId="4FF0C3E7" w:rsidR="00001447" w:rsidRPr="00E24C4B" w:rsidRDefault="00001447" w:rsidP="001007F0">
            <w:pPr>
              <w:spacing w:line="276" w:lineRule="auto"/>
              <w:rPr>
                <w:rFonts w:cs="Arial"/>
                <w:lang w:val="en-GB"/>
              </w:rPr>
            </w:pPr>
            <w:r w:rsidRPr="00E24C4B">
              <w:rPr>
                <w:rFonts w:cs="Arial"/>
                <w:lang w:val="en-GB"/>
              </w:rPr>
              <w:t>Hyperglycaemia</w:t>
            </w:r>
          </w:p>
        </w:tc>
        <w:tc>
          <w:tcPr>
            <w:tcW w:w="2755" w:type="dxa"/>
            <w:noWrap/>
          </w:tcPr>
          <w:p w14:paraId="75A2994B" w14:textId="55B9C2BB" w:rsidR="00001447" w:rsidRPr="00E24C4B" w:rsidRDefault="00001447" w:rsidP="001007F0">
            <w:pPr>
              <w:spacing w:line="276" w:lineRule="auto"/>
              <w:jc w:val="center"/>
              <w:rPr>
                <w:rFonts w:cs="Arial"/>
                <w:lang w:val="en-GB"/>
              </w:rPr>
            </w:pPr>
            <w:r w:rsidRPr="00E24C4B">
              <w:rPr>
                <w:rFonts w:cs="Arial"/>
                <w:lang w:val="en-GB"/>
              </w:rPr>
              <w:t>€1,758.00</w:t>
            </w:r>
          </w:p>
        </w:tc>
        <w:tc>
          <w:tcPr>
            <w:tcW w:w="2409" w:type="dxa"/>
            <w:noWrap/>
          </w:tcPr>
          <w:p w14:paraId="18B94D0D" w14:textId="3FA6B15F" w:rsidR="00001447" w:rsidRPr="00E24C4B" w:rsidRDefault="00001447" w:rsidP="001007F0">
            <w:pPr>
              <w:spacing w:line="276" w:lineRule="auto"/>
              <w:jc w:val="center"/>
              <w:rPr>
                <w:rFonts w:cs="Arial"/>
                <w:lang w:val="en-GB"/>
              </w:rPr>
            </w:pPr>
            <w:r w:rsidRPr="00E24C4B">
              <w:rPr>
                <w:rFonts w:cs="Arial"/>
                <w:lang w:val="en-GB"/>
              </w:rPr>
              <w:t>Gamma</w:t>
            </w:r>
          </w:p>
        </w:tc>
        <w:tc>
          <w:tcPr>
            <w:tcW w:w="2410" w:type="dxa"/>
            <w:vAlign w:val="center"/>
          </w:tcPr>
          <w:p w14:paraId="17CD9C81" w14:textId="25C22F6A" w:rsidR="00001447" w:rsidRPr="00E24C4B" w:rsidRDefault="00001447" w:rsidP="001007F0">
            <w:pPr>
              <w:spacing w:line="276" w:lineRule="auto"/>
              <w:jc w:val="center"/>
              <w:rPr>
                <w:rFonts w:eastAsia="Times New Roman" w:cs="Arial"/>
                <w:highlight w:val="cyan"/>
                <w:lang w:val="en-GB" w:eastAsia="it-IT"/>
              </w:rPr>
            </w:pPr>
            <w:r w:rsidRPr="00E24C4B">
              <w:rPr>
                <w:rFonts w:cs="Arial"/>
                <w:lang w:val="en-GB"/>
              </w:rPr>
              <w:t>€1,430.38 to €2,118.90</w:t>
            </w:r>
          </w:p>
        </w:tc>
        <w:tc>
          <w:tcPr>
            <w:tcW w:w="2552" w:type="dxa"/>
            <w:noWrap/>
            <w:vAlign w:val="center"/>
          </w:tcPr>
          <w:p w14:paraId="45F9BDDB" w14:textId="2F80CFA7" w:rsidR="00001447" w:rsidRPr="00E24C4B" w:rsidRDefault="00001447" w:rsidP="001007F0">
            <w:pPr>
              <w:spacing w:line="276" w:lineRule="auto"/>
              <w:rPr>
                <w:rFonts w:eastAsia="Times New Roman" w:cs="Arial"/>
                <w:lang w:val="en-GB" w:eastAsia="it-IT"/>
              </w:rPr>
            </w:pPr>
            <w:r w:rsidRPr="00E24C4B">
              <w:rPr>
                <w:rFonts w:cs="Arial"/>
                <w:lang w:val="en-GB"/>
              </w:rPr>
              <w:t>DRG 297</w:t>
            </w:r>
            <w:r w:rsidR="002F6056">
              <w:rPr>
                <w:rFonts w:cs="Arial"/>
                <w:vertAlign w:val="superscript"/>
              </w:rPr>
              <w:t>27</w:t>
            </w:r>
          </w:p>
        </w:tc>
      </w:tr>
      <w:tr w:rsidR="00811425" w:rsidRPr="002E1D08" w14:paraId="757ED64B" w14:textId="77777777" w:rsidTr="0042599F">
        <w:trPr>
          <w:trHeight w:val="20"/>
        </w:trPr>
        <w:tc>
          <w:tcPr>
            <w:tcW w:w="4470" w:type="dxa"/>
            <w:noWrap/>
            <w:vAlign w:val="center"/>
          </w:tcPr>
          <w:p w14:paraId="7573366B" w14:textId="7497E652" w:rsidR="00001447" w:rsidRPr="00E24C4B" w:rsidRDefault="00001447" w:rsidP="001007F0">
            <w:pPr>
              <w:spacing w:line="276" w:lineRule="auto"/>
              <w:rPr>
                <w:rFonts w:cs="Arial"/>
                <w:lang w:val="en-GB"/>
              </w:rPr>
            </w:pPr>
            <w:r w:rsidRPr="00E24C4B">
              <w:rPr>
                <w:rFonts w:cs="Arial"/>
                <w:lang w:val="en-GB"/>
              </w:rPr>
              <w:t>Hypertension</w:t>
            </w:r>
          </w:p>
        </w:tc>
        <w:tc>
          <w:tcPr>
            <w:tcW w:w="2755" w:type="dxa"/>
            <w:noWrap/>
          </w:tcPr>
          <w:p w14:paraId="5FFB95FD" w14:textId="5B2F30EF" w:rsidR="00001447" w:rsidRPr="00E24C4B" w:rsidRDefault="00001447" w:rsidP="001007F0">
            <w:pPr>
              <w:spacing w:line="276" w:lineRule="auto"/>
              <w:jc w:val="center"/>
              <w:rPr>
                <w:rFonts w:cs="Arial"/>
                <w:lang w:val="en-GB"/>
              </w:rPr>
            </w:pPr>
            <w:r w:rsidRPr="00E24C4B">
              <w:rPr>
                <w:rFonts w:cs="Arial"/>
                <w:lang w:val="en-GB"/>
              </w:rPr>
              <w:t>€1,773.00</w:t>
            </w:r>
          </w:p>
        </w:tc>
        <w:tc>
          <w:tcPr>
            <w:tcW w:w="2409" w:type="dxa"/>
            <w:noWrap/>
          </w:tcPr>
          <w:p w14:paraId="4C3D5297" w14:textId="78EF63B9" w:rsidR="00001447" w:rsidRPr="00E24C4B" w:rsidRDefault="00001447" w:rsidP="001007F0">
            <w:pPr>
              <w:spacing w:line="276" w:lineRule="auto"/>
              <w:jc w:val="center"/>
              <w:rPr>
                <w:rFonts w:cs="Arial"/>
                <w:lang w:val="en-GB"/>
              </w:rPr>
            </w:pPr>
            <w:r w:rsidRPr="00E24C4B">
              <w:rPr>
                <w:rFonts w:cs="Arial"/>
                <w:lang w:val="en-GB"/>
              </w:rPr>
              <w:t>Gamma</w:t>
            </w:r>
          </w:p>
        </w:tc>
        <w:tc>
          <w:tcPr>
            <w:tcW w:w="2410" w:type="dxa"/>
            <w:vAlign w:val="center"/>
          </w:tcPr>
          <w:p w14:paraId="679652A1" w14:textId="3783088C" w:rsidR="00001447" w:rsidRPr="00E24C4B" w:rsidRDefault="00001447" w:rsidP="001007F0">
            <w:pPr>
              <w:spacing w:line="276" w:lineRule="auto"/>
              <w:jc w:val="center"/>
              <w:rPr>
                <w:rFonts w:eastAsia="Times New Roman" w:cs="Arial"/>
                <w:highlight w:val="cyan"/>
                <w:lang w:val="en-GB" w:eastAsia="it-IT"/>
              </w:rPr>
            </w:pPr>
            <w:r w:rsidRPr="00E24C4B">
              <w:rPr>
                <w:rFonts w:cs="Arial"/>
                <w:lang w:val="en-GB"/>
              </w:rPr>
              <w:t>€1,442.58 to €2,136.98</w:t>
            </w:r>
          </w:p>
        </w:tc>
        <w:tc>
          <w:tcPr>
            <w:tcW w:w="2552" w:type="dxa"/>
            <w:noWrap/>
            <w:vAlign w:val="center"/>
          </w:tcPr>
          <w:p w14:paraId="0CECDA49" w14:textId="7BAB0711" w:rsidR="00001447" w:rsidRPr="00E24C4B" w:rsidRDefault="002F6056" w:rsidP="001007F0">
            <w:pPr>
              <w:spacing w:line="276" w:lineRule="auto"/>
              <w:rPr>
                <w:rFonts w:eastAsia="Times New Roman" w:cs="Arial"/>
                <w:lang w:val="en-GB" w:eastAsia="it-IT"/>
              </w:rPr>
            </w:pPr>
            <w:r>
              <w:rPr>
                <w:rFonts w:cs="Arial"/>
                <w:vertAlign w:val="superscript"/>
              </w:rPr>
              <w:t>31</w:t>
            </w:r>
          </w:p>
        </w:tc>
      </w:tr>
      <w:tr w:rsidR="00811425" w:rsidRPr="002E1D08" w14:paraId="139CE5BD" w14:textId="77777777" w:rsidTr="0042599F">
        <w:trPr>
          <w:trHeight w:val="20"/>
        </w:trPr>
        <w:tc>
          <w:tcPr>
            <w:tcW w:w="4470" w:type="dxa"/>
            <w:noWrap/>
            <w:vAlign w:val="center"/>
          </w:tcPr>
          <w:p w14:paraId="1FA675B7" w14:textId="79856A37" w:rsidR="00001447" w:rsidRPr="00E24C4B" w:rsidRDefault="00001447" w:rsidP="001007F0">
            <w:pPr>
              <w:spacing w:line="276" w:lineRule="auto"/>
              <w:rPr>
                <w:rFonts w:cs="Arial"/>
                <w:lang w:val="en-GB"/>
              </w:rPr>
            </w:pPr>
            <w:r w:rsidRPr="00E24C4B">
              <w:rPr>
                <w:rFonts w:cs="Arial"/>
                <w:lang w:val="en-GB"/>
              </w:rPr>
              <w:t>Hypertriglyceridaemia</w:t>
            </w:r>
          </w:p>
        </w:tc>
        <w:tc>
          <w:tcPr>
            <w:tcW w:w="2755" w:type="dxa"/>
            <w:noWrap/>
          </w:tcPr>
          <w:p w14:paraId="4FFEBD0E" w14:textId="678FB1D8" w:rsidR="00001447" w:rsidRPr="00E24C4B" w:rsidRDefault="00001447" w:rsidP="001007F0">
            <w:pPr>
              <w:spacing w:line="276" w:lineRule="auto"/>
              <w:jc w:val="center"/>
              <w:rPr>
                <w:rFonts w:cs="Arial"/>
                <w:lang w:val="en-GB"/>
              </w:rPr>
            </w:pPr>
            <w:r w:rsidRPr="00E24C4B">
              <w:rPr>
                <w:rFonts w:cs="Arial"/>
                <w:lang w:val="en-GB"/>
              </w:rPr>
              <w:t>€20.66</w:t>
            </w:r>
          </w:p>
        </w:tc>
        <w:tc>
          <w:tcPr>
            <w:tcW w:w="2409" w:type="dxa"/>
            <w:noWrap/>
          </w:tcPr>
          <w:p w14:paraId="0A85EB3D" w14:textId="38913840" w:rsidR="00001447" w:rsidRPr="00E24C4B" w:rsidRDefault="00001447" w:rsidP="001007F0">
            <w:pPr>
              <w:spacing w:line="276" w:lineRule="auto"/>
              <w:jc w:val="center"/>
              <w:rPr>
                <w:rFonts w:cs="Arial"/>
                <w:lang w:val="en-GB"/>
              </w:rPr>
            </w:pPr>
            <w:r w:rsidRPr="00E24C4B">
              <w:rPr>
                <w:rFonts w:cs="Arial"/>
                <w:lang w:val="en-GB"/>
              </w:rPr>
              <w:t>Gamma</w:t>
            </w:r>
          </w:p>
        </w:tc>
        <w:tc>
          <w:tcPr>
            <w:tcW w:w="2410" w:type="dxa"/>
            <w:vAlign w:val="center"/>
          </w:tcPr>
          <w:p w14:paraId="4E9E446C" w14:textId="021D2C02" w:rsidR="00001447" w:rsidRPr="00E24C4B" w:rsidRDefault="00001447" w:rsidP="001007F0">
            <w:pPr>
              <w:spacing w:line="276" w:lineRule="auto"/>
              <w:jc w:val="center"/>
              <w:rPr>
                <w:rFonts w:eastAsia="Times New Roman" w:cs="Arial"/>
                <w:highlight w:val="cyan"/>
                <w:lang w:val="en-GB" w:eastAsia="it-IT"/>
              </w:rPr>
            </w:pPr>
            <w:r w:rsidRPr="00E24C4B">
              <w:rPr>
                <w:rFonts w:cs="Arial"/>
                <w:lang w:val="en-GB"/>
              </w:rPr>
              <w:t>€16.81 to €24.90</w:t>
            </w:r>
          </w:p>
        </w:tc>
        <w:tc>
          <w:tcPr>
            <w:tcW w:w="2552" w:type="dxa"/>
            <w:noWrap/>
            <w:vAlign w:val="center"/>
          </w:tcPr>
          <w:p w14:paraId="28B3C518" w14:textId="6B3B095D" w:rsidR="00001447" w:rsidRPr="00E24C4B" w:rsidRDefault="007575C4" w:rsidP="001007F0">
            <w:pPr>
              <w:spacing w:line="276" w:lineRule="auto"/>
              <w:rPr>
                <w:rFonts w:eastAsia="Times New Roman" w:cs="Arial"/>
                <w:lang w:val="en-GB" w:eastAsia="it-IT"/>
              </w:rPr>
            </w:pPr>
            <w:r w:rsidRPr="00E24C4B">
              <w:rPr>
                <w:rFonts w:cs="Arial"/>
                <w:lang w:val="en-GB"/>
              </w:rPr>
              <w:t>Specialist visit tariff</w:t>
            </w:r>
            <w:r w:rsidR="002F6056">
              <w:rPr>
                <w:rFonts w:cs="Arial"/>
                <w:vertAlign w:val="superscript"/>
              </w:rPr>
              <w:t>32</w:t>
            </w:r>
          </w:p>
        </w:tc>
      </w:tr>
      <w:tr w:rsidR="00811425" w:rsidRPr="002E1D08" w14:paraId="0EAB2C46" w14:textId="77777777" w:rsidTr="0042599F">
        <w:trPr>
          <w:trHeight w:val="20"/>
        </w:trPr>
        <w:tc>
          <w:tcPr>
            <w:tcW w:w="4470" w:type="dxa"/>
            <w:noWrap/>
            <w:vAlign w:val="center"/>
          </w:tcPr>
          <w:p w14:paraId="4D517A22" w14:textId="686F1419" w:rsidR="00001447" w:rsidRPr="00E24C4B" w:rsidRDefault="00001447" w:rsidP="001007F0">
            <w:pPr>
              <w:spacing w:line="276" w:lineRule="auto"/>
              <w:rPr>
                <w:rFonts w:cs="Arial"/>
                <w:lang w:val="en-GB"/>
              </w:rPr>
            </w:pPr>
            <w:r w:rsidRPr="00E24C4B">
              <w:rPr>
                <w:rFonts w:cs="Arial"/>
                <w:lang w:val="en-GB"/>
              </w:rPr>
              <w:t>Hypotension</w:t>
            </w:r>
          </w:p>
        </w:tc>
        <w:tc>
          <w:tcPr>
            <w:tcW w:w="2755" w:type="dxa"/>
            <w:noWrap/>
          </w:tcPr>
          <w:p w14:paraId="49C737FA" w14:textId="582FC81B" w:rsidR="00001447" w:rsidRPr="00E24C4B" w:rsidRDefault="00001447" w:rsidP="001007F0">
            <w:pPr>
              <w:spacing w:line="276" w:lineRule="auto"/>
              <w:jc w:val="center"/>
              <w:rPr>
                <w:rFonts w:cs="Arial"/>
                <w:lang w:val="en-GB"/>
              </w:rPr>
            </w:pPr>
            <w:r w:rsidRPr="00E24C4B">
              <w:rPr>
                <w:rFonts w:eastAsia="Times New Roman" w:cs="Arial"/>
                <w:lang w:val="en-GB" w:eastAsia="it-IT"/>
              </w:rPr>
              <w:t>€2,097.00</w:t>
            </w:r>
          </w:p>
        </w:tc>
        <w:tc>
          <w:tcPr>
            <w:tcW w:w="2409" w:type="dxa"/>
            <w:noWrap/>
          </w:tcPr>
          <w:p w14:paraId="7F5AD82A" w14:textId="3627BD40" w:rsidR="00001447" w:rsidRPr="00E24C4B" w:rsidRDefault="00001447" w:rsidP="001007F0">
            <w:pPr>
              <w:spacing w:line="276" w:lineRule="auto"/>
              <w:jc w:val="center"/>
              <w:rPr>
                <w:rFonts w:cs="Arial"/>
                <w:lang w:val="en-GB"/>
              </w:rPr>
            </w:pPr>
            <w:r w:rsidRPr="00E24C4B">
              <w:rPr>
                <w:rFonts w:cs="Arial"/>
                <w:lang w:val="en-GB"/>
              </w:rPr>
              <w:t>Gamma</w:t>
            </w:r>
          </w:p>
        </w:tc>
        <w:tc>
          <w:tcPr>
            <w:tcW w:w="2410" w:type="dxa"/>
            <w:vAlign w:val="center"/>
          </w:tcPr>
          <w:p w14:paraId="5B23C7A8" w14:textId="5894BECE" w:rsidR="00001447" w:rsidRPr="00E24C4B" w:rsidRDefault="00001447" w:rsidP="001007F0">
            <w:pPr>
              <w:spacing w:line="276" w:lineRule="auto"/>
              <w:jc w:val="center"/>
              <w:rPr>
                <w:rFonts w:eastAsia="Times New Roman" w:cs="Arial"/>
                <w:highlight w:val="cyan"/>
                <w:lang w:val="en-GB" w:eastAsia="it-IT"/>
              </w:rPr>
            </w:pPr>
            <w:r w:rsidRPr="00E24C4B">
              <w:rPr>
                <w:rFonts w:cs="Arial"/>
                <w:lang w:val="en-GB"/>
              </w:rPr>
              <w:t>€1,706.20 to €2,527.49</w:t>
            </w:r>
          </w:p>
        </w:tc>
        <w:tc>
          <w:tcPr>
            <w:tcW w:w="2552" w:type="dxa"/>
            <w:noWrap/>
            <w:vAlign w:val="center"/>
          </w:tcPr>
          <w:p w14:paraId="06AF5060" w14:textId="52E32E18" w:rsidR="00001447" w:rsidRPr="00E24C4B" w:rsidRDefault="00001447" w:rsidP="001007F0">
            <w:pPr>
              <w:spacing w:line="276" w:lineRule="auto"/>
              <w:rPr>
                <w:rFonts w:eastAsia="Times New Roman" w:cs="Arial"/>
                <w:lang w:val="en-GB" w:eastAsia="it-IT"/>
              </w:rPr>
            </w:pPr>
            <w:r w:rsidRPr="00E24C4B">
              <w:rPr>
                <w:rFonts w:cs="Arial"/>
                <w:lang w:val="en-GB"/>
              </w:rPr>
              <w:t>DRG 145</w:t>
            </w:r>
            <w:r w:rsidR="002F6056">
              <w:rPr>
                <w:rFonts w:cs="Arial"/>
                <w:vertAlign w:val="superscript"/>
              </w:rPr>
              <w:t>27</w:t>
            </w:r>
          </w:p>
        </w:tc>
      </w:tr>
      <w:tr w:rsidR="002F6056" w:rsidRPr="002E1D08" w14:paraId="2D5FB0D9" w14:textId="77777777" w:rsidTr="00B23DFB">
        <w:trPr>
          <w:trHeight w:val="20"/>
        </w:trPr>
        <w:tc>
          <w:tcPr>
            <w:tcW w:w="4470" w:type="dxa"/>
            <w:noWrap/>
            <w:vAlign w:val="center"/>
          </w:tcPr>
          <w:p w14:paraId="0E179794" w14:textId="7DCCD3E8" w:rsidR="002F6056" w:rsidRPr="00E24C4B" w:rsidRDefault="002F6056" w:rsidP="002F6056">
            <w:pPr>
              <w:spacing w:line="276" w:lineRule="auto"/>
              <w:rPr>
                <w:rFonts w:cs="Arial"/>
                <w:lang w:val="en-GB"/>
              </w:rPr>
            </w:pPr>
            <w:r w:rsidRPr="00E24C4B">
              <w:rPr>
                <w:rFonts w:cs="Arial"/>
                <w:lang w:val="en-GB"/>
              </w:rPr>
              <w:t>Lymphocyte count decreased</w:t>
            </w:r>
          </w:p>
        </w:tc>
        <w:tc>
          <w:tcPr>
            <w:tcW w:w="2755" w:type="dxa"/>
            <w:noWrap/>
            <w:vAlign w:val="center"/>
          </w:tcPr>
          <w:p w14:paraId="3A1EBF17" w14:textId="3C1CA001" w:rsidR="002F6056" w:rsidRPr="00E24C4B" w:rsidRDefault="002F6056" w:rsidP="002F6056">
            <w:pPr>
              <w:spacing w:line="276" w:lineRule="auto"/>
              <w:jc w:val="center"/>
              <w:rPr>
                <w:rFonts w:cs="Arial"/>
                <w:lang w:val="en-GB"/>
              </w:rPr>
            </w:pPr>
            <w:r w:rsidRPr="00E24C4B">
              <w:rPr>
                <w:rFonts w:eastAsia="Times New Roman" w:cs="Arial"/>
                <w:lang w:val="en-GB" w:eastAsia="it-IT"/>
              </w:rPr>
              <w:t>€1,802.00</w:t>
            </w:r>
          </w:p>
        </w:tc>
        <w:tc>
          <w:tcPr>
            <w:tcW w:w="2409" w:type="dxa"/>
            <w:noWrap/>
            <w:vAlign w:val="center"/>
          </w:tcPr>
          <w:p w14:paraId="2FA5D766" w14:textId="2D941D76" w:rsidR="002F6056" w:rsidRPr="00E24C4B" w:rsidRDefault="002F6056" w:rsidP="002F6056">
            <w:pPr>
              <w:spacing w:line="276" w:lineRule="auto"/>
              <w:jc w:val="center"/>
              <w:rPr>
                <w:rFonts w:cs="Arial"/>
                <w:lang w:val="en-GB"/>
              </w:rPr>
            </w:pPr>
            <w:r w:rsidRPr="00E24C4B">
              <w:rPr>
                <w:rFonts w:cs="Arial"/>
                <w:lang w:val="en-GB"/>
              </w:rPr>
              <w:t>Gamma</w:t>
            </w:r>
          </w:p>
        </w:tc>
        <w:tc>
          <w:tcPr>
            <w:tcW w:w="2410" w:type="dxa"/>
            <w:vAlign w:val="center"/>
          </w:tcPr>
          <w:p w14:paraId="08454085" w14:textId="65AB93FD" w:rsidR="002F6056" w:rsidRPr="00E24C4B" w:rsidRDefault="002F6056" w:rsidP="002F6056">
            <w:pPr>
              <w:spacing w:line="276" w:lineRule="auto"/>
              <w:jc w:val="center"/>
              <w:rPr>
                <w:rFonts w:eastAsia="Times New Roman" w:cs="Arial"/>
                <w:highlight w:val="cyan"/>
                <w:lang w:val="en-GB" w:eastAsia="it-IT"/>
              </w:rPr>
            </w:pPr>
            <w:r w:rsidRPr="00E24C4B">
              <w:rPr>
                <w:rFonts w:cs="Arial"/>
                <w:lang w:val="en-GB"/>
              </w:rPr>
              <w:t>€1,466.18 to €2,171.93</w:t>
            </w:r>
          </w:p>
        </w:tc>
        <w:tc>
          <w:tcPr>
            <w:tcW w:w="2552" w:type="dxa"/>
            <w:noWrap/>
            <w:vAlign w:val="center"/>
          </w:tcPr>
          <w:p w14:paraId="63C8E756" w14:textId="706C2B8D" w:rsidR="002F6056" w:rsidRPr="00E24C4B" w:rsidRDefault="002F6056" w:rsidP="002F6056">
            <w:pPr>
              <w:spacing w:line="276" w:lineRule="auto"/>
              <w:rPr>
                <w:rFonts w:eastAsia="Times New Roman" w:cs="Arial"/>
                <w:lang w:val="en-GB" w:eastAsia="it-IT"/>
              </w:rPr>
            </w:pPr>
            <w:r>
              <w:rPr>
                <w:rFonts w:cs="Arial"/>
                <w:vertAlign w:val="superscript"/>
              </w:rPr>
              <w:t>31</w:t>
            </w:r>
          </w:p>
        </w:tc>
      </w:tr>
      <w:tr w:rsidR="002F6056" w:rsidRPr="002E1D08" w14:paraId="6DDABCE2" w14:textId="77777777" w:rsidTr="00B23DFB">
        <w:trPr>
          <w:trHeight w:val="20"/>
        </w:trPr>
        <w:tc>
          <w:tcPr>
            <w:tcW w:w="4470" w:type="dxa"/>
            <w:noWrap/>
            <w:vAlign w:val="center"/>
          </w:tcPr>
          <w:p w14:paraId="0161F2CD" w14:textId="215D645E" w:rsidR="002F6056" w:rsidRPr="00E24C4B" w:rsidRDefault="002F6056" w:rsidP="002F6056">
            <w:pPr>
              <w:spacing w:line="276" w:lineRule="auto"/>
              <w:rPr>
                <w:rFonts w:cs="Arial"/>
                <w:lang w:val="en-GB"/>
              </w:rPr>
            </w:pPr>
            <w:r w:rsidRPr="00E24C4B">
              <w:rPr>
                <w:rFonts w:cs="Arial"/>
                <w:lang w:val="en-GB"/>
              </w:rPr>
              <w:t>Nausea</w:t>
            </w:r>
          </w:p>
        </w:tc>
        <w:tc>
          <w:tcPr>
            <w:tcW w:w="2755" w:type="dxa"/>
            <w:noWrap/>
            <w:vAlign w:val="center"/>
          </w:tcPr>
          <w:p w14:paraId="25AC5D5E" w14:textId="31332B4B" w:rsidR="002F6056" w:rsidRPr="00E24C4B" w:rsidRDefault="002F6056" w:rsidP="002F6056">
            <w:pPr>
              <w:spacing w:line="276" w:lineRule="auto"/>
              <w:jc w:val="center"/>
              <w:rPr>
                <w:rFonts w:cs="Arial"/>
                <w:lang w:val="en-GB"/>
              </w:rPr>
            </w:pPr>
            <w:r w:rsidRPr="00E24C4B">
              <w:rPr>
                <w:rFonts w:eastAsia="Times New Roman" w:cs="Arial"/>
                <w:lang w:val="en-GB" w:eastAsia="it-IT"/>
              </w:rPr>
              <w:t>€52.17</w:t>
            </w:r>
          </w:p>
        </w:tc>
        <w:tc>
          <w:tcPr>
            <w:tcW w:w="2409" w:type="dxa"/>
            <w:noWrap/>
            <w:vAlign w:val="center"/>
          </w:tcPr>
          <w:p w14:paraId="2A206E58" w14:textId="263B1036" w:rsidR="002F6056" w:rsidRPr="00E24C4B" w:rsidRDefault="002F6056" w:rsidP="002F6056">
            <w:pPr>
              <w:spacing w:line="276" w:lineRule="auto"/>
              <w:jc w:val="center"/>
              <w:rPr>
                <w:rFonts w:cs="Arial"/>
                <w:lang w:val="en-GB"/>
              </w:rPr>
            </w:pPr>
            <w:r w:rsidRPr="00E24C4B">
              <w:rPr>
                <w:rFonts w:cs="Arial"/>
                <w:lang w:val="en-GB"/>
              </w:rPr>
              <w:t>Gamma</w:t>
            </w:r>
          </w:p>
        </w:tc>
        <w:tc>
          <w:tcPr>
            <w:tcW w:w="2410" w:type="dxa"/>
            <w:vAlign w:val="center"/>
          </w:tcPr>
          <w:p w14:paraId="39360188" w14:textId="58FF02FF" w:rsidR="002F6056" w:rsidRPr="00E24C4B" w:rsidRDefault="002F6056" w:rsidP="002F6056">
            <w:pPr>
              <w:spacing w:line="276" w:lineRule="auto"/>
              <w:jc w:val="center"/>
              <w:rPr>
                <w:rFonts w:eastAsia="Times New Roman" w:cs="Arial"/>
                <w:highlight w:val="cyan"/>
                <w:lang w:val="en-GB" w:eastAsia="it-IT"/>
              </w:rPr>
            </w:pPr>
            <w:r w:rsidRPr="00E24C4B">
              <w:rPr>
                <w:rFonts w:cs="Arial"/>
                <w:lang w:val="en-GB"/>
              </w:rPr>
              <w:t>€42.45 to €62.88</w:t>
            </w:r>
          </w:p>
        </w:tc>
        <w:tc>
          <w:tcPr>
            <w:tcW w:w="2552" w:type="dxa"/>
            <w:noWrap/>
            <w:vAlign w:val="center"/>
          </w:tcPr>
          <w:p w14:paraId="67E596E5" w14:textId="00CFC274" w:rsidR="002F6056" w:rsidRPr="00E24C4B" w:rsidRDefault="002F6056" w:rsidP="002F6056">
            <w:pPr>
              <w:spacing w:line="276" w:lineRule="auto"/>
              <w:rPr>
                <w:rFonts w:eastAsia="Times New Roman" w:cs="Arial"/>
                <w:highlight w:val="yellow"/>
                <w:lang w:val="en-GB" w:eastAsia="it-IT"/>
              </w:rPr>
            </w:pPr>
            <w:r>
              <w:rPr>
                <w:rFonts w:cs="Arial"/>
                <w:vertAlign w:val="superscript"/>
                <w:lang w:val="en-US"/>
              </w:rPr>
              <w:t>30</w:t>
            </w:r>
          </w:p>
        </w:tc>
      </w:tr>
      <w:tr w:rsidR="002F6056" w:rsidRPr="002E1D08" w14:paraId="3815CD12" w14:textId="77777777" w:rsidTr="00B23DFB">
        <w:trPr>
          <w:trHeight w:val="20"/>
        </w:trPr>
        <w:tc>
          <w:tcPr>
            <w:tcW w:w="4470" w:type="dxa"/>
            <w:noWrap/>
            <w:vAlign w:val="center"/>
          </w:tcPr>
          <w:p w14:paraId="3EF3E2D1" w14:textId="5434ABEB" w:rsidR="002F6056" w:rsidRPr="00E24C4B" w:rsidRDefault="002F6056" w:rsidP="002F6056">
            <w:pPr>
              <w:spacing w:line="276" w:lineRule="auto"/>
              <w:rPr>
                <w:rFonts w:cs="Arial"/>
                <w:lang w:val="en-GB"/>
              </w:rPr>
            </w:pPr>
            <w:r w:rsidRPr="00E24C4B">
              <w:rPr>
                <w:rFonts w:cs="Arial"/>
                <w:lang w:val="en-GB"/>
              </w:rPr>
              <w:t>Neutrophil count decreased</w:t>
            </w:r>
          </w:p>
        </w:tc>
        <w:tc>
          <w:tcPr>
            <w:tcW w:w="2755" w:type="dxa"/>
            <w:noWrap/>
            <w:vAlign w:val="center"/>
          </w:tcPr>
          <w:p w14:paraId="2D514145" w14:textId="1310A96D" w:rsidR="002F6056" w:rsidRPr="00E24C4B" w:rsidRDefault="002F6056" w:rsidP="002F6056">
            <w:pPr>
              <w:spacing w:line="276" w:lineRule="auto"/>
              <w:jc w:val="center"/>
              <w:rPr>
                <w:rFonts w:cs="Arial"/>
                <w:lang w:val="en-GB"/>
              </w:rPr>
            </w:pPr>
            <w:r w:rsidRPr="00E24C4B">
              <w:rPr>
                <w:rFonts w:eastAsia="Times New Roman" w:cs="Arial"/>
                <w:lang w:val="en-GB" w:eastAsia="it-IT"/>
              </w:rPr>
              <w:t>€1,245.89</w:t>
            </w:r>
          </w:p>
        </w:tc>
        <w:tc>
          <w:tcPr>
            <w:tcW w:w="2409" w:type="dxa"/>
            <w:noWrap/>
            <w:vAlign w:val="center"/>
          </w:tcPr>
          <w:p w14:paraId="73E13652" w14:textId="42E9A103" w:rsidR="002F6056" w:rsidRPr="00E24C4B" w:rsidRDefault="002F6056" w:rsidP="002F6056">
            <w:pPr>
              <w:spacing w:line="276" w:lineRule="auto"/>
              <w:jc w:val="center"/>
              <w:rPr>
                <w:rFonts w:cs="Arial"/>
                <w:lang w:val="en-GB"/>
              </w:rPr>
            </w:pPr>
            <w:r w:rsidRPr="00E24C4B">
              <w:rPr>
                <w:rFonts w:cs="Arial"/>
                <w:lang w:val="en-GB"/>
              </w:rPr>
              <w:t>Gamma</w:t>
            </w:r>
          </w:p>
        </w:tc>
        <w:tc>
          <w:tcPr>
            <w:tcW w:w="2410" w:type="dxa"/>
            <w:vAlign w:val="center"/>
          </w:tcPr>
          <w:p w14:paraId="21EDEC44" w14:textId="3085D3BB" w:rsidR="002F6056" w:rsidRPr="00E24C4B" w:rsidRDefault="002F6056" w:rsidP="002F6056">
            <w:pPr>
              <w:spacing w:line="276" w:lineRule="auto"/>
              <w:jc w:val="center"/>
              <w:rPr>
                <w:rFonts w:eastAsia="Times New Roman" w:cs="Arial"/>
                <w:highlight w:val="cyan"/>
                <w:lang w:val="en-GB" w:eastAsia="it-IT"/>
              </w:rPr>
            </w:pPr>
            <w:r w:rsidRPr="00E24C4B">
              <w:rPr>
                <w:rFonts w:cs="Arial"/>
                <w:lang w:val="en-GB"/>
              </w:rPr>
              <w:t>€1,013.71 to €1,501.66</w:t>
            </w:r>
          </w:p>
        </w:tc>
        <w:tc>
          <w:tcPr>
            <w:tcW w:w="2552" w:type="dxa"/>
            <w:noWrap/>
            <w:vAlign w:val="center"/>
          </w:tcPr>
          <w:p w14:paraId="3F8DA593" w14:textId="3D6383EE" w:rsidR="002F6056" w:rsidRPr="00E24C4B" w:rsidRDefault="002F6056" w:rsidP="002F6056">
            <w:pPr>
              <w:spacing w:line="276" w:lineRule="auto"/>
              <w:rPr>
                <w:rFonts w:eastAsia="Times New Roman" w:cs="Arial"/>
                <w:highlight w:val="yellow"/>
                <w:lang w:val="en-GB" w:eastAsia="it-IT"/>
              </w:rPr>
            </w:pPr>
            <w:r>
              <w:rPr>
                <w:rFonts w:cs="Arial"/>
                <w:vertAlign w:val="superscript"/>
                <w:lang w:val="en-US"/>
              </w:rPr>
              <w:t>30</w:t>
            </w:r>
          </w:p>
        </w:tc>
      </w:tr>
      <w:tr w:rsidR="002F6056" w:rsidRPr="002E1D08" w14:paraId="34513B30" w14:textId="77777777" w:rsidTr="00B23DFB">
        <w:trPr>
          <w:trHeight w:val="20"/>
        </w:trPr>
        <w:tc>
          <w:tcPr>
            <w:tcW w:w="4470" w:type="dxa"/>
            <w:noWrap/>
            <w:vAlign w:val="center"/>
          </w:tcPr>
          <w:p w14:paraId="129815D4" w14:textId="6B6E03D9" w:rsidR="002F6056" w:rsidRPr="00E24C4B" w:rsidRDefault="002F6056" w:rsidP="002F6056">
            <w:pPr>
              <w:spacing w:line="276" w:lineRule="auto"/>
              <w:rPr>
                <w:rFonts w:cs="Arial"/>
                <w:lang w:val="en-GB"/>
              </w:rPr>
            </w:pPr>
            <w:r w:rsidRPr="00E24C4B">
              <w:rPr>
                <w:rFonts w:cs="Arial"/>
                <w:lang w:val="en-GB"/>
              </w:rPr>
              <w:t>Platelet count decreased</w:t>
            </w:r>
          </w:p>
        </w:tc>
        <w:tc>
          <w:tcPr>
            <w:tcW w:w="2755" w:type="dxa"/>
            <w:noWrap/>
            <w:vAlign w:val="center"/>
          </w:tcPr>
          <w:p w14:paraId="6F8A12D2" w14:textId="204FDAA1" w:rsidR="002F6056" w:rsidRPr="00E24C4B" w:rsidRDefault="002F6056" w:rsidP="002F6056">
            <w:pPr>
              <w:spacing w:line="276" w:lineRule="auto"/>
              <w:jc w:val="center"/>
              <w:rPr>
                <w:rFonts w:cs="Arial"/>
                <w:lang w:val="en-GB"/>
              </w:rPr>
            </w:pPr>
            <w:r w:rsidRPr="00E24C4B">
              <w:rPr>
                <w:rFonts w:eastAsia="Times New Roman" w:cs="Arial"/>
                <w:lang w:val="en-GB" w:eastAsia="it-IT"/>
              </w:rPr>
              <w:t>€1,323.00</w:t>
            </w:r>
          </w:p>
        </w:tc>
        <w:tc>
          <w:tcPr>
            <w:tcW w:w="2409" w:type="dxa"/>
            <w:noWrap/>
            <w:vAlign w:val="center"/>
          </w:tcPr>
          <w:p w14:paraId="029BC69D" w14:textId="17D2CF2D" w:rsidR="002F6056" w:rsidRPr="00E24C4B" w:rsidRDefault="002F6056" w:rsidP="002F6056">
            <w:pPr>
              <w:spacing w:line="276" w:lineRule="auto"/>
              <w:jc w:val="center"/>
              <w:rPr>
                <w:rFonts w:cs="Arial"/>
                <w:lang w:val="en-GB"/>
              </w:rPr>
            </w:pPr>
            <w:r w:rsidRPr="00E24C4B">
              <w:rPr>
                <w:rFonts w:cs="Arial"/>
                <w:lang w:val="en-GB"/>
              </w:rPr>
              <w:t>Gamma</w:t>
            </w:r>
          </w:p>
        </w:tc>
        <w:tc>
          <w:tcPr>
            <w:tcW w:w="2410" w:type="dxa"/>
            <w:vAlign w:val="center"/>
          </w:tcPr>
          <w:p w14:paraId="2D1F28E3" w14:textId="3FC90957" w:rsidR="002F6056" w:rsidRPr="00E24C4B" w:rsidRDefault="002F6056" w:rsidP="002F6056">
            <w:pPr>
              <w:spacing w:line="276" w:lineRule="auto"/>
              <w:jc w:val="center"/>
              <w:rPr>
                <w:rFonts w:eastAsia="Times New Roman" w:cs="Arial"/>
                <w:highlight w:val="cyan"/>
                <w:lang w:val="en-GB" w:eastAsia="it-IT"/>
              </w:rPr>
            </w:pPr>
            <w:r w:rsidRPr="00E24C4B">
              <w:rPr>
                <w:rFonts w:cs="Arial"/>
                <w:lang w:val="en-GB"/>
              </w:rPr>
              <w:t>€1,076.45 to €1,594.60</w:t>
            </w:r>
          </w:p>
        </w:tc>
        <w:tc>
          <w:tcPr>
            <w:tcW w:w="2552" w:type="dxa"/>
            <w:noWrap/>
            <w:vAlign w:val="center"/>
          </w:tcPr>
          <w:p w14:paraId="1F705A9F" w14:textId="2DC9063F" w:rsidR="002F6056" w:rsidRPr="00E24C4B" w:rsidRDefault="002F6056" w:rsidP="002F6056">
            <w:pPr>
              <w:spacing w:line="276" w:lineRule="auto"/>
              <w:rPr>
                <w:rFonts w:eastAsia="Times New Roman" w:cs="Arial"/>
                <w:highlight w:val="yellow"/>
                <w:lang w:val="en-GB" w:eastAsia="it-IT"/>
              </w:rPr>
            </w:pPr>
            <w:r>
              <w:rPr>
                <w:rFonts w:cs="Arial"/>
                <w:vertAlign w:val="superscript"/>
              </w:rPr>
              <w:t>31</w:t>
            </w:r>
          </w:p>
        </w:tc>
      </w:tr>
      <w:tr w:rsidR="00811425" w:rsidRPr="002E1D08" w14:paraId="218AC660" w14:textId="77777777" w:rsidTr="00B23DFB">
        <w:trPr>
          <w:trHeight w:val="20"/>
        </w:trPr>
        <w:tc>
          <w:tcPr>
            <w:tcW w:w="4470" w:type="dxa"/>
            <w:noWrap/>
            <w:vAlign w:val="center"/>
          </w:tcPr>
          <w:p w14:paraId="2C79C713" w14:textId="659E4428" w:rsidR="00001447" w:rsidRPr="00E24C4B" w:rsidRDefault="00001447" w:rsidP="001007F0">
            <w:pPr>
              <w:spacing w:line="276" w:lineRule="auto"/>
              <w:rPr>
                <w:rFonts w:cs="Arial"/>
                <w:lang w:val="en-GB"/>
              </w:rPr>
            </w:pPr>
            <w:r w:rsidRPr="00E24C4B">
              <w:rPr>
                <w:rFonts w:cs="Arial"/>
                <w:lang w:val="en-GB"/>
              </w:rPr>
              <w:t>Sepsis</w:t>
            </w:r>
          </w:p>
        </w:tc>
        <w:tc>
          <w:tcPr>
            <w:tcW w:w="2755" w:type="dxa"/>
            <w:noWrap/>
            <w:vAlign w:val="center"/>
          </w:tcPr>
          <w:p w14:paraId="56D6F4AD" w14:textId="67CDAECC" w:rsidR="00001447" w:rsidRPr="00E24C4B" w:rsidRDefault="00001447" w:rsidP="001007F0">
            <w:pPr>
              <w:spacing w:line="276" w:lineRule="auto"/>
              <w:jc w:val="center"/>
              <w:rPr>
                <w:rFonts w:cs="Arial"/>
                <w:lang w:val="en-GB"/>
              </w:rPr>
            </w:pPr>
            <w:r w:rsidRPr="00E24C4B">
              <w:rPr>
                <w:rFonts w:eastAsia="Times New Roman" w:cs="Arial"/>
                <w:lang w:val="en-GB" w:eastAsia="it-IT"/>
              </w:rPr>
              <w:t>€5,943.00</w:t>
            </w:r>
          </w:p>
        </w:tc>
        <w:tc>
          <w:tcPr>
            <w:tcW w:w="2409" w:type="dxa"/>
            <w:noWrap/>
            <w:vAlign w:val="center"/>
          </w:tcPr>
          <w:p w14:paraId="25710049" w14:textId="0D62B815" w:rsidR="00001447" w:rsidRPr="00E24C4B" w:rsidRDefault="00001447" w:rsidP="001007F0">
            <w:pPr>
              <w:spacing w:line="276" w:lineRule="auto"/>
              <w:jc w:val="center"/>
              <w:rPr>
                <w:rFonts w:cs="Arial"/>
                <w:lang w:val="en-GB"/>
              </w:rPr>
            </w:pPr>
            <w:r w:rsidRPr="00E24C4B">
              <w:rPr>
                <w:rFonts w:cs="Arial"/>
                <w:lang w:val="en-GB"/>
              </w:rPr>
              <w:t>Gamma</w:t>
            </w:r>
          </w:p>
        </w:tc>
        <w:tc>
          <w:tcPr>
            <w:tcW w:w="2410" w:type="dxa"/>
            <w:vAlign w:val="center"/>
          </w:tcPr>
          <w:p w14:paraId="7B24B7C6" w14:textId="734D2D3A" w:rsidR="00001447" w:rsidRPr="00E24C4B" w:rsidRDefault="00001447" w:rsidP="001007F0">
            <w:pPr>
              <w:spacing w:line="276" w:lineRule="auto"/>
              <w:jc w:val="center"/>
              <w:rPr>
                <w:rFonts w:eastAsia="Times New Roman" w:cs="Arial"/>
                <w:highlight w:val="cyan"/>
                <w:lang w:val="en-GB" w:eastAsia="it-IT"/>
              </w:rPr>
            </w:pPr>
            <w:r w:rsidRPr="00E24C4B">
              <w:rPr>
                <w:rFonts w:cs="Arial"/>
                <w:lang w:val="en-GB"/>
              </w:rPr>
              <w:t>€4,835.46 to €7,163.04</w:t>
            </w:r>
          </w:p>
        </w:tc>
        <w:tc>
          <w:tcPr>
            <w:tcW w:w="2552" w:type="dxa"/>
            <w:noWrap/>
            <w:vAlign w:val="center"/>
          </w:tcPr>
          <w:p w14:paraId="4AAB1D2B" w14:textId="14017A74" w:rsidR="00001447" w:rsidRPr="00E24C4B" w:rsidRDefault="00001447" w:rsidP="001007F0">
            <w:pPr>
              <w:spacing w:line="276" w:lineRule="auto"/>
              <w:rPr>
                <w:rFonts w:eastAsia="Times New Roman" w:cs="Arial"/>
                <w:highlight w:val="yellow"/>
                <w:lang w:val="en-GB" w:eastAsia="it-IT"/>
              </w:rPr>
            </w:pPr>
            <w:r w:rsidRPr="00E24C4B">
              <w:rPr>
                <w:rFonts w:cs="Arial"/>
                <w:lang w:val="en-GB"/>
              </w:rPr>
              <w:t>DRG 576</w:t>
            </w:r>
            <w:r w:rsidR="002F6056">
              <w:rPr>
                <w:rFonts w:cs="Arial"/>
                <w:vertAlign w:val="superscript"/>
              </w:rPr>
              <w:t>27</w:t>
            </w:r>
          </w:p>
        </w:tc>
      </w:tr>
      <w:tr w:rsidR="00811425" w:rsidRPr="002E1D08" w14:paraId="44A0D12D" w14:textId="77777777" w:rsidTr="00B23DFB">
        <w:trPr>
          <w:trHeight w:val="20"/>
        </w:trPr>
        <w:tc>
          <w:tcPr>
            <w:tcW w:w="4470" w:type="dxa"/>
            <w:noWrap/>
            <w:vAlign w:val="center"/>
          </w:tcPr>
          <w:p w14:paraId="303B5C02" w14:textId="24B8FC67" w:rsidR="00B11008" w:rsidRPr="00E24C4B" w:rsidRDefault="00B11008" w:rsidP="001007F0">
            <w:pPr>
              <w:spacing w:line="276" w:lineRule="auto"/>
              <w:rPr>
                <w:rFonts w:cs="Arial"/>
                <w:lang w:val="en-GB"/>
              </w:rPr>
            </w:pPr>
            <w:r w:rsidRPr="00E24C4B">
              <w:rPr>
                <w:rFonts w:cs="Arial"/>
                <w:lang w:val="en-GB"/>
              </w:rPr>
              <w:t>White blood cell count decreased</w:t>
            </w:r>
          </w:p>
        </w:tc>
        <w:tc>
          <w:tcPr>
            <w:tcW w:w="2755" w:type="dxa"/>
            <w:noWrap/>
            <w:vAlign w:val="center"/>
          </w:tcPr>
          <w:p w14:paraId="70459662" w14:textId="1C5A548C" w:rsidR="00B11008" w:rsidRPr="00E24C4B" w:rsidRDefault="00B11008" w:rsidP="001007F0">
            <w:pPr>
              <w:spacing w:line="276" w:lineRule="auto"/>
              <w:jc w:val="center"/>
              <w:rPr>
                <w:rFonts w:cs="Arial"/>
                <w:lang w:val="en-GB"/>
              </w:rPr>
            </w:pPr>
            <w:r w:rsidRPr="00E24C4B">
              <w:rPr>
                <w:rFonts w:eastAsia="Times New Roman" w:cs="Arial"/>
                <w:lang w:val="en-GB" w:eastAsia="it-IT"/>
              </w:rPr>
              <w:t>€1,802.00</w:t>
            </w:r>
          </w:p>
        </w:tc>
        <w:tc>
          <w:tcPr>
            <w:tcW w:w="2409" w:type="dxa"/>
            <w:noWrap/>
            <w:vAlign w:val="center"/>
          </w:tcPr>
          <w:p w14:paraId="00DFC639" w14:textId="1F3CC317" w:rsidR="00B11008" w:rsidRPr="00E24C4B" w:rsidRDefault="00B11008" w:rsidP="001007F0">
            <w:pPr>
              <w:spacing w:line="276" w:lineRule="auto"/>
              <w:jc w:val="center"/>
              <w:rPr>
                <w:rFonts w:cs="Arial"/>
                <w:lang w:val="en-GB"/>
              </w:rPr>
            </w:pPr>
            <w:r w:rsidRPr="00E24C4B">
              <w:rPr>
                <w:rFonts w:cs="Arial"/>
                <w:lang w:val="en-GB"/>
              </w:rPr>
              <w:t>Gamma</w:t>
            </w:r>
          </w:p>
        </w:tc>
        <w:tc>
          <w:tcPr>
            <w:tcW w:w="2410" w:type="dxa"/>
            <w:vAlign w:val="center"/>
          </w:tcPr>
          <w:p w14:paraId="23C43AA5" w14:textId="2DB1EAD4" w:rsidR="00B11008" w:rsidRPr="00E24C4B" w:rsidRDefault="00B11008" w:rsidP="001007F0">
            <w:pPr>
              <w:spacing w:line="276" w:lineRule="auto"/>
              <w:jc w:val="center"/>
              <w:rPr>
                <w:rFonts w:eastAsia="Times New Roman" w:cs="Arial"/>
                <w:lang w:val="en-GB" w:eastAsia="it-IT"/>
              </w:rPr>
            </w:pPr>
            <w:r w:rsidRPr="00E24C4B">
              <w:rPr>
                <w:rFonts w:cs="Arial"/>
                <w:lang w:val="en-GB"/>
              </w:rPr>
              <w:t>€1,466.18 to €2,171.93</w:t>
            </w:r>
          </w:p>
        </w:tc>
        <w:tc>
          <w:tcPr>
            <w:tcW w:w="2552" w:type="dxa"/>
            <w:noWrap/>
            <w:vAlign w:val="center"/>
          </w:tcPr>
          <w:p w14:paraId="3A0A9FCA" w14:textId="17C36645" w:rsidR="00B11008" w:rsidRPr="00E24C4B" w:rsidRDefault="002F6056" w:rsidP="001007F0">
            <w:pPr>
              <w:spacing w:line="276" w:lineRule="auto"/>
              <w:rPr>
                <w:rFonts w:eastAsia="Times New Roman" w:cs="Arial"/>
                <w:highlight w:val="yellow"/>
                <w:lang w:val="en-GB" w:eastAsia="it-IT"/>
              </w:rPr>
            </w:pPr>
            <w:r>
              <w:rPr>
                <w:rFonts w:cs="Arial"/>
                <w:vertAlign w:val="superscript"/>
              </w:rPr>
              <w:t>31</w:t>
            </w:r>
          </w:p>
        </w:tc>
      </w:tr>
      <w:tr w:rsidR="00811425" w:rsidRPr="002E1D08" w14:paraId="4A80B074" w14:textId="77777777" w:rsidTr="001007F0">
        <w:trPr>
          <w:trHeight w:val="20"/>
        </w:trPr>
        <w:tc>
          <w:tcPr>
            <w:tcW w:w="14596" w:type="dxa"/>
            <w:gridSpan w:val="5"/>
            <w:shd w:val="clear" w:color="auto" w:fill="F2F2F2" w:themeFill="background1" w:themeFillShade="F2"/>
            <w:noWrap/>
          </w:tcPr>
          <w:p w14:paraId="452F8150" w14:textId="45FDDA48" w:rsidR="00F74D06" w:rsidRPr="00E24C4B" w:rsidRDefault="00F74D06" w:rsidP="001007F0">
            <w:pPr>
              <w:spacing w:line="276" w:lineRule="auto"/>
              <w:rPr>
                <w:rFonts w:cs="Arial"/>
                <w:highlight w:val="green"/>
                <w:lang w:val="en-GB"/>
              </w:rPr>
            </w:pPr>
            <w:r w:rsidRPr="00E24C4B">
              <w:rPr>
                <w:rFonts w:cs="Arial"/>
                <w:b/>
                <w:bCs/>
                <w:i/>
                <w:iCs/>
                <w:lang w:val="en-GB"/>
              </w:rPr>
              <w:t>AEs utility decrements</w:t>
            </w:r>
          </w:p>
        </w:tc>
      </w:tr>
      <w:tr w:rsidR="002F6056" w:rsidRPr="002E1D08" w14:paraId="535D835A" w14:textId="77777777" w:rsidTr="0042599F">
        <w:trPr>
          <w:trHeight w:val="20"/>
        </w:trPr>
        <w:tc>
          <w:tcPr>
            <w:tcW w:w="4470" w:type="dxa"/>
            <w:noWrap/>
            <w:vAlign w:val="center"/>
          </w:tcPr>
          <w:p w14:paraId="4895D499" w14:textId="4675B7F0" w:rsidR="002F6056" w:rsidRPr="00E24C4B" w:rsidDel="007F5A15" w:rsidRDefault="002F6056" w:rsidP="002F6056">
            <w:pPr>
              <w:spacing w:line="276" w:lineRule="auto"/>
              <w:rPr>
                <w:rFonts w:cs="Arial"/>
                <w:lang w:val="en-GB"/>
              </w:rPr>
            </w:pPr>
            <w:r w:rsidRPr="00E24C4B">
              <w:rPr>
                <w:rFonts w:cs="Arial"/>
                <w:lang w:val="en-GB"/>
              </w:rPr>
              <w:t>Alanine aminotransferase (ALT) increased</w:t>
            </w:r>
          </w:p>
        </w:tc>
        <w:tc>
          <w:tcPr>
            <w:tcW w:w="2755" w:type="dxa"/>
            <w:tcBorders>
              <w:top w:val="single" w:sz="4" w:space="0" w:color="auto"/>
              <w:left w:val="single" w:sz="4" w:space="0" w:color="auto"/>
              <w:bottom w:val="single" w:sz="4" w:space="0" w:color="auto"/>
              <w:right w:val="single" w:sz="4" w:space="0" w:color="auto"/>
            </w:tcBorders>
            <w:noWrap/>
            <w:vAlign w:val="center"/>
          </w:tcPr>
          <w:p w14:paraId="3709D324" w14:textId="716F33C9" w:rsidR="002F6056" w:rsidRPr="00E24C4B" w:rsidDel="007F5A15" w:rsidRDefault="002F6056" w:rsidP="002F6056">
            <w:pPr>
              <w:spacing w:line="276" w:lineRule="auto"/>
              <w:jc w:val="center"/>
              <w:rPr>
                <w:rFonts w:eastAsia="Times New Roman" w:cs="Arial"/>
                <w:lang w:val="en-GB" w:eastAsia="it-IT"/>
              </w:rPr>
            </w:pPr>
            <w:r w:rsidRPr="00E24C4B">
              <w:rPr>
                <w:rFonts w:cs="Arial"/>
                <w:lang w:val="en-GB"/>
              </w:rPr>
              <w:t>0.00</w:t>
            </w:r>
          </w:p>
        </w:tc>
        <w:tc>
          <w:tcPr>
            <w:tcW w:w="2409" w:type="dxa"/>
            <w:noWrap/>
            <w:vAlign w:val="center"/>
          </w:tcPr>
          <w:p w14:paraId="079C9B6A" w14:textId="13003F5F" w:rsidR="002F6056" w:rsidRPr="00E24C4B" w:rsidDel="007F5A15" w:rsidRDefault="002F6056" w:rsidP="002F6056">
            <w:pPr>
              <w:spacing w:line="276" w:lineRule="auto"/>
              <w:jc w:val="center"/>
              <w:rPr>
                <w:rFonts w:eastAsia="Times New Roman" w:cs="Arial"/>
                <w:lang w:val="en-GB" w:eastAsia="it-IT"/>
              </w:rPr>
            </w:pPr>
            <w:r w:rsidRPr="00E24C4B">
              <w:rPr>
                <w:rFonts w:cs="Arial"/>
                <w:lang w:val="en-GB"/>
              </w:rPr>
              <w:t>Constant</w:t>
            </w:r>
          </w:p>
        </w:tc>
        <w:tc>
          <w:tcPr>
            <w:tcW w:w="2410" w:type="dxa"/>
            <w:vAlign w:val="center"/>
          </w:tcPr>
          <w:p w14:paraId="1E02D999" w14:textId="1A7BE86C" w:rsidR="002F6056" w:rsidRPr="00E24C4B" w:rsidRDefault="002F6056" w:rsidP="002F6056">
            <w:pPr>
              <w:spacing w:line="276" w:lineRule="auto"/>
              <w:jc w:val="center"/>
              <w:rPr>
                <w:rFonts w:eastAsia="Times New Roman" w:cs="Arial"/>
                <w:lang w:val="en-GB" w:eastAsia="it-IT"/>
              </w:rPr>
            </w:pPr>
            <w:r w:rsidRPr="00E24C4B">
              <w:rPr>
                <w:rFonts w:eastAsia="Times New Roman" w:cs="Arial"/>
                <w:lang w:val="en-GB" w:eastAsia="it-IT"/>
              </w:rPr>
              <w:t>-</w:t>
            </w:r>
          </w:p>
        </w:tc>
        <w:tc>
          <w:tcPr>
            <w:tcW w:w="2552" w:type="dxa"/>
            <w:noWrap/>
            <w:vAlign w:val="center"/>
          </w:tcPr>
          <w:p w14:paraId="6E627CE0" w14:textId="65AF1BE5" w:rsidR="002F6056" w:rsidRPr="00E24C4B" w:rsidDel="007F5A15" w:rsidRDefault="002F6056" w:rsidP="002F6056">
            <w:pPr>
              <w:spacing w:line="276" w:lineRule="auto"/>
              <w:rPr>
                <w:rFonts w:eastAsia="Times New Roman" w:cs="Arial"/>
                <w:highlight w:val="green"/>
                <w:lang w:val="en-GB" w:eastAsia="it-IT"/>
              </w:rPr>
            </w:pPr>
            <w:r>
              <w:rPr>
                <w:rFonts w:cs="Arial"/>
                <w:vertAlign w:val="superscript"/>
              </w:rPr>
              <w:t>18</w:t>
            </w:r>
          </w:p>
        </w:tc>
      </w:tr>
      <w:tr w:rsidR="002F6056" w:rsidRPr="002E1D08" w14:paraId="6DE51B9D" w14:textId="77777777" w:rsidTr="0042599F">
        <w:trPr>
          <w:trHeight w:val="20"/>
        </w:trPr>
        <w:tc>
          <w:tcPr>
            <w:tcW w:w="4470" w:type="dxa"/>
            <w:noWrap/>
            <w:vAlign w:val="center"/>
          </w:tcPr>
          <w:p w14:paraId="4584F5C7" w14:textId="77777777" w:rsidR="002F6056" w:rsidRPr="00E24C4B" w:rsidRDefault="002F6056" w:rsidP="002F6056">
            <w:pPr>
              <w:spacing w:line="276" w:lineRule="auto"/>
              <w:rPr>
                <w:rFonts w:cs="Arial"/>
                <w:lang w:val="en-GB"/>
              </w:rPr>
            </w:pPr>
            <w:r w:rsidRPr="00E24C4B">
              <w:rPr>
                <w:rFonts w:cs="Arial"/>
                <w:lang w:val="en-GB"/>
              </w:rPr>
              <w:t>Anaemia</w:t>
            </w:r>
          </w:p>
        </w:tc>
        <w:tc>
          <w:tcPr>
            <w:tcW w:w="2755" w:type="dxa"/>
            <w:tcBorders>
              <w:top w:val="nil"/>
              <w:left w:val="single" w:sz="4" w:space="0" w:color="auto"/>
              <w:bottom w:val="single" w:sz="4" w:space="0" w:color="auto"/>
              <w:right w:val="single" w:sz="4" w:space="0" w:color="auto"/>
            </w:tcBorders>
            <w:noWrap/>
            <w:vAlign w:val="center"/>
          </w:tcPr>
          <w:p w14:paraId="18D5A438" w14:textId="5222AD0A" w:rsidR="002F6056" w:rsidRPr="00E24C4B" w:rsidRDefault="002F6056" w:rsidP="002F6056">
            <w:pPr>
              <w:spacing w:line="276" w:lineRule="auto"/>
              <w:jc w:val="center"/>
              <w:rPr>
                <w:rFonts w:eastAsia="Times New Roman" w:cs="Arial"/>
                <w:lang w:val="en-GB" w:eastAsia="it-IT"/>
              </w:rPr>
            </w:pPr>
            <w:r w:rsidRPr="00E24C4B">
              <w:rPr>
                <w:rFonts w:cs="Arial"/>
                <w:lang w:val="en-GB"/>
              </w:rPr>
              <w:t>0.12</w:t>
            </w:r>
          </w:p>
        </w:tc>
        <w:tc>
          <w:tcPr>
            <w:tcW w:w="2409" w:type="dxa"/>
            <w:noWrap/>
          </w:tcPr>
          <w:p w14:paraId="2A0E5D95" w14:textId="2DEE6239" w:rsidR="002F6056" w:rsidRPr="00E24C4B" w:rsidRDefault="002F6056" w:rsidP="002F6056">
            <w:pPr>
              <w:spacing w:line="276" w:lineRule="auto"/>
              <w:jc w:val="center"/>
              <w:rPr>
                <w:rFonts w:cs="Arial"/>
                <w:lang w:val="en-GB"/>
              </w:rPr>
            </w:pPr>
            <w:r w:rsidRPr="00E24C4B">
              <w:rPr>
                <w:rFonts w:cs="Arial"/>
                <w:lang w:val="en-GB"/>
              </w:rPr>
              <w:t>Beta</w:t>
            </w:r>
          </w:p>
        </w:tc>
        <w:tc>
          <w:tcPr>
            <w:tcW w:w="2410" w:type="dxa"/>
            <w:tcBorders>
              <w:top w:val="single" w:sz="4" w:space="0" w:color="auto"/>
              <w:left w:val="single" w:sz="4" w:space="0" w:color="auto"/>
              <w:bottom w:val="single" w:sz="4" w:space="0" w:color="auto"/>
              <w:right w:val="single" w:sz="4" w:space="0" w:color="auto"/>
            </w:tcBorders>
            <w:vAlign w:val="center"/>
          </w:tcPr>
          <w:p w14:paraId="0428E524" w14:textId="0A2B34D8" w:rsidR="002F6056" w:rsidRPr="00E24C4B" w:rsidRDefault="002F6056" w:rsidP="002F6056">
            <w:pPr>
              <w:spacing w:line="276" w:lineRule="auto"/>
              <w:jc w:val="center"/>
              <w:rPr>
                <w:rFonts w:eastAsia="Times New Roman" w:cs="Arial"/>
                <w:lang w:val="en-GB" w:eastAsia="it-IT"/>
              </w:rPr>
            </w:pPr>
            <w:r w:rsidRPr="00E24C4B">
              <w:rPr>
                <w:rFonts w:cs="Arial"/>
                <w:lang w:val="en-GB"/>
              </w:rPr>
              <w:t>0.08 to 0.16</w:t>
            </w:r>
          </w:p>
        </w:tc>
        <w:tc>
          <w:tcPr>
            <w:tcW w:w="2552" w:type="dxa"/>
            <w:noWrap/>
            <w:vAlign w:val="center"/>
          </w:tcPr>
          <w:p w14:paraId="2FEB388C" w14:textId="6CA5B000" w:rsidR="002F6056" w:rsidRPr="00E24C4B" w:rsidRDefault="002F6056" w:rsidP="002F6056">
            <w:pPr>
              <w:spacing w:line="276" w:lineRule="auto"/>
              <w:rPr>
                <w:rFonts w:eastAsia="Times New Roman" w:cs="Arial"/>
                <w:lang w:val="en-GB" w:eastAsia="it-IT"/>
              </w:rPr>
            </w:pPr>
            <w:r>
              <w:rPr>
                <w:rFonts w:cs="Arial"/>
                <w:vertAlign w:val="superscript"/>
              </w:rPr>
              <w:t>4</w:t>
            </w:r>
            <w:r w:rsidR="00843045">
              <w:rPr>
                <w:rFonts w:cs="Arial"/>
                <w:vertAlign w:val="superscript"/>
              </w:rPr>
              <w:t>5</w:t>
            </w:r>
          </w:p>
        </w:tc>
      </w:tr>
      <w:tr w:rsidR="00811425" w:rsidRPr="002E1D08" w14:paraId="587738D7" w14:textId="77777777" w:rsidTr="00733C21">
        <w:trPr>
          <w:trHeight w:val="351"/>
        </w:trPr>
        <w:tc>
          <w:tcPr>
            <w:tcW w:w="4470" w:type="dxa"/>
            <w:noWrap/>
            <w:vAlign w:val="center"/>
          </w:tcPr>
          <w:p w14:paraId="09613E30" w14:textId="77777777" w:rsidR="00B1153C" w:rsidRPr="00E24C4B" w:rsidDel="007F5A15" w:rsidRDefault="00B1153C" w:rsidP="001007F0">
            <w:pPr>
              <w:spacing w:line="276" w:lineRule="auto"/>
              <w:rPr>
                <w:rFonts w:cs="Arial"/>
                <w:lang w:val="en-GB"/>
              </w:rPr>
            </w:pPr>
            <w:r w:rsidRPr="00E24C4B">
              <w:rPr>
                <w:rFonts w:cs="Arial"/>
                <w:lang w:val="en-GB"/>
              </w:rPr>
              <w:lastRenderedPageBreak/>
              <w:t>Aphasia</w:t>
            </w:r>
          </w:p>
        </w:tc>
        <w:tc>
          <w:tcPr>
            <w:tcW w:w="2755" w:type="dxa"/>
            <w:tcBorders>
              <w:top w:val="nil"/>
              <w:left w:val="single" w:sz="4" w:space="0" w:color="auto"/>
              <w:bottom w:val="single" w:sz="4" w:space="0" w:color="auto"/>
              <w:right w:val="single" w:sz="4" w:space="0" w:color="auto"/>
            </w:tcBorders>
            <w:noWrap/>
            <w:vAlign w:val="center"/>
          </w:tcPr>
          <w:p w14:paraId="729B7D7E" w14:textId="17553EC3" w:rsidR="00B1153C" w:rsidRPr="00E24C4B" w:rsidDel="007F5A15" w:rsidRDefault="00B1153C" w:rsidP="001007F0">
            <w:pPr>
              <w:spacing w:line="276" w:lineRule="auto"/>
              <w:jc w:val="center"/>
              <w:rPr>
                <w:rFonts w:eastAsia="Times New Roman" w:cs="Arial"/>
                <w:lang w:val="en-GB" w:eastAsia="it-IT"/>
              </w:rPr>
            </w:pPr>
            <w:r w:rsidRPr="00E24C4B">
              <w:rPr>
                <w:rFonts w:cs="Arial"/>
                <w:lang w:val="en-GB"/>
              </w:rPr>
              <w:t>0.00</w:t>
            </w:r>
          </w:p>
        </w:tc>
        <w:tc>
          <w:tcPr>
            <w:tcW w:w="2409" w:type="dxa"/>
            <w:noWrap/>
            <w:vAlign w:val="center"/>
          </w:tcPr>
          <w:p w14:paraId="3A96D5A3" w14:textId="7515A748" w:rsidR="00B1153C" w:rsidRPr="00E24C4B" w:rsidDel="007F5A15" w:rsidRDefault="00B1153C" w:rsidP="001007F0">
            <w:pPr>
              <w:spacing w:line="276" w:lineRule="auto"/>
              <w:jc w:val="center"/>
              <w:rPr>
                <w:rFonts w:eastAsia="Times New Roman" w:cs="Arial"/>
                <w:lang w:val="en-GB" w:eastAsia="it-IT"/>
              </w:rPr>
            </w:pPr>
            <w:r w:rsidRPr="00E24C4B">
              <w:rPr>
                <w:rFonts w:cs="Arial"/>
                <w:lang w:val="en-GB"/>
              </w:rPr>
              <w:t>Constant</w:t>
            </w:r>
          </w:p>
        </w:tc>
        <w:tc>
          <w:tcPr>
            <w:tcW w:w="2410" w:type="dxa"/>
            <w:tcBorders>
              <w:top w:val="nil"/>
              <w:left w:val="single" w:sz="4" w:space="0" w:color="auto"/>
              <w:bottom w:val="single" w:sz="4" w:space="0" w:color="auto"/>
              <w:right w:val="single" w:sz="4" w:space="0" w:color="auto"/>
            </w:tcBorders>
            <w:vAlign w:val="center"/>
          </w:tcPr>
          <w:p w14:paraId="478E9433" w14:textId="7CCFAA22" w:rsidR="00B1153C" w:rsidRPr="00E24C4B" w:rsidRDefault="00B1153C" w:rsidP="001007F0">
            <w:pPr>
              <w:spacing w:line="276" w:lineRule="auto"/>
              <w:jc w:val="center"/>
              <w:rPr>
                <w:rFonts w:eastAsia="Times New Roman" w:cs="Arial"/>
                <w:lang w:val="en-GB" w:eastAsia="it-IT"/>
              </w:rPr>
            </w:pPr>
            <w:r w:rsidRPr="00E24C4B">
              <w:rPr>
                <w:rFonts w:eastAsia="Times New Roman" w:cs="Arial"/>
                <w:lang w:val="en-GB" w:eastAsia="it-IT"/>
              </w:rPr>
              <w:t>-</w:t>
            </w:r>
          </w:p>
        </w:tc>
        <w:tc>
          <w:tcPr>
            <w:tcW w:w="2552" w:type="dxa"/>
            <w:noWrap/>
            <w:vAlign w:val="center"/>
          </w:tcPr>
          <w:p w14:paraId="43D83507" w14:textId="190B55B1" w:rsidR="00B1153C" w:rsidRPr="00E24C4B" w:rsidDel="007F5A15" w:rsidRDefault="00B1153C" w:rsidP="001007F0">
            <w:pPr>
              <w:spacing w:line="276" w:lineRule="auto"/>
              <w:rPr>
                <w:rFonts w:eastAsia="Times New Roman" w:cs="Arial"/>
                <w:highlight w:val="yellow"/>
                <w:lang w:val="en-GB" w:eastAsia="it-IT"/>
              </w:rPr>
            </w:pPr>
            <w:r w:rsidRPr="00E24C4B">
              <w:rPr>
                <w:rFonts w:cs="Arial"/>
                <w:lang w:val="en-GB"/>
              </w:rPr>
              <w:t>Assumption</w:t>
            </w:r>
          </w:p>
        </w:tc>
      </w:tr>
      <w:tr w:rsidR="00811425" w:rsidRPr="008849A6" w14:paraId="25B00878" w14:textId="77777777" w:rsidTr="001D38A2">
        <w:trPr>
          <w:trHeight w:val="20"/>
        </w:trPr>
        <w:tc>
          <w:tcPr>
            <w:tcW w:w="4470" w:type="dxa"/>
            <w:noWrap/>
            <w:vAlign w:val="center"/>
          </w:tcPr>
          <w:p w14:paraId="70CC6E23" w14:textId="77777777" w:rsidR="00B1153C" w:rsidRPr="00E24C4B" w:rsidDel="007F5A15" w:rsidRDefault="00B1153C" w:rsidP="001007F0">
            <w:pPr>
              <w:spacing w:line="276" w:lineRule="auto"/>
              <w:rPr>
                <w:rFonts w:cs="Arial"/>
                <w:lang w:val="en-GB"/>
              </w:rPr>
            </w:pPr>
            <w:r w:rsidRPr="00E24C4B">
              <w:rPr>
                <w:rFonts w:cs="Arial"/>
                <w:lang w:val="en-GB"/>
              </w:rPr>
              <w:t>Aspartate aminotransferase increased</w:t>
            </w:r>
          </w:p>
        </w:tc>
        <w:tc>
          <w:tcPr>
            <w:tcW w:w="2755" w:type="dxa"/>
            <w:tcBorders>
              <w:top w:val="nil"/>
              <w:left w:val="single" w:sz="4" w:space="0" w:color="auto"/>
              <w:bottom w:val="single" w:sz="4" w:space="0" w:color="auto"/>
              <w:right w:val="single" w:sz="4" w:space="0" w:color="auto"/>
            </w:tcBorders>
            <w:noWrap/>
            <w:vAlign w:val="center"/>
          </w:tcPr>
          <w:p w14:paraId="6DAA3357" w14:textId="3C55886C" w:rsidR="00B1153C" w:rsidRPr="00E24C4B" w:rsidDel="007F5A15" w:rsidRDefault="00B1153C" w:rsidP="001007F0">
            <w:pPr>
              <w:spacing w:line="276" w:lineRule="auto"/>
              <w:jc w:val="center"/>
              <w:rPr>
                <w:rFonts w:eastAsia="Times New Roman" w:cs="Arial"/>
                <w:lang w:val="en-GB" w:eastAsia="it-IT"/>
              </w:rPr>
            </w:pPr>
            <w:r w:rsidRPr="00E24C4B">
              <w:rPr>
                <w:rFonts w:cs="Arial"/>
                <w:lang w:val="en-GB"/>
              </w:rPr>
              <w:t>0.00</w:t>
            </w:r>
          </w:p>
        </w:tc>
        <w:tc>
          <w:tcPr>
            <w:tcW w:w="2409" w:type="dxa"/>
            <w:noWrap/>
            <w:vAlign w:val="center"/>
          </w:tcPr>
          <w:p w14:paraId="201DA880" w14:textId="4482FA8A" w:rsidR="00B1153C" w:rsidRPr="00E24C4B" w:rsidDel="007F5A15" w:rsidRDefault="00B1153C" w:rsidP="001007F0">
            <w:pPr>
              <w:spacing w:line="276" w:lineRule="auto"/>
              <w:jc w:val="center"/>
              <w:rPr>
                <w:rFonts w:eastAsia="Times New Roman" w:cs="Arial"/>
                <w:lang w:val="en-GB" w:eastAsia="it-IT"/>
              </w:rPr>
            </w:pPr>
            <w:r w:rsidRPr="00E24C4B">
              <w:rPr>
                <w:rFonts w:cs="Arial"/>
                <w:lang w:val="en-GB"/>
              </w:rPr>
              <w:t>Constant</w:t>
            </w:r>
          </w:p>
        </w:tc>
        <w:tc>
          <w:tcPr>
            <w:tcW w:w="2410" w:type="dxa"/>
            <w:tcBorders>
              <w:top w:val="nil"/>
              <w:left w:val="single" w:sz="4" w:space="0" w:color="auto"/>
              <w:bottom w:val="single" w:sz="4" w:space="0" w:color="auto"/>
              <w:right w:val="single" w:sz="4" w:space="0" w:color="auto"/>
            </w:tcBorders>
            <w:vAlign w:val="center"/>
          </w:tcPr>
          <w:p w14:paraId="2CD5FB96" w14:textId="735C9C6E" w:rsidR="00B1153C" w:rsidRPr="00E24C4B" w:rsidRDefault="00B1153C" w:rsidP="001007F0">
            <w:pPr>
              <w:spacing w:line="276" w:lineRule="auto"/>
              <w:jc w:val="center"/>
              <w:rPr>
                <w:rFonts w:eastAsia="Times New Roman" w:cs="Arial"/>
                <w:lang w:val="en-GB" w:eastAsia="it-IT"/>
              </w:rPr>
            </w:pPr>
            <w:r w:rsidRPr="00E24C4B">
              <w:rPr>
                <w:rFonts w:eastAsia="Times New Roman" w:cs="Arial"/>
                <w:lang w:val="en-GB" w:eastAsia="it-IT"/>
              </w:rPr>
              <w:t>-</w:t>
            </w:r>
          </w:p>
        </w:tc>
        <w:tc>
          <w:tcPr>
            <w:tcW w:w="2552" w:type="dxa"/>
            <w:noWrap/>
            <w:vAlign w:val="center"/>
          </w:tcPr>
          <w:p w14:paraId="28216F1A" w14:textId="726DF864" w:rsidR="00B1153C" w:rsidRPr="00E24C4B" w:rsidDel="007F5A15" w:rsidRDefault="00B1153C" w:rsidP="001007F0">
            <w:pPr>
              <w:spacing w:line="276" w:lineRule="auto"/>
              <w:rPr>
                <w:rFonts w:eastAsia="Times New Roman" w:cs="Arial"/>
                <w:highlight w:val="yellow"/>
                <w:lang w:val="en-GB" w:eastAsia="it-IT"/>
              </w:rPr>
            </w:pPr>
            <w:r w:rsidRPr="00E24C4B">
              <w:rPr>
                <w:rFonts w:cs="Arial"/>
                <w:lang w:val="en-GB"/>
              </w:rPr>
              <w:t xml:space="preserve">Assumed same as </w:t>
            </w:r>
            <w:r w:rsidR="00B11008" w:rsidRPr="00E24C4B">
              <w:rPr>
                <w:rFonts w:cs="Arial"/>
                <w:lang w:val="en-GB"/>
              </w:rPr>
              <w:t xml:space="preserve">ALT </w:t>
            </w:r>
            <w:r w:rsidRPr="00E24C4B">
              <w:rPr>
                <w:rFonts w:cs="Arial"/>
                <w:lang w:val="en-GB"/>
              </w:rPr>
              <w:t>increased</w:t>
            </w:r>
          </w:p>
        </w:tc>
      </w:tr>
      <w:tr w:rsidR="00811425" w:rsidRPr="002E1D08" w14:paraId="1D4F39FD" w14:textId="77777777" w:rsidTr="0042599F">
        <w:trPr>
          <w:trHeight w:val="20"/>
        </w:trPr>
        <w:tc>
          <w:tcPr>
            <w:tcW w:w="4470" w:type="dxa"/>
            <w:noWrap/>
            <w:vAlign w:val="center"/>
          </w:tcPr>
          <w:p w14:paraId="6D41BD21" w14:textId="35331805" w:rsidR="00001447" w:rsidRPr="00E24C4B" w:rsidDel="007F5A15" w:rsidRDefault="00001447" w:rsidP="001007F0">
            <w:pPr>
              <w:spacing w:line="276" w:lineRule="auto"/>
              <w:rPr>
                <w:rFonts w:cs="Arial"/>
                <w:lang w:val="en-GB"/>
              </w:rPr>
            </w:pPr>
            <w:r w:rsidRPr="00E24C4B">
              <w:rPr>
                <w:rFonts w:cs="Arial"/>
                <w:lang w:val="en-GB"/>
              </w:rPr>
              <w:t>Cytokine release syndrome</w:t>
            </w:r>
          </w:p>
        </w:tc>
        <w:tc>
          <w:tcPr>
            <w:tcW w:w="2755" w:type="dxa"/>
            <w:tcBorders>
              <w:top w:val="nil"/>
              <w:left w:val="single" w:sz="4" w:space="0" w:color="auto"/>
              <w:bottom w:val="single" w:sz="4" w:space="0" w:color="auto"/>
              <w:right w:val="single" w:sz="4" w:space="0" w:color="auto"/>
            </w:tcBorders>
            <w:noWrap/>
            <w:vAlign w:val="center"/>
          </w:tcPr>
          <w:p w14:paraId="0E019D84" w14:textId="385F58F3" w:rsidR="00001447" w:rsidRPr="00E24C4B" w:rsidRDefault="00001447" w:rsidP="001007F0">
            <w:pPr>
              <w:spacing w:line="276" w:lineRule="auto"/>
              <w:jc w:val="center"/>
              <w:rPr>
                <w:rFonts w:cs="Arial"/>
                <w:lang w:val="en-GB"/>
              </w:rPr>
            </w:pPr>
            <w:r w:rsidRPr="00E24C4B">
              <w:rPr>
                <w:rFonts w:cs="Arial"/>
                <w:lang w:val="en-GB"/>
              </w:rPr>
              <w:t>0.23</w:t>
            </w:r>
          </w:p>
        </w:tc>
        <w:tc>
          <w:tcPr>
            <w:tcW w:w="2409" w:type="dxa"/>
            <w:noWrap/>
          </w:tcPr>
          <w:p w14:paraId="1DC625B3" w14:textId="4BFA1026" w:rsidR="00001447" w:rsidRPr="00E24C4B" w:rsidRDefault="00001447" w:rsidP="001007F0">
            <w:pPr>
              <w:spacing w:line="276" w:lineRule="auto"/>
              <w:jc w:val="center"/>
              <w:rPr>
                <w:rFonts w:cs="Arial"/>
                <w:lang w:val="en-GB"/>
              </w:rPr>
            </w:pPr>
            <w:r w:rsidRPr="00E24C4B">
              <w:rPr>
                <w:rFonts w:cs="Arial"/>
                <w:lang w:val="en-GB"/>
              </w:rPr>
              <w:t>Beta</w:t>
            </w:r>
          </w:p>
        </w:tc>
        <w:tc>
          <w:tcPr>
            <w:tcW w:w="2410" w:type="dxa"/>
            <w:tcBorders>
              <w:top w:val="nil"/>
              <w:left w:val="single" w:sz="4" w:space="0" w:color="auto"/>
              <w:bottom w:val="single" w:sz="4" w:space="0" w:color="auto"/>
              <w:right w:val="single" w:sz="4" w:space="0" w:color="auto"/>
            </w:tcBorders>
            <w:vAlign w:val="center"/>
          </w:tcPr>
          <w:p w14:paraId="55A115C6" w14:textId="67E08A76" w:rsidR="00001447" w:rsidRPr="00E24C4B" w:rsidRDefault="00001447" w:rsidP="001007F0">
            <w:pPr>
              <w:spacing w:line="276" w:lineRule="auto"/>
              <w:jc w:val="center"/>
              <w:rPr>
                <w:rFonts w:eastAsia="Times New Roman" w:cs="Arial"/>
                <w:lang w:val="en-GB" w:eastAsia="it-IT"/>
              </w:rPr>
            </w:pPr>
            <w:r w:rsidRPr="00E24C4B">
              <w:rPr>
                <w:rFonts w:cs="Arial"/>
                <w:lang w:val="en-GB"/>
              </w:rPr>
              <w:t>0.19 to 0.28</w:t>
            </w:r>
          </w:p>
        </w:tc>
        <w:tc>
          <w:tcPr>
            <w:tcW w:w="2552" w:type="dxa"/>
            <w:noWrap/>
            <w:vAlign w:val="center"/>
          </w:tcPr>
          <w:p w14:paraId="1FCD2D4A" w14:textId="4C17409C" w:rsidR="00001447" w:rsidRPr="00E24C4B" w:rsidRDefault="002F6056" w:rsidP="001007F0">
            <w:pPr>
              <w:spacing w:line="276" w:lineRule="auto"/>
              <w:rPr>
                <w:rFonts w:cs="Arial"/>
                <w:highlight w:val="green"/>
                <w:lang w:val="en-GB"/>
              </w:rPr>
            </w:pPr>
            <w:r>
              <w:rPr>
                <w:rFonts w:cs="Arial"/>
                <w:vertAlign w:val="superscript"/>
              </w:rPr>
              <w:t>4</w:t>
            </w:r>
            <w:r w:rsidR="00843045">
              <w:rPr>
                <w:rFonts w:cs="Arial"/>
                <w:vertAlign w:val="superscript"/>
              </w:rPr>
              <w:t>6</w:t>
            </w:r>
          </w:p>
        </w:tc>
      </w:tr>
      <w:tr w:rsidR="00811425" w:rsidRPr="002E1D08" w14:paraId="23D576BB" w14:textId="77777777" w:rsidTr="0042599F">
        <w:trPr>
          <w:trHeight w:val="20"/>
        </w:trPr>
        <w:tc>
          <w:tcPr>
            <w:tcW w:w="4470" w:type="dxa"/>
            <w:noWrap/>
            <w:vAlign w:val="center"/>
          </w:tcPr>
          <w:p w14:paraId="03706B0B" w14:textId="77777777" w:rsidR="00001447" w:rsidRPr="00E24C4B" w:rsidRDefault="00001447" w:rsidP="001007F0">
            <w:pPr>
              <w:spacing w:line="276" w:lineRule="auto"/>
              <w:rPr>
                <w:rFonts w:cs="Arial"/>
                <w:lang w:val="en-GB"/>
              </w:rPr>
            </w:pPr>
            <w:r w:rsidRPr="00E24C4B">
              <w:rPr>
                <w:rFonts w:cs="Arial"/>
                <w:lang w:val="en-GB"/>
              </w:rPr>
              <w:t>Device related infection</w:t>
            </w:r>
          </w:p>
        </w:tc>
        <w:tc>
          <w:tcPr>
            <w:tcW w:w="2755" w:type="dxa"/>
            <w:tcBorders>
              <w:top w:val="nil"/>
              <w:left w:val="single" w:sz="4" w:space="0" w:color="auto"/>
              <w:bottom w:val="single" w:sz="4" w:space="0" w:color="auto"/>
              <w:right w:val="single" w:sz="4" w:space="0" w:color="auto"/>
            </w:tcBorders>
            <w:noWrap/>
            <w:vAlign w:val="center"/>
          </w:tcPr>
          <w:p w14:paraId="0AC72718" w14:textId="3CE42138" w:rsidR="00001447" w:rsidRPr="00E24C4B" w:rsidRDefault="00001447" w:rsidP="001007F0">
            <w:pPr>
              <w:spacing w:line="276" w:lineRule="auto"/>
              <w:jc w:val="center"/>
              <w:rPr>
                <w:rFonts w:cs="Arial"/>
                <w:lang w:val="en-GB"/>
              </w:rPr>
            </w:pPr>
            <w:r w:rsidRPr="00E24C4B">
              <w:rPr>
                <w:rFonts w:cs="Arial"/>
                <w:lang w:val="en-GB"/>
              </w:rPr>
              <w:t>0.20</w:t>
            </w:r>
          </w:p>
        </w:tc>
        <w:tc>
          <w:tcPr>
            <w:tcW w:w="2409" w:type="dxa"/>
            <w:noWrap/>
          </w:tcPr>
          <w:p w14:paraId="7068423E" w14:textId="67DE2CC6" w:rsidR="00001447" w:rsidRPr="00E24C4B" w:rsidRDefault="00001447" w:rsidP="001007F0">
            <w:pPr>
              <w:spacing w:line="276" w:lineRule="auto"/>
              <w:jc w:val="center"/>
              <w:rPr>
                <w:rFonts w:cs="Arial"/>
                <w:lang w:val="en-GB"/>
              </w:rPr>
            </w:pPr>
            <w:r w:rsidRPr="00E24C4B">
              <w:rPr>
                <w:rFonts w:cs="Arial"/>
                <w:lang w:val="en-GB"/>
              </w:rPr>
              <w:t>Beta</w:t>
            </w:r>
          </w:p>
        </w:tc>
        <w:tc>
          <w:tcPr>
            <w:tcW w:w="2410" w:type="dxa"/>
            <w:tcBorders>
              <w:top w:val="nil"/>
              <w:left w:val="single" w:sz="4" w:space="0" w:color="auto"/>
              <w:bottom w:val="single" w:sz="4" w:space="0" w:color="auto"/>
              <w:right w:val="single" w:sz="4" w:space="0" w:color="auto"/>
            </w:tcBorders>
            <w:vAlign w:val="center"/>
          </w:tcPr>
          <w:p w14:paraId="6AC22EEB" w14:textId="26D9604C" w:rsidR="00001447" w:rsidRPr="00E24C4B" w:rsidRDefault="00001447" w:rsidP="001007F0">
            <w:pPr>
              <w:spacing w:line="276" w:lineRule="auto"/>
              <w:jc w:val="center"/>
              <w:rPr>
                <w:rFonts w:eastAsia="Times New Roman" w:cs="Arial"/>
                <w:lang w:val="en-GB" w:eastAsia="it-IT"/>
              </w:rPr>
            </w:pPr>
            <w:r w:rsidRPr="00E24C4B">
              <w:rPr>
                <w:rFonts w:cs="Arial"/>
                <w:lang w:val="en-GB"/>
              </w:rPr>
              <w:t>0.13 to 0.28</w:t>
            </w:r>
          </w:p>
        </w:tc>
        <w:tc>
          <w:tcPr>
            <w:tcW w:w="2552" w:type="dxa"/>
            <w:noWrap/>
            <w:vAlign w:val="center"/>
          </w:tcPr>
          <w:p w14:paraId="368EEAE0" w14:textId="13CCDFB1" w:rsidR="00001447" w:rsidRPr="00E24C4B" w:rsidRDefault="00001447" w:rsidP="001007F0">
            <w:pPr>
              <w:spacing w:line="276" w:lineRule="auto"/>
              <w:rPr>
                <w:rFonts w:cs="Arial"/>
                <w:lang w:val="en-GB"/>
              </w:rPr>
            </w:pPr>
            <w:r w:rsidRPr="00E24C4B">
              <w:rPr>
                <w:rFonts w:cs="Arial"/>
                <w:lang w:val="en-GB"/>
              </w:rPr>
              <w:t>Assumed same as sepsis</w:t>
            </w:r>
          </w:p>
        </w:tc>
      </w:tr>
      <w:tr w:rsidR="002F6056" w:rsidRPr="002E1D08" w14:paraId="51DF5D73" w14:textId="77777777" w:rsidTr="0042599F">
        <w:trPr>
          <w:trHeight w:val="20"/>
        </w:trPr>
        <w:tc>
          <w:tcPr>
            <w:tcW w:w="4470" w:type="dxa"/>
            <w:noWrap/>
            <w:vAlign w:val="center"/>
          </w:tcPr>
          <w:p w14:paraId="4F38B83A" w14:textId="77777777" w:rsidR="002F6056" w:rsidRPr="00E24C4B" w:rsidRDefault="002F6056" w:rsidP="002F6056">
            <w:pPr>
              <w:spacing w:line="276" w:lineRule="auto"/>
              <w:rPr>
                <w:rFonts w:cs="Arial"/>
                <w:lang w:val="en-GB"/>
              </w:rPr>
            </w:pPr>
            <w:r w:rsidRPr="00E24C4B">
              <w:rPr>
                <w:rFonts w:cs="Arial"/>
                <w:lang w:val="en-GB"/>
              </w:rPr>
              <w:t>Diarrhoea</w:t>
            </w:r>
          </w:p>
        </w:tc>
        <w:tc>
          <w:tcPr>
            <w:tcW w:w="2755" w:type="dxa"/>
            <w:tcBorders>
              <w:top w:val="nil"/>
              <w:left w:val="single" w:sz="4" w:space="0" w:color="auto"/>
              <w:bottom w:val="single" w:sz="4" w:space="0" w:color="auto"/>
              <w:right w:val="single" w:sz="4" w:space="0" w:color="auto"/>
            </w:tcBorders>
            <w:noWrap/>
            <w:vAlign w:val="center"/>
          </w:tcPr>
          <w:p w14:paraId="4E00702C" w14:textId="16DB2B00" w:rsidR="002F6056" w:rsidRPr="00E24C4B" w:rsidRDefault="002F6056" w:rsidP="002F6056">
            <w:pPr>
              <w:spacing w:line="276" w:lineRule="auto"/>
              <w:jc w:val="center"/>
              <w:rPr>
                <w:rFonts w:cs="Arial"/>
                <w:lang w:val="en-GB"/>
              </w:rPr>
            </w:pPr>
            <w:r w:rsidRPr="00E24C4B">
              <w:rPr>
                <w:rFonts w:cs="Arial"/>
                <w:lang w:val="en-GB"/>
              </w:rPr>
              <w:t>0.05</w:t>
            </w:r>
          </w:p>
        </w:tc>
        <w:tc>
          <w:tcPr>
            <w:tcW w:w="2409" w:type="dxa"/>
            <w:noWrap/>
          </w:tcPr>
          <w:p w14:paraId="74AE7176" w14:textId="341E7385" w:rsidR="002F6056" w:rsidRPr="00E24C4B" w:rsidRDefault="002F6056" w:rsidP="002F6056">
            <w:pPr>
              <w:spacing w:line="276" w:lineRule="auto"/>
              <w:jc w:val="center"/>
              <w:rPr>
                <w:rFonts w:cs="Arial"/>
                <w:lang w:val="en-GB"/>
              </w:rPr>
            </w:pPr>
            <w:r w:rsidRPr="00E24C4B">
              <w:rPr>
                <w:rFonts w:cs="Arial"/>
                <w:lang w:val="en-GB"/>
              </w:rPr>
              <w:t>Beta</w:t>
            </w:r>
          </w:p>
        </w:tc>
        <w:tc>
          <w:tcPr>
            <w:tcW w:w="2410" w:type="dxa"/>
            <w:tcBorders>
              <w:top w:val="nil"/>
              <w:left w:val="single" w:sz="4" w:space="0" w:color="auto"/>
              <w:bottom w:val="single" w:sz="4" w:space="0" w:color="auto"/>
              <w:right w:val="single" w:sz="4" w:space="0" w:color="auto"/>
            </w:tcBorders>
            <w:vAlign w:val="center"/>
          </w:tcPr>
          <w:p w14:paraId="6343A60B" w14:textId="102458F4" w:rsidR="002F6056" w:rsidRPr="00E24C4B" w:rsidRDefault="002F6056" w:rsidP="002F6056">
            <w:pPr>
              <w:spacing w:line="276" w:lineRule="auto"/>
              <w:jc w:val="center"/>
              <w:rPr>
                <w:rFonts w:eastAsia="Times New Roman" w:cs="Arial"/>
                <w:lang w:val="en-GB" w:eastAsia="it-IT"/>
              </w:rPr>
            </w:pPr>
            <w:r w:rsidRPr="00E24C4B">
              <w:rPr>
                <w:rFonts w:cs="Arial"/>
                <w:lang w:val="en-GB"/>
              </w:rPr>
              <w:t>0.04 to 0.06</w:t>
            </w:r>
          </w:p>
        </w:tc>
        <w:tc>
          <w:tcPr>
            <w:tcW w:w="2552" w:type="dxa"/>
            <w:noWrap/>
            <w:vAlign w:val="center"/>
          </w:tcPr>
          <w:p w14:paraId="3545CD3D" w14:textId="7E52FD2F" w:rsidR="002F6056" w:rsidRPr="00E24C4B" w:rsidRDefault="002F6056" w:rsidP="002F6056">
            <w:pPr>
              <w:spacing w:line="276" w:lineRule="auto"/>
              <w:rPr>
                <w:rFonts w:eastAsia="Times New Roman" w:cs="Arial"/>
                <w:highlight w:val="green"/>
                <w:lang w:val="en-GB" w:eastAsia="it-IT"/>
              </w:rPr>
            </w:pPr>
            <w:r>
              <w:rPr>
                <w:rFonts w:cs="Arial"/>
                <w:vertAlign w:val="superscript"/>
              </w:rPr>
              <w:t>4</w:t>
            </w:r>
            <w:r w:rsidR="00843045">
              <w:rPr>
                <w:rFonts w:cs="Arial"/>
                <w:vertAlign w:val="superscript"/>
              </w:rPr>
              <w:t>7</w:t>
            </w:r>
          </w:p>
        </w:tc>
      </w:tr>
      <w:tr w:rsidR="002F6056" w:rsidRPr="002E1D08" w14:paraId="0A51290F" w14:textId="77777777" w:rsidTr="0042599F">
        <w:trPr>
          <w:trHeight w:val="20"/>
        </w:trPr>
        <w:tc>
          <w:tcPr>
            <w:tcW w:w="4470" w:type="dxa"/>
            <w:noWrap/>
            <w:vAlign w:val="center"/>
          </w:tcPr>
          <w:p w14:paraId="0110D8C7" w14:textId="77777777" w:rsidR="002F6056" w:rsidRPr="00E24C4B" w:rsidRDefault="002F6056" w:rsidP="002F6056">
            <w:pPr>
              <w:spacing w:line="276" w:lineRule="auto"/>
              <w:rPr>
                <w:rFonts w:cs="Arial"/>
                <w:lang w:val="en-GB"/>
              </w:rPr>
            </w:pPr>
            <w:r w:rsidRPr="00E24C4B">
              <w:rPr>
                <w:rFonts w:cs="Arial"/>
                <w:lang w:val="en-GB"/>
              </w:rPr>
              <w:t>Fatigue</w:t>
            </w:r>
          </w:p>
        </w:tc>
        <w:tc>
          <w:tcPr>
            <w:tcW w:w="2755" w:type="dxa"/>
            <w:tcBorders>
              <w:top w:val="nil"/>
              <w:left w:val="single" w:sz="4" w:space="0" w:color="auto"/>
              <w:bottom w:val="single" w:sz="4" w:space="0" w:color="auto"/>
              <w:right w:val="single" w:sz="4" w:space="0" w:color="auto"/>
            </w:tcBorders>
            <w:noWrap/>
            <w:vAlign w:val="center"/>
          </w:tcPr>
          <w:p w14:paraId="7E58EF27" w14:textId="710D67AE" w:rsidR="002F6056" w:rsidRPr="00E24C4B" w:rsidRDefault="002F6056" w:rsidP="002F6056">
            <w:pPr>
              <w:spacing w:line="276" w:lineRule="auto"/>
              <w:jc w:val="center"/>
              <w:rPr>
                <w:rFonts w:cs="Arial"/>
                <w:lang w:val="en-GB"/>
              </w:rPr>
            </w:pPr>
            <w:r w:rsidRPr="00E24C4B">
              <w:rPr>
                <w:rFonts w:cs="Arial"/>
                <w:lang w:val="en-GB"/>
              </w:rPr>
              <w:t>0.12</w:t>
            </w:r>
          </w:p>
        </w:tc>
        <w:tc>
          <w:tcPr>
            <w:tcW w:w="2409" w:type="dxa"/>
            <w:noWrap/>
          </w:tcPr>
          <w:p w14:paraId="6C66A07B" w14:textId="0663EFC0" w:rsidR="002F6056" w:rsidRPr="00E24C4B" w:rsidRDefault="002F6056" w:rsidP="002F6056">
            <w:pPr>
              <w:spacing w:line="276" w:lineRule="auto"/>
              <w:jc w:val="center"/>
              <w:rPr>
                <w:rFonts w:cs="Arial"/>
                <w:lang w:val="en-GB"/>
              </w:rPr>
            </w:pPr>
            <w:r w:rsidRPr="00E24C4B">
              <w:rPr>
                <w:rFonts w:cs="Arial"/>
                <w:lang w:val="en-GB"/>
              </w:rPr>
              <w:t>Beta</w:t>
            </w:r>
          </w:p>
        </w:tc>
        <w:tc>
          <w:tcPr>
            <w:tcW w:w="2410" w:type="dxa"/>
            <w:tcBorders>
              <w:top w:val="nil"/>
              <w:left w:val="single" w:sz="4" w:space="0" w:color="auto"/>
              <w:bottom w:val="single" w:sz="4" w:space="0" w:color="auto"/>
              <w:right w:val="single" w:sz="4" w:space="0" w:color="auto"/>
            </w:tcBorders>
            <w:vAlign w:val="center"/>
          </w:tcPr>
          <w:p w14:paraId="38278CDD" w14:textId="036439E9" w:rsidR="002F6056" w:rsidRPr="00E24C4B" w:rsidRDefault="002F6056" w:rsidP="002F6056">
            <w:pPr>
              <w:spacing w:line="276" w:lineRule="auto"/>
              <w:jc w:val="center"/>
              <w:rPr>
                <w:rFonts w:eastAsia="Times New Roman" w:cs="Arial"/>
                <w:lang w:val="en-GB" w:eastAsia="it-IT"/>
              </w:rPr>
            </w:pPr>
            <w:r w:rsidRPr="00E24C4B">
              <w:rPr>
                <w:rFonts w:cs="Arial"/>
                <w:lang w:val="en-GB"/>
              </w:rPr>
              <w:t>0.09 to 0.14</w:t>
            </w:r>
          </w:p>
        </w:tc>
        <w:tc>
          <w:tcPr>
            <w:tcW w:w="2552" w:type="dxa"/>
            <w:noWrap/>
            <w:vAlign w:val="center"/>
          </w:tcPr>
          <w:p w14:paraId="6053CFA0" w14:textId="212702A6" w:rsidR="002F6056" w:rsidRPr="00E24C4B" w:rsidRDefault="002F6056" w:rsidP="002F6056">
            <w:pPr>
              <w:spacing w:line="276" w:lineRule="auto"/>
              <w:rPr>
                <w:rFonts w:eastAsia="Times New Roman" w:cs="Arial"/>
                <w:highlight w:val="green"/>
                <w:lang w:val="en-GB" w:eastAsia="it-IT"/>
              </w:rPr>
            </w:pPr>
            <w:r>
              <w:rPr>
                <w:rFonts w:cs="Arial"/>
                <w:vertAlign w:val="superscript"/>
              </w:rPr>
              <w:t>4</w:t>
            </w:r>
            <w:r w:rsidR="00843045">
              <w:rPr>
                <w:rFonts w:cs="Arial"/>
                <w:vertAlign w:val="superscript"/>
              </w:rPr>
              <w:t>8</w:t>
            </w:r>
          </w:p>
        </w:tc>
      </w:tr>
      <w:tr w:rsidR="002F6056" w:rsidRPr="002E1D08" w14:paraId="271B308D" w14:textId="77777777" w:rsidTr="0042599F">
        <w:trPr>
          <w:trHeight w:val="20"/>
        </w:trPr>
        <w:tc>
          <w:tcPr>
            <w:tcW w:w="4470" w:type="dxa"/>
            <w:noWrap/>
            <w:vAlign w:val="center"/>
          </w:tcPr>
          <w:p w14:paraId="66A0E88F" w14:textId="77777777" w:rsidR="002F6056" w:rsidRPr="00E24C4B" w:rsidRDefault="002F6056" w:rsidP="002F6056">
            <w:pPr>
              <w:spacing w:line="276" w:lineRule="auto"/>
              <w:rPr>
                <w:rFonts w:cs="Arial"/>
                <w:lang w:val="en-GB"/>
              </w:rPr>
            </w:pPr>
            <w:r w:rsidRPr="00E24C4B">
              <w:rPr>
                <w:rFonts w:cs="Arial"/>
                <w:lang w:val="en-GB"/>
              </w:rPr>
              <w:t>Febrile neutropenia</w:t>
            </w:r>
          </w:p>
        </w:tc>
        <w:tc>
          <w:tcPr>
            <w:tcW w:w="2755" w:type="dxa"/>
            <w:tcBorders>
              <w:top w:val="nil"/>
              <w:left w:val="single" w:sz="4" w:space="0" w:color="auto"/>
              <w:bottom w:val="single" w:sz="4" w:space="0" w:color="auto"/>
              <w:right w:val="single" w:sz="4" w:space="0" w:color="auto"/>
            </w:tcBorders>
            <w:noWrap/>
            <w:vAlign w:val="center"/>
          </w:tcPr>
          <w:p w14:paraId="4606940F" w14:textId="2A4F5F65" w:rsidR="002F6056" w:rsidRPr="00E24C4B" w:rsidRDefault="002F6056" w:rsidP="002F6056">
            <w:pPr>
              <w:spacing w:line="276" w:lineRule="auto"/>
              <w:jc w:val="center"/>
              <w:rPr>
                <w:rFonts w:cs="Arial"/>
                <w:lang w:val="en-GB"/>
              </w:rPr>
            </w:pPr>
            <w:r w:rsidRPr="00E24C4B">
              <w:rPr>
                <w:rFonts w:cs="Arial"/>
                <w:lang w:val="en-GB"/>
              </w:rPr>
              <w:t>0.09</w:t>
            </w:r>
          </w:p>
        </w:tc>
        <w:tc>
          <w:tcPr>
            <w:tcW w:w="2409" w:type="dxa"/>
            <w:noWrap/>
          </w:tcPr>
          <w:p w14:paraId="7087283E" w14:textId="405EE3B7" w:rsidR="002F6056" w:rsidRPr="00E24C4B" w:rsidRDefault="002F6056" w:rsidP="002F6056">
            <w:pPr>
              <w:spacing w:line="276" w:lineRule="auto"/>
              <w:jc w:val="center"/>
              <w:rPr>
                <w:rFonts w:cs="Arial"/>
                <w:lang w:val="en-GB"/>
              </w:rPr>
            </w:pPr>
            <w:r w:rsidRPr="00E24C4B">
              <w:rPr>
                <w:rFonts w:cs="Arial"/>
                <w:lang w:val="en-GB"/>
              </w:rPr>
              <w:t>Beta</w:t>
            </w:r>
          </w:p>
        </w:tc>
        <w:tc>
          <w:tcPr>
            <w:tcW w:w="2410" w:type="dxa"/>
            <w:tcBorders>
              <w:top w:val="nil"/>
              <w:left w:val="single" w:sz="4" w:space="0" w:color="auto"/>
              <w:bottom w:val="single" w:sz="4" w:space="0" w:color="auto"/>
              <w:right w:val="single" w:sz="4" w:space="0" w:color="auto"/>
            </w:tcBorders>
            <w:vAlign w:val="center"/>
          </w:tcPr>
          <w:p w14:paraId="0C1FB61B" w14:textId="617A8928" w:rsidR="002F6056" w:rsidRPr="00E24C4B" w:rsidRDefault="002F6056" w:rsidP="002F6056">
            <w:pPr>
              <w:spacing w:line="276" w:lineRule="auto"/>
              <w:jc w:val="center"/>
              <w:rPr>
                <w:rFonts w:eastAsia="Times New Roman" w:cs="Arial"/>
                <w:lang w:val="en-GB" w:eastAsia="it-IT"/>
              </w:rPr>
            </w:pPr>
            <w:r w:rsidRPr="00E24C4B">
              <w:rPr>
                <w:rFonts w:cs="Arial"/>
                <w:lang w:val="en-GB"/>
              </w:rPr>
              <w:t xml:space="preserve">0.05 to 0.13 </w:t>
            </w:r>
          </w:p>
        </w:tc>
        <w:tc>
          <w:tcPr>
            <w:tcW w:w="2552" w:type="dxa"/>
            <w:noWrap/>
            <w:vAlign w:val="center"/>
          </w:tcPr>
          <w:p w14:paraId="3799ECB8" w14:textId="61473A97" w:rsidR="002F6056" w:rsidRPr="00E24C4B" w:rsidRDefault="002F6056" w:rsidP="002F6056">
            <w:pPr>
              <w:spacing w:line="276" w:lineRule="auto"/>
              <w:rPr>
                <w:rFonts w:eastAsia="Times New Roman" w:cs="Arial"/>
                <w:highlight w:val="green"/>
                <w:lang w:val="en-GB" w:eastAsia="it-IT"/>
              </w:rPr>
            </w:pPr>
            <w:r>
              <w:rPr>
                <w:rFonts w:cs="Arial"/>
                <w:vertAlign w:val="superscript"/>
              </w:rPr>
              <w:t>4</w:t>
            </w:r>
            <w:r w:rsidR="00843045">
              <w:rPr>
                <w:rFonts w:cs="Arial"/>
                <w:vertAlign w:val="superscript"/>
              </w:rPr>
              <w:t>7</w:t>
            </w:r>
          </w:p>
        </w:tc>
      </w:tr>
      <w:tr w:rsidR="002F6056" w:rsidRPr="002E1D08" w14:paraId="18A671B1" w14:textId="77777777" w:rsidTr="00B23DFB">
        <w:trPr>
          <w:trHeight w:val="20"/>
        </w:trPr>
        <w:tc>
          <w:tcPr>
            <w:tcW w:w="4470" w:type="dxa"/>
            <w:noWrap/>
            <w:vAlign w:val="center"/>
          </w:tcPr>
          <w:p w14:paraId="592265AA" w14:textId="77777777" w:rsidR="002F6056" w:rsidRPr="00E24C4B" w:rsidRDefault="002F6056" w:rsidP="002F6056">
            <w:pPr>
              <w:spacing w:line="276" w:lineRule="auto"/>
              <w:rPr>
                <w:rFonts w:cs="Arial"/>
                <w:lang w:val="en-GB"/>
              </w:rPr>
            </w:pPr>
            <w:r w:rsidRPr="00E24C4B">
              <w:rPr>
                <w:rFonts w:cs="Arial"/>
                <w:lang w:val="en-GB"/>
              </w:rPr>
              <w:t>Headache</w:t>
            </w:r>
          </w:p>
        </w:tc>
        <w:tc>
          <w:tcPr>
            <w:tcW w:w="2755" w:type="dxa"/>
            <w:tcBorders>
              <w:top w:val="nil"/>
              <w:left w:val="single" w:sz="4" w:space="0" w:color="auto"/>
              <w:bottom w:val="single" w:sz="4" w:space="0" w:color="auto"/>
              <w:right w:val="single" w:sz="4" w:space="0" w:color="auto"/>
            </w:tcBorders>
            <w:noWrap/>
            <w:vAlign w:val="center"/>
          </w:tcPr>
          <w:p w14:paraId="17A31FCC" w14:textId="420B6FCC" w:rsidR="002F6056" w:rsidRPr="00E24C4B" w:rsidRDefault="002F6056" w:rsidP="002F6056">
            <w:pPr>
              <w:spacing w:line="276" w:lineRule="auto"/>
              <w:jc w:val="center"/>
              <w:rPr>
                <w:rFonts w:cs="Arial"/>
                <w:lang w:val="en-GB"/>
              </w:rPr>
            </w:pPr>
            <w:r w:rsidRPr="00E24C4B">
              <w:rPr>
                <w:rFonts w:cs="Arial"/>
                <w:lang w:val="en-GB"/>
              </w:rPr>
              <w:t>0.03</w:t>
            </w:r>
          </w:p>
        </w:tc>
        <w:tc>
          <w:tcPr>
            <w:tcW w:w="2409" w:type="dxa"/>
            <w:noWrap/>
            <w:vAlign w:val="center"/>
          </w:tcPr>
          <w:p w14:paraId="08374451" w14:textId="658C831C" w:rsidR="002F6056" w:rsidRPr="00E24C4B" w:rsidRDefault="002F6056" w:rsidP="002F6056">
            <w:pPr>
              <w:spacing w:line="276" w:lineRule="auto"/>
              <w:jc w:val="center"/>
              <w:rPr>
                <w:rFonts w:cs="Arial"/>
                <w:lang w:val="en-GB"/>
              </w:rPr>
            </w:pPr>
            <w:r w:rsidRPr="00E24C4B">
              <w:rPr>
                <w:rFonts w:cs="Arial"/>
                <w:lang w:val="en-GB"/>
              </w:rPr>
              <w:t>Beta</w:t>
            </w:r>
          </w:p>
        </w:tc>
        <w:tc>
          <w:tcPr>
            <w:tcW w:w="2410" w:type="dxa"/>
            <w:tcBorders>
              <w:top w:val="nil"/>
              <w:left w:val="single" w:sz="4" w:space="0" w:color="auto"/>
              <w:bottom w:val="single" w:sz="4" w:space="0" w:color="auto"/>
              <w:right w:val="single" w:sz="4" w:space="0" w:color="auto"/>
            </w:tcBorders>
            <w:vAlign w:val="center"/>
          </w:tcPr>
          <w:p w14:paraId="4B449431" w14:textId="42798E9A" w:rsidR="002F6056" w:rsidRPr="00E24C4B" w:rsidRDefault="002F6056" w:rsidP="002F6056">
            <w:pPr>
              <w:spacing w:line="276" w:lineRule="auto"/>
              <w:jc w:val="center"/>
              <w:rPr>
                <w:rFonts w:eastAsia="Times New Roman" w:cs="Arial"/>
                <w:lang w:val="en-GB" w:eastAsia="it-IT"/>
              </w:rPr>
            </w:pPr>
            <w:r w:rsidRPr="00E24C4B">
              <w:rPr>
                <w:rFonts w:cs="Arial"/>
                <w:lang w:val="en-GB"/>
              </w:rPr>
              <w:t>0.02 to 0.03</w:t>
            </w:r>
          </w:p>
        </w:tc>
        <w:tc>
          <w:tcPr>
            <w:tcW w:w="2552" w:type="dxa"/>
            <w:noWrap/>
            <w:vAlign w:val="center"/>
          </w:tcPr>
          <w:p w14:paraId="20F6018E" w14:textId="78C5903F" w:rsidR="002F6056" w:rsidRPr="00E24C4B" w:rsidRDefault="002F6056" w:rsidP="002F6056">
            <w:pPr>
              <w:spacing w:line="276" w:lineRule="auto"/>
              <w:rPr>
                <w:rFonts w:eastAsia="Times New Roman" w:cs="Arial"/>
                <w:highlight w:val="yellow"/>
                <w:lang w:val="en-GB" w:eastAsia="it-IT"/>
              </w:rPr>
            </w:pPr>
            <w:r>
              <w:rPr>
                <w:rFonts w:cs="Arial"/>
                <w:vertAlign w:val="superscript"/>
              </w:rPr>
              <w:t>4</w:t>
            </w:r>
            <w:r w:rsidR="00843045">
              <w:rPr>
                <w:rFonts w:cs="Arial"/>
                <w:vertAlign w:val="superscript"/>
              </w:rPr>
              <w:t>9</w:t>
            </w:r>
          </w:p>
        </w:tc>
      </w:tr>
      <w:tr w:rsidR="002F6056" w:rsidRPr="002E1D08" w14:paraId="13B35A7F" w14:textId="77777777" w:rsidTr="00623AA1">
        <w:trPr>
          <w:trHeight w:val="20"/>
        </w:trPr>
        <w:tc>
          <w:tcPr>
            <w:tcW w:w="4470" w:type="dxa"/>
            <w:noWrap/>
            <w:vAlign w:val="center"/>
          </w:tcPr>
          <w:p w14:paraId="44644341" w14:textId="77777777" w:rsidR="002F6056" w:rsidRPr="00E24C4B" w:rsidRDefault="002F6056" w:rsidP="002F6056">
            <w:pPr>
              <w:spacing w:line="276" w:lineRule="auto"/>
              <w:rPr>
                <w:rFonts w:cs="Arial"/>
                <w:lang w:val="en-GB"/>
              </w:rPr>
            </w:pPr>
            <w:r w:rsidRPr="00E24C4B">
              <w:rPr>
                <w:rFonts w:cs="Arial"/>
                <w:lang w:val="en-GB"/>
              </w:rPr>
              <w:t>Hyperglycaemia</w:t>
            </w:r>
          </w:p>
        </w:tc>
        <w:tc>
          <w:tcPr>
            <w:tcW w:w="2755" w:type="dxa"/>
            <w:tcBorders>
              <w:top w:val="nil"/>
              <w:left w:val="single" w:sz="4" w:space="0" w:color="auto"/>
              <w:bottom w:val="single" w:sz="4" w:space="0" w:color="auto"/>
              <w:right w:val="single" w:sz="4" w:space="0" w:color="auto"/>
            </w:tcBorders>
            <w:noWrap/>
            <w:vAlign w:val="center"/>
          </w:tcPr>
          <w:p w14:paraId="5574F80B" w14:textId="4BCCB13C" w:rsidR="002F6056" w:rsidRPr="00E24C4B" w:rsidRDefault="002F6056" w:rsidP="002F6056">
            <w:pPr>
              <w:spacing w:line="276" w:lineRule="auto"/>
              <w:jc w:val="center"/>
              <w:rPr>
                <w:rFonts w:cs="Arial"/>
                <w:lang w:val="en-GB"/>
              </w:rPr>
            </w:pPr>
            <w:r w:rsidRPr="00E24C4B">
              <w:rPr>
                <w:rFonts w:cs="Arial"/>
                <w:lang w:val="en-GB"/>
              </w:rPr>
              <w:t>0.06</w:t>
            </w:r>
          </w:p>
        </w:tc>
        <w:tc>
          <w:tcPr>
            <w:tcW w:w="2409" w:type="dxa"/>
            <w:noWrap/>
            <w:vAlign w:val="center"/>
          </w:tcPr>
          <w:p w14:paraId="12705BF6" w14:textId="2FA2BE26" w:rsidR="002F6056" w:rsidRPr="00E24C4B" w:rsidRDefault="002F6056" w:rsidP="002F6056">
            <w:pPr>
              <w:spacing w:line="276" w:lineRule="auto"/>
              <w:jc w:val="center"/>
              <w:rPr>
                <w:rFonts w:cs="Arial"/>
                <w:lang w:val="en-GB"/>
              </w:rPr>
            </w:pPr>
            <w:r w:rsidRPr="00E24C4B">
              <w:rPr>
                <w:rFonts w:cs="Arial"/>
                <w:lang w:val="en-GB"/>
              </w:rPr>
              <w:t>Beta</w:t>
            </w:r>
          </w:p>
        </w:tc>
        <w:tc>
          <w:tcPr>
            <w:tcW w:w="2410" w:type="dxa"/>
            <w:tcBorders>
              <w:top w:val="nil"/>
              <w:left w:val="single" w:sz="4" w:space="0" w:color="auto"/>
              <w:bottom w:val="single" w:sz="4" w:space="0" w:color="auto"/>
              <w:right w:val="single" w:sz="4" w:space="0" w:color="auto"/>
            </w:tcBorders>
            <w:vAlign w:val="center"/>
          </w:tcPr>
          <w:p w14:paraId="7B849DD1" w14:textId="262C57DC" w:rsidR="002F6056" w:rsidRPr="00E24C4B" w:rsidRDefault="002F6056" w:rsidP="002F6056">
            <w:pPr>
              <w:spacing w:line="276" w:lineRule="auto"/>
              <w:jc w:val="center"/>
              <w:rPr>
                <w:rFonts w:eastAsia="Times New Roman" w:cs="Arial"/>
                <w:lang w:val="en-GB" w:eastAsia="it-IT"/>
              </w:rPr>
            </w:pPr>
            <w:r w:rsidRPr="00E24C4B">
              <w:rPr>
                <w:rFonts w:cs="Arial"/>
                <w:lang w:val="en-GB"/>
              </w:rPr>
              <w:t>0.04 to 0.08</w:t>
            </w:r>
          </w:p>
        </w:tc>
        <w:tc>
          <w:tcPr>
            <w:tcW w:w="2552" w:type="dxa"/>
            <w:noWrap/>
            <w:vAlign w:val="center"/>
          </w:tcPr>
          <w:p w14:paraId="29A756A2" w14:textId="632C7AF7" w:rsidR="002F6056" w:rsidRPr="00E24C4B" w:rsidRDefault="002F6056" w:rsidP="002F6056">
            <w:pPr>
              <w:spacing w:line="276" w:lineRule="auto"/>
              <w:rPr>
                <w:rFonts w:eastAsia="Times New Roman" w:cs="Arial"/>
                <w:highlight w:val="yellow"/>
                <w:lang w:val="en-GB" w:eastAsia="it-IT"/>
              </w:rPr>
            </w:pPr>
            <w:r>
              <w:rPr>
                <w:rFonts w:cs="Arial"/>
                <w:vertAlign w:val="superscript"/>
              </w:rPr>
              <w:t>4</w:t>
            </w:r>
            <w:r w:rsidR="00843045">
              <w:rPr>
                <w:rFonts w:cs="Arial"/>
                <w:vertAlign w:val="superscript"/>
              </w:rPr>
              <w:t>9</w:t>
            </w:r>
          </w:p>
        </w:tc>
      </w:tr>
      <w:tr w:rsidR="00811425" w:rsidRPr="002E1D08" w14:paraId="06382720" w14:textId="77777777" w:rsidTr="00623AA1">
        <w:trPr>
          <w:trHeight w:val="20"/>
        </w:trPr>
        <w:tc>
          <w:tcPr>
            <w:tcW w:w="4470" w:type="dxa"/>
            <w:noWrap/>
            <w:vAlign w:val="center"/>
          </w:tcPr>
          <w:p w14:paraId="62A38537" w14:textId="77777777" w:rsidR="00001447" w:rsidRPr="00E24C4B" w:rsidRDefault="00001447" w:rsidP="001007F0">
            <w:pPr>
              <w:spacing w:line="276" w:lineRule="auto"/>
              <w:rPr>
                <w:rFonts w:cs="Arial"/>
                <w:lang w:val="en-GB"/>
              </w:rPr>
            </w:pPr>
            <w:r w:rsidRPr="00E24C4B">
              <w:rPr>
                <w:rFonts w:cs="Arial"/>
                <w:lang w:val="en-GB"/>
              </w:rPr>
              <w:t>Hypertension</w:t>
            </w:r>
          </w:p>
        </w:tc>
        <w:tc>
          <w:tcPr>
            <w:tcW w:w="2755" w:type="dxa"/>
            <w:tcBorders>
              <w:top w:val="nil"/>
              <w:left w:val="single" w:sz="4" w:space="0" w:color="auto"/>
              <w:bottom w:val="single" w:sz="4" w:space="0" w:color="auto"/>
              <w:right w:val="single" w:sz="4" w:space="0" w:color="auto"/>
            </w:tcBorders>
            <w:noWrap/>
            <w:vAlign w:val="center"/>
          </w:tcPr>
          <w:p w14:paraId="363A68F8" w14:textId="06B8399F" w:rsidR="00001447" w:rsidRPr="00E24C4B" w:rsidRDefault="00001447" w:rsidP="001007F0">
            <w:pPr>
              <w:spacing w:line="276" w:lineRule="auto"/>
              <w:jc w:val="center"/>
              <w:rPr>
                <w:rFonts w:cs="Arial"/>
                <w:lang w:val="en-GB"/>
              </w:rPr>
            </w:pPr>
            <w:r w:rsidRPr="00E24C4B">
              <w:rPr>
                <w:rFonts w:cs="Arial"/>
                <w:lang w:val="en-GB"/>
              </w:rPr>
              <w:t>0.07</w:t>
            </w:r>
          </w:p>
        </w:tc>
        <w:tc>
          <w:tcPr>
            <w:tcW w:w="2409" w:type="dxa"/>
            <w:noWrap/>
            <w:vAlign w:val="center"/>
          </w:tcPr>
          <w:p w14:paraId="344EB78A" w14:textId="7D0D8117" w:rsidR="00001447" w:rsidRPr="00E24C4B" w:rsidRDefault="00001447" w:rsidP="001007F0">
            <w:pPr>
              <w:spacing w:line="276" w:lineRule="auto"/>
              <w:jc w:val="center"/>
              <w:rPr>
                <w:rFonts w:cs="Arial"/>
                <w:lang w:val="en-GB"/>
              </w:rPr>
            </w:pPr>
            <w:r w:rsidRPr="00E24C4B">
              <w:rPr>
                <w:rFonts w:cs="Arial"/>
                <w:lang w:val="en-GB"/>
              </w:rPr>
              <w:t>Beta</w:t>
            </w:r>
          </w:p>
        </w:tc>
        <w:tc>
          <w:tcPr>
            <w:tcW w:w="2410" w:type="dxa"/>
            <w:tcBorders>
              <w:top w:val="nil"/>
              <w:left w:val="single" w:sz="4" w:space="0" w:color="auto"/>
              <w:bottom w:val="single" w:sz="4" w:space="0" w:color="auto"/>
              <w:right w:val="single" w:sz="4" w:space="0" w:color="auto"/>
            </w:tcBorders>
            <w:vAlign w:val="center"/>
          </w:tcPr>
          <w:p w14:paraId="4AE3F82F" w14:textId="0D5FFA7F" w:rsidR="00001447" w:rsidRPr="00E24C4B" w:rsidRDefault="00001447" w:rsidP="001007F0">
            <w:pPr>
              <w:spacing w:line="276" w:lineRule="auto"/>
              <w:jc w:val="center"/>
              <w:rPr>
                <w:rFonts w:eastAsia="Times New Roman" w:cs="Arial"/>
                <w:lang w:val="en-GB" w:eastAsia="it-IT"/>
              </w:rPr>
            </w:pPr>
            <w:r w:rsidRPr="00E24C4B">
              <w:rPr>
                <w:rFonts w:cs="Arial"/>
                <w:lang w:val="en-GB"/>
              </w:rPr>
              <w:t xml:space="preserve">0.05 to 0.09 </w:t>
            </w:r>
          </w:p>
        </w:tc>
        <w:tc>
          <w:tcPr>
            <w:tcW w:w="2552" w:type="dxa"/>
            <w:noWrap/>
            <w:vAlign w:val="center"/>
          </w:tcPr>
          <w:p w14:paraId="26B4EEC1" w14:textId="4D5A6267" w:rsidR="00001447" w:rsidRPr="00E24C4B" w:rsidRDefault="002F6056" w:rsidP="001007F0">
            <w:pPr>
              <w:spacing w:line="276" w:lineRule="auto"/>
              <w:rPr>
                <w:rFonts w:eastAsia="Times New Roman" w:cs="Arial"/>
                <w:highlight w:val="yellow"/>
                <w:lang w:val="en-GB" w:eastAsia="it-IT"/>
              </w:rPr>
            </w:pPr>
            <w:r>
              <w:rPr>
                <w:rFonts w:cs="Arial"/>
                <w:vertAlign w:val="superscript"/>
              </w:rPr>
              <w:t>18</w:t>
            </w:r>
            <w:r w:rsidR="00001447" w:rsidRPr="00E24C4B">
              <w:rPr>
                <w:rFonts w:cs="Arial"/>
                <w:lang w:val="en-GB"/>
              </w:rPr>
              <w:t>, assumed same as hypotension</w:t>
            </w:r>
          </w:p>
        </w:tc>
      </w:tr>
      <w:tr w:rsidR="00811425" w:rsidRPr="008849A6" w14:paraId="48A5FBF2" w14:textId="77777777" w:rsidTr="00623AA1">
        <w:trPr>
          <w:trHeight w:val="20"/>
        </w:trPr>
        <w:tc>
          <w:tcPr>
            <w:tcW w:w="4470" w:type="dxa"/>
            <w:noWrap/>
            <w:vAlign w:val="center"/>
          </w:tcPr>
          <w:p w14:paraId="3341B544" w14:textId="77777777" w:rsidR="00B1153C" w:rsidRPr="00E24C4B" w:rsidRDefault="00B1153C" w:rsidP="001007F0">
            <w:pPr>
              <w:spacing w:line="276" w:lineRule="auto"/>
              <w:rPr>
                <w:rFonts w:cs="Arial"/>
                <w:lang w:val="en-GB"/>
              </w:rPr>
            </w:pPr>
            <w:r w:rsidRPr="00E24C4B">
              <w:rPr>
                <w:rFonts w:cs="Arial"/>
                <w:lang w:val="en-GB"/>
              </w:rPr>
              <w:t>Hypertriglyceridaemia</w:t>
            </w:r>
          </w:p>
        </w:tc>
        <w:tc>
          <w:tcPr>
            <w:tcW w:w="2755" w:type="dxa"/>
            <w:tcBorders>
              <w:top w:val="nil"/>
              <w:left w:val="single" w:sz="4" w:space="0" w:color="auto"/>
              <w:bottom w:val="single" w:sz="4" w:space="0" w:color="auto"/>
              <w:right w:val="single" w:sz="4" w:space="0" w:color="auto"/>
            </w:tcBorders>
            <w:noWrap/>
            <w:vAlign w:val="center"/>
          </w:tcPr>
          <w:p w14:paraId="7AD3C5D8" w14:textId="64872EAC" w:rsidR="00B1153C" w:rsidRPr="00E24C4B" w:rsidRDefault="00B1153C" w:rsidP="001007F0">
            <w:pPr>
              <w:spacing w:line="276" w:lineRule="auto"/>
              <w:jc w:val="center"/>
              <w:rPr>
                <w:rFonts w:cs="Arial"/>
                <w:lang w:val="en-GB"/>
              </w:rPr>
            </w:pPr>
            <w:r w:rsidRPr="00E24C4B">
              <w:rPr>
                <w:rFonts w:cs="Arial"/>
                <w:lang w:val="en-GB"/>
              </w:rPr>
              <w:t>0.00</w:t>
            </w:r>
          </w:p>
        </w:tc>
        <w:tc>
          <w:tcPr>
            <w:tcW w:w="2409" w:type="dxa"/>
            <w:noWrap/>
            <w:vAlign w:val="center"/>
          </w:tcPr>
          <w:p w14:paraId="7A328C77" w14:textId="024F0051" w:rsidR="00B1153C" w:rsidRPr="00E24C4B" w:rsidRDefault="00B1153C" w:rsidP="001007F0">
            <w:pPr>
              <w:spacing w:line="276" w:lineRule="auto"/>
              <w:jc w:val="center"/>
              <w:rPr>
                <w:rFonts w:cs="Arial"/>
                <w:lang w:val="en-GB"/>
              </w:rPr>
            </w:pPr>
            <w:r w:rsidRPr="00E24C4B">
              <w:rPr>
                <w:rFonts w:cs="Arial"/>
                <w:lang w:val="en-GB"/>
              </w:rPr>
              <w:t>Constant</w:t>
            </w:r>
          </w:p>
        </w:tc>
        <w:tc>
          <w:tcPr>
            <w:tcW w:w="2410" w:type="dxa"/>
            <w:tcBorders>
              <w:top w:val="nil"/>
              <w:left w:val="single" w:sz="4" w:space="0" w:color="auto"/>
              <w:bottom w:val="single" w:sz="4" w:space="0" w:color="auto"/>
              <w:right w:val="single" w:sz="4" w:space="0" w:color="auto"/>
            </w:tcBorders>
            <w:vAlign w:val="center"/>
          </w:tcPr>
          <w:p w14:paraId="0043BDA6" w14:textId="444B4140" w:rsidR="00B1153C" w:rsidRPr="00E24C4B" w:rsidRDefault="00B1153C" w:rsidP="001007F0">
            <w:pPr>
              <w:spacing w:line="276" w:lineRule="auto"/>
              <w:jc w:val="center"/>
              <w:rPr>
                <w:rFonts w:eastAsia="Times New Roman" w:cs="Arial"/>
                <w:lang w:val="en-GB" w:eastAsia="it-IT"/>
              </w:rPr>
            </w:pPr>
            <w:r w:rsidRPr="00E24C4B">
              <w:rPr>
                <w:rFonts w:eastAsia="Times New Roman" w:cs="Arial"/>
                <w:lang w:val="en-GB" w:eastAsia="it-IT"/>
              </w:rPr>
              <w:t>-</w:t>
            </w:r>
          </w:p>
        </w:tc>
        <w:tc>
          <w:tcPr>
            <w:tcW w:w="2552" w:type="dxa"/>
            <w:noWrap/>
            <w:vAlign w:val="center"/>
          </w:tcPr>
          <w:p w14:paraId="41CF4C11" w14:textId="41FCF6B1" w:rsidR="00B1153C" w:rsidRPr="00E24C4B" w:rsidRDefault="00B1153C" w:rsidP="001007F0">
            <w:pPr>
              <w:spacing w:line="276" w:lineRule="auto"/>
              <w:rPr>
                <w:rFonts w:eastAsia="Times New Roman" w:cs="Arial"/>
                <w:highlight w:val="yellow"/>
                <w:lang w:val="en-GB" w:eastAsia="it-IT"/>
              </w:rPr>
            </w:pPr>
            <w:r w:rsidRPr="00E24C4B">
              <w:rPr>
                <w:rFonts w:cs="Arial"/>
                <w:lang w:val="en-GB"/>
              </w:rPr>
              <w:t>Assumed no disutility for abnormal lab tests</w:t>
            </w:r>
          </w:p>
        </w:tc>
      </w:tr>
      <w:tr w:rsidR="002F6056" w:rsidRPr="002E1D08" w14:paraId="1C54CE8D" w14:textId="77777777" w:rsidTr="00623AA1">
        <w:trPr>
          <w:trHeight w:val="20"/>
        </w:trPr>
        <w:tc>
          <w:tcPr>
            <w:tcW w:w="4470" w:type="dxa"/>
            <w:noWrap/>
            <w:vAlign w:val="center"/>
          </w:tcPr>
          <w:p w14:paraId="22BF5DFD" w14:textId="77777777" w:rsidR="002F6056" w:rsidRPr="00E24C4B" w:rsidRDefault="002F6056" w:rsidP="002F6056">
            <w:pPr>
              <w:spacing w:line="276" w:lineRule="auto"/>
              <w:rPr>
                <w:rFonts w:cs="Arial"/>
                <w:lang w:val="en-GB"/>
              </w:rPr>
            </w:pPr>
            <w:r w:rsidRPr="00E24C4B">
              <w:rPr>
                <w:rFonts w:cs="Arial"/>
                <w:lang w:val="en-GB"/>
              </w:rPr>
              <w:t>Hypotension</w:t>
            </w:r>
          </w:p>
        </w:tc>
        <w:tc>
          <w:tcPr>
            <w:tcW w:w="2755" w:type="dxa"/>
            <w:tcBorders>
              <w:top w:val="nil"/>
              <w:left w:val="single" w:sz="4" w:space="0" w:color="auto"/>
              <w:bottom w:val="single" w:sz="4" w:space="0" w:color="auto"/>
              <w:right w:val="single" w:sz="4" w:space="0" w:color="auto"/>
            </w:tcBorders>
            <w:noWrap/>
            <w:vAlign w:val="center"/>
          </w:tcPr>
          <w:p w14:paraId="22857C0B" w14:textId="3116793E" w:rsidR="002F6056" w:rsidRPr="00E24C4B" w:rsidRDefault="002F6056" w:rsidP="002F6056">
            <w:pPr>
              <w:spacing w:line="276" w:lineRule="auto"/>
              <w:jc w:val="center"/>
              <w:rPr>
                <w:rFonts w:cs="Arial"/>
                <w:lang w:val="en-GB"/>
              </w:rPr>
            </w:pPr>
            <w:r w:rsidRPr="00E24C4B">
              <w:rPr>
                <w:rFonts w:cs="Arial"/>
                <w:lang w:val="en-GB"/>
              </w:rPr>
              <w:t>0.07</w:t>
            </w:r>
          </w:p>
        </w:tc>
        <w:tc>
          <w:tcPr>
            <w:tcW w:w="2409" w:type="dxa"/>
            <w:noWrap/>
            <w:vAlign w:val="center"/>
          </w:tcPr>
          <w:p w14:paraId="3D839202" w14:textId="6D77290A" w:rsidR="002F6056" w:rsidRPr="00E24C4B" w:rsidRDefault="002F6056" w:rsidP="002F6056">
            <w:pPr>
              <w:spacing w:line="276" w:lineRule="auto"/>
              <w:jc w:val="center"/>
              <w:rPr>
                <w:rFonts w:cs="Arial"/>
                <w:lang w:val="en-GB"/>
              </w:rPr>
            </w:pPr>
            <w:r w:rsidRPr="00E24C4B">
              <w:rPr>
                <w:rFonts w:cs="Arial"/>
                <w:lang w:val="en-GB"/>
              </w:rPr>
              <w:t>Beta</w:t>
            </w:r>
          </w:p>
        </w:tc>
        <w:tc>
          <w:tcPr>
            <w:tcW w:w="2410" w:type="dxa"/>
            <w:tcBorders>
              <w:top w:val="nil"/>
              <w:left w:val="single" w:sz="4" w:space="0" w:color="auto"/>
              <w:bottom w:val="single" w:sz="4" w:space="0" w:color="auto"/>
              <w:right w:val="single" w:sz="4" w:space="0" w:color="auto"/>
            </w:tcBorders>
            <w:vAlign w:val="center"/>
          </w:tcPr>
          <w:p w14:paraId="7B851E48" w14:textId="4A98C684" w:rsidR="002F6056" w:rsidRPr="00E24C4B" w:rsidRDefault="002F6056" w:rsidP="002F6056">
            <w:pPr>
              <w:spacing w:line="276" w:lineRule="auto"/>
              <w:jc w:val="center"/>
              <w:rPr>
                <w:rFonts w:eastAsia="Times New Roman" w:cs="Arial"/>
                <w:lang w:val="en-GB" w:eastAsia="it-IT"/>
              </w:rPr>
            </w:pPr>
            <w:r w:rsidRPr="00E24C4B">
              <w:rPr>
                <w:rFonts w:cs="Arial"/>
                <w:lang w:val="en-GB"/>
              </w:rPr>
              <w:t>0.05 to 0.09</w:t>
            </w:r>
          </w:p>
        </w:tc>
        <w:tc>
          <w:tcPr>
            <w:tcW w:w="2552" w:type="dxa"/>
            <w:noWrap/>
            <w:vAlign w:val="center"/>
          </w:tcPr>
          <w:p w14:paraId="3CE79BE7" w14:textId="37D92D61" w:rsidR="002F6056" w:rsidRPr="00E24C4B" w:rsidRDefault="00843045" w:rsidP="002F6056">
            <w:pPr>
              <w:spacing w:line="276" w:lineRule="auto"/>
              <w:rPr>
                <w:rFonts w:eastAsia="Times New Roman" w:cs="Arial"/>
                <w:highlight w:val="green"/>
                <w:lang w:val="en-GB" w:eastAsia="it-IT"/>
              </w:rPr>
            </w:pPr>
            <w:r>
              <w:rPr>
                <w:rFonts w:cs="Arial"/>
                <w:vertAlign w:val="superscript"/>
              </w:rPr>
              <w:t>50</w:t>
            </w:r>
          </w:p>
        </w:tc>
      </w:tr>
      <w:tr w:rsidR="002F6056" w:rsidRPr="002E1D08" w14:paraId="4E3C5090" w14:textId="77777777" w:rsidTr="00623AA1">
        <w:trPr>
          <w:trHeight w:val="20"/>
        </w:trPr>
        <w:tc>
          <w:tcPr>
            <w:tcW w:w="4470" w:type="dxa"/>
            <w:noWrap/>
            <w:vAlign w:val="center"/>
          </w:tcPr>
          <w:p w14:paraId="7C84C4B2" w14:textId="77777777" w:rsidR="002F6056" w:rsidRPr="00E24C4B" w:rsidRDefault="002F6056" w:rsidP="002F6056">
            <w:pPr>
              <w:spacing w:line="276" w:lineRule="auto"/>
              <w:rPr>
                <w:rFonts w:cs="Arial"/>
                <w:lang w:val="en-GB"/>
              </w:rPr>
            </w:pPr>
            <w:r w:rsidRPr="00E24C4B">
              <w:rPr>
                <w:rFonts w:cs="Arial"/>
                <w:lang w:val="en-GB"/>
              </w:rPr>
              <w:t>Lymphocyte count decreased</w:t>
            </w:r>
          </w:p>
        </w:tc>
        <w:tc>
          <w:tcPr>
            <w:tcW w:w="2755" w:type="dxa"/>
            <w:tcBorders>
              <w:top w:val="nil"/>
              <w:left w:val="single" w:sz="4" w:space="0" w:color="auto"/>
              <w:bottom w:val="single" w:sz="4" w:space="0" w:color="auto"/>
              <w:right w:val="single" w:sz="4" w:space="0" w:color="auto"/>
            </w:tcBorders>
            <w:noWrap/>
            <w:vAlign w:val="center"/>
          </w:tcPr>
          <w:p w14:paraId="0C7AD9D4" w14:textId="4636038F" w:rsidR="002F6056" w:rsidRPr="00E24C4B" w:rsidRDefault="002F6056" w:rsidP="002F6056">
            <w:pPr>
              <w:spacing w:line="276" w:lineRule="auto"/>
              <w:jc w:val="center"/>
              <w:rPr>
                <w:rFonts w:cs="Arial"/>
                <w:lang w:val="en-GB"/>
              </w:rPr>
            </w:pPr>
            <w:r w:rsidRPr="00E24C4B">
              <w:rPr>
                <w:rFonts w:cs="Arial"/>
                <w:lang w:val="en-GB"/>
              </w:rPr>
              <w:t>0.07</w:t>
            </w:r>
          </w:p>
        </w:tc>
        <w:tc>
          <w:tcPr>
            <w:tcW w:w="2409" w:type="dxa"/>
            <w:noWrap/>
            <w:vAlign w:val="center"/>
          </w:tcPr>
          <w:p w14:paraId="781CFF53" w14:textId="188C9E03" w:rsidR="002F6056" w:rsidRPr="00E24C4B" w:rsidRDefault="002F6056" w:rsidP="002F6056">
            <w:pPr>
              <w:spacing w:line="276" w:lineRule="auto"/>
              <w:jc w:val="center"/>
              <w:rPr>
                <w:rFonts w:cs="Arial"/>
                <w:lang w:val="en-GB"/>
              </w:rPr>
            </w:pPr>
            <w:r w:rsidRPr="00E24C4B">
              <w:rPr>
                <w:rFonts w:cs="Arial"/>
                <w:lang w:val="en-GB"/>
              </w:rPr>
              <w:t>Beta</w:t>
            </w:r>
          </w:p>
        </w:tc>
        <w:tc>
          <w:tcPr>
            <w:tcW w:w="2410" w:type="dxa"/>
            <w:tcBorders>
              <w:top w:val="nil"/>
              <w:left w:val="single" w:sz="4" w:space="0" w:color="auto"/>
              <w:bottom w:val="single" w:sz="4" w:space="0" w:color="auto"/>
              <w:right w:val="single" w:sz="4" w:space="0" w:color="auto"/>
            </w:tcBorders>
            <w:vAlign w:val="center"/>
          </w:tcPr>
          <w:p w14:paraId="0B7C06C5" w14:textId="2BB1A17D" w:rsidR="002F6056" w:rsidRPr="00E24C4B" w:rsidRDefault="002F6056" w:rsidP="002F6056">
            <w:pPr>
              <w:spacing w:line="276" w:lineRule="auto"/>
              <w:jc w:val="center"/>
              <w:rPr>
                <w:rFonts w:eastAsia="Times New Roman" w:cs="Arial"/>
                <w:lang w:val="en-GB" w:eastAsia="it-IT"/>
              </w:rPr>
            </w:pPr>
            <w:r w:rsidRPr="00E24C4B">
              <w:rPr>
                <w:rFonts w:cs="Arial"/>
                <w:lang w:val="en-GB"/>
              </w:rPr>
              <w:t>0.05 to 0.09</w:t>
            </w:r>
          </w:p>
        </w:tc>
        <w:tc>
          <w:tcPr>
            <w:tcW w:w="2552" w:type="dxa"/>
            <w:noWrap/>
            <w:vAlign w:val="center"/>
          </w:tcPr>
          <w:p w14:paraId="301C7189" w14:textId="2CD36BA0" w:rsidR="002F6056" w:rsidRPr="00E24C4B" w:rsidRDefault="00843045" w:rsidP="002F6056">
            <w:pPr>
              <w:spacing w:line="276" w:lineRule="auto"/>
              <w:rPr>
                <w:rFonts w:eastAsia="Times New Roman" w:cs="Arial"/>
                <w:highlight w:val="green"/>
                <w:lang w:val="en-GB" w:eastAsia="it-IT"/>
              </w:rPr>
            </w:pPr>
            <w:r>
              <w:rPr>
                <w:rFonts w:cs="Arial"/>
                <w:vertAlign w:val="superscript"/>
              </w:rPr>
              <w:t>50</w:t>
            </w:r>
          </w:p>
        </w:tc>
      </w:tr>
      <w:tr w:rsidR="00811425" w:rsidRPr="002E1D08" w14:paraId="2179860A" w14:textId="77777777" w:rsidTr="00623AA1">
        <w:trPr>
          <w:trHeight w:val="20"/>
        </w:trPr>
        <w:tc>
          <w:tcPr>
            <w:tcW w:w="4470" w:type="dxa"/>
            <w:noWrap/>
            <w:vAlign w:val="center"/>
          </w:tcPr>
          <w:p w14:paraId="7AEB7C33" w14:textId="77777777" w:rsidR="00001447" w:rsidRPr="00E24C4B" w:rsidRDefault="00001447" w:rsidP="001007F0">
            <w:pPr>
              <w:spacing w:line="276" w:lineRule="auto"/>
              <w:rPr>
                <w:rFonts w:cs="Arial"/>
                <w:lang w:val="en-GB"/>
              </w:rPr>
            </w:pPr>
            <w:r w:rsidRPr="00E24C4B">
              <w:rPr>
                <w:rFonts w:cs="Arial"/>
                <w:lang w:val="en-GB"/>
              </w:rPr>
              <w:t>Nausea</w:t>
            </w:r>
          </w:p>
        </w:tc>
        <w:tc>
          <w:tcPr>
            <w:tcW w:w="2755" w:type="dxa"/>
            <w:tcBorders>
              <w:top w:val="nil"/>
              <w:left w:val="single" w:sz="4" w:space="0" w:color="auto"/>
              <w:bottom w:val="single" w:sz="4" w:space="0" w:color="auto"/>
              <w:right w:val="single" w:sz="4" w:space="0" w:color="auto"/>
            </w:tcBorders>
            <w:noWrap/>
            <w:vAlign w:val="center"/>
          </w:tcPr>
          <w:p w14:paraId="3708B334" w14:textId="21335C18" w:rsidR="00001447" w:rsidRPr="00E24C4B" w:rsidRDefault="00001447" w:rsidP="001007F0">
            <w:pPr>
              <w:spacing w:line="276" w:lineRule="auto"/>
              <w:jc w:val="center"/>
              <w:rPr>
                <w:rFonts w:cs="Arial"/>
                <w:lang w:val="en-GB"/>
              </w:rPr>
            </w:pPr>
            <w:r w:rsidRPr="00E24C4B">
              <w:rPr>
                <w:rFonts w:cs="Arial"/>
                <w:lang w:val="en-GB"/>
              </w:rPr>
              <w:t>0.05</w:t>
            </w:r>
          </w:p>
        </w:tc>
        <w:tc>
          <w:tcPr>
            <w:tcW w:w="2409" w:type="dxa"/>
            <w:noWrap/>
            <w:vAlign w:val="center"/>
          </w:tcPr>
          <w:p w14:paraId="2FBA0517" w14:textId="5E4A6970" w:rsidR="00001447" w:rsidRPr="00E24C4B" w:rsidRDefault="00001447" w:rsidP="001007F0">
            <w:pPr>
              <w:spacing w:line="276" w:lineRule="auto"/>
              <w:jc w:val="center"/>
              <w:rPr>
                <w:rFonts w:cs="Arial"/>
                <w:lang w:val="en-GB"/>
              </w:rPr>
            </w:pPr>
            <w:r w:rsidRPr="00E24C4B">
              <w:rPr>
                <w:rFonts w:cs="Arial"/>
                <w:lang w:val="en-GB"/>
              </w:rPr>
              <w:t>Beta</w:t>
            </w:r>
          </w:p>
        </w:tc>
        <w:tc>
          <w:tcPr>
            <w:tcW w:w="2410" w:type="dxa"/>
            <w:tcBorders>
              <w:top w:val="nil"/>
              <w:left w:val="single" w:sz="4" w:space="0" w:color="auto"/>
              <w:bottom w:val="single" w:sz="4" w:space="0" w:color="auto"/>
              <w:right w:val="single" w:sz="4" w:space="0" w:color="auto"/>
            </w:tcBorders>
            <w:vAlign w:val="center"/>
          </w:tcPr>
          <w:p w14:paraId="0E621DF2" w14:textId="10658AC5" w:rsidR="00001447" w:rsidRPr="00E24C4B" w:rsidRDefault="00001447" w:rsidP="001007F0">
            <w:pPr>
              <w:spacing w:line="276" w:lineRule="auto"/>
              <w:jc w:val="center"/>
              <w:rPr>
                <w:rFonts w:eastAsia="Times New Roman" w:cs="Arial"/>
                <w:lang w:val="en-GB" w:eastAsia="it-IT"/>
              </w:rPr>
            </w:pPr>
            <w:r w:rsidRPr="00E24C4B">
              <w:rPr>
                <w:rFonts w:cs="Arial"/>
                <w:lang w:val="en-GB"/>
              </w:rPr>
              <w:t>0.03 to 0.07</w:t>
            </w:r>
          </w:p>
        </w:tc>
        <w:tc>
          <w:tcPr>
            <w:tcW w:w="2552" w:type="dxa"/>
            <w:noWrap/>
            <w:vAlign w:val="center"/>
          </w:tcPr>
          <w:p w14:paraId="6523978A" w14:textId="7DC7EDB4" w:rsidR="00001447" w:rsidRPr="00E24C4B" w:rsidRDefault="00001447" w:rsidP="001007F0">
            <w:pPr>
              <w:spacing w:line="276" w:lineRule="auto"/>
              <w:rPr>
                <w:rFonts w:eastAsia="Times New Roman" w:cs="Arial"/>
                <w:highlight w:val="yellow"/>
                <w:lang w:val="en-GB" w:eastAsia="it-IT"/>
              </w:rPr>
            </w:pPr>
            <w:r w:rsidRPr="00E24C4B">
              <w:rPr>
                <w:rFonts w:cs="Arial"/>
                <w:lang w:val="en-GB"/>
              </w:rPr>
              <w:t>Assumed same as diarrhoea</w:t>
            </w:r>
          </w:p>
        </w:tc>
      </w:tr>
      <w:tr w:rsidR="002F6056" w:rsidRPr="002E1D08" w14:paraId="249842D9" w14:textId="77777777" w:rsidTr="00623AA1">
        <w:trPr>
          <w:trHeight w:val="20"/>
        </w:trPr>
        <w:tc>
          <w:tcPr>
            <w:tcW w:w="4470" w:type="dxa"/>
            <w:noWrap/>
            <w:vAlign w:val="center"/>
          </w:tcPr>
          <w:p w14:paraId="4E17FF9B" w14:textId="77777777" w:rsidR="002F6056" w:rsidRPr="00E24C4B" w:rsidRDefault="002F6056" w:rsidP="002F6056">
            <w:pPr>
              <w:spacing w:line="276" w:lineRule="auto"/>
              <w:rPr>
                <w:rFonts w:cs="Arial"/>
                <w:lang w:val="en-GB"/>
              </w:rPr>
            </w:pPr>
            <w:r w:rsidRPr="00E24C4B">
              <w:rPr>
                <w:rFonts w:cs="Arial"/>
                <w:lang w:val="en-GB"/>
              </w:rPr>
              <w:t>Neutrophil count decreased</w:t>
            </w:r>
          </w:p>
        </w:tc>
        <w:tc>
          <w:tcPr>
            <w:tcW w:w="2755" w:type="dxa"/>
            <w:tcBorders>
              <w:top w:val="nil"/>
              <w:left w:val="single" w:sz="4" w:space="0" w:color="auto"/>
              <w:bottom w:val="single" w:sz="4" w:space="0" w:color="auto"/>
              <w:right w:val="single" w:sz="4" w:space="0" w:color="auto"/>
            </w:tcBorders>
            <w:noWrap/>
            <w:vAlign w:val="center"/>
          </w:tcPr>
          <w:p w14:paraId="09B5AC36" w14:textId="4A60C1B6" w:rsidR="002F6056" w:rsidRPr="00E24C4B" w:rsidRDefault="002F6056" w:rsidP="002F6056">
            <w:pPr>
              <w:spacing w:line="276" w:lineRule="auto"/>
              <w:jc w:val="center"/>
              <w:rPr>
                <w:rFonts w:cs="Arial"/>
                <w:lang w:val="en-GB"/>
              </w:rPr>
            </w:pPr>
            <w:r w:rsidRPr="00E24C4B">
              <w:rPr>
                <w:rFonts w:cs="Arial"/>
                <w:lang w:val="en-GB"/>
              </w:rPr>
              <w:t>0.00</w:t>
            </w:r>
          </w:p>
        </w:tc>
        <w:tc>
          <w:tcPr>
            <w:tcW w:w="2409" w:type="dxa"/>
            <w:noWrap/>
            <w:vAlign w:val="center"/>
          </w:tcPr>
          <w:p w14:paraId="1CEA03AD" w14:textId="4F317241" w:rsidR="002F6056" w:rsidRPr="00E24C4B" w:rsidRDefault="002F6056" w:rsidP="002F6056">
            <w:pPr>
              <w:spacing w:line="276" w:lineRule="auto"/>
              <w:jc w:val="center"/>
              <w:rPr>
                <w:rFonts w:cs="Arial"/>
                <w:lang w:val="en-GB"/>
              </w:rPr>
            </w:pPr>
            <w:r w:rsidRPr="00E24C4B">
              <w:rPr>
                <w:rFonts w:cs="Arial"/>
                <w:lang w:val="en-GB"/>
              </w:rPr>
              <w:t>Constant</w:t>
            </w:r>
          </w:p>
        </w:tc>
        <w:tc>
          <w:tcPr>
            <w:tcW w:w="2410" w:type="dxa"/>
            <w:tcBorders>
              <w:top w:val="nil"/>
              <w:left w:val="single" w:sz="4" w:space="0" w:color="auto"/>
              <w:bottom w:val="single" w:sz="4" w:space="0" w:color="auto"/>
              <w:right w:val="single" w:sz="4" w:space="0" w:color="auto"/>
            </w:tcBorders>
            <w:vAlign w:val="center"/>
          </w:tcPr>
          <w:p w14:paraId="589BC1BD" w14:textId="0C1AF566" w:rsidR="002F6056" w:rsidRPr="00E24C4B" w:rsidRDefault="002F6056" w:rsidP="002F6056">
            <w:pPr>
              <w:spacing w:line="276" w:lineRule="auto"/>
              <w:jc w:val="center"/>
              <w:rPr>
                <w:rFonts w:eastAsia="Times New Roman" w:cs="Arial"/>
                <w:lang w:val="en-GB" w:eastAsia="it-IT"/>
              </w:rPr>
            </w:pPr>
            <w:r w:rsidRPr="00E24C4B">
              <w:rPr>
                <w:rFonts w:eastAsia="Times New Roman" w:cs="Arial"/>
                <w:lang w:val="en-GB" w:eastAsia="it-IT"/>
              </w:rPr>
              <w:t>-</w:t>
            </w:r>
          </w:p>
        </w:tc>
        <w:tc>
          <w:tcPr>
            <w:tcW w:w="2552" w:type="dxa"/>
            <w:noWrap/>
            <w:vAlign w:val="center"/>
          </w:tcPr>
          <w:p w14:paraId="6A644AD8" w14:textId="649392BC" w:rsidR="002F6056" w:rsidRPr="00E24C4B" w:rsidRDefault="00843045" w:rsidP="002F6056">
            <w:pPr>
              <w:spacing w:line="276" w:lineRule="auto"/>
              <w:rPr>
                <w:rFonts w:eastAsia="Times New Roman" w:cs="Arial"/>
                <w:highlight w:val="green"/>
                <w:lang w:val="en-GB" w:eastAsia="it-IT"/>
              </w:rPr>
            </w:pPr>
            <w:r>
              <w:rPr>
                <w:rFonts w:cs="Arial"/>
                <w:vertAlign w:val="superscript"/>
              </w:rPr>
              <w:t>51</w:t>
            </w:r>
          </w:p>
        </w:tc>
      </w:tr>
      <w:tr w:rsidR="002F6056" w:rsidRPr="002E1D08" w14:paraId="2D23D3A4" w14:textId="77777777" w:rsidTr="00623AA1">
        <w:trPr>
          <w:trHeight w:val="20"/>
        </w:trPr>
        <w:tc>
          <w:tcPr>
            <w:tcW w:w="4470" w:type="dxa"/>
            <w:noWrap/>
            <w:vAlign w:val="center"/>
          </w:tcPr>
          <w:p w14:paraId="00493469" w14:textId="77777777" w:rsidR="002F6056" w:rsidRPr="00E24C4B" w:rsidRDefault="002F6056" w:rsidP="002F6056">
            <w:pPr>
              <w:spacing w:line="276" w:lineRule="auto"/>
              <w:rPr>
                <w:rFonts w:cs="Arial"/>
                <w:lang w:val="en-GB"/>
              </w:rPr>
            </w:pPr>
            <w:r w:rsidRPr="00E24C4B">
              <w:rPr>
                <w:rFonts w:cs="Arial"/>
                <w:lang w:val="en-GB"/>
              </w:rPr>
              <w:t>Platelet count decreased</w:t>
            </w:r>
          </w:p>
        </w:tc>
        <w:tc>
          <w:tcPr>
            <w:tcW w:w="2755" w:type="dxa"/>
            <w:tcBorders>
              <w:top w:val="nil"/>
              <w:left w:val="single" w:sz="4" w:space="0" w:color="auto"/>
              <w:bottom w:val="single" w:sz="4" w:space="0" w:color="auto"/>
              <w:right w:val="single" w:sz="4" w:space="0" w:color="auto"/>
            </w:tcBorders>
            <w:noWrap/>
            <w:vAlign w:val="center"/>
          </w:tcPr>
          <w:p w14:paraId="136C4EC1" w14:textId="7CF43768" w:rsidR="002F6056" w:rsidRPr="00E24C4B" w:rsidRDefault="002F6056" w:rsidP="002F6056">
            <w:pPr>
              <w:spacing w:line="276" w:lineRule="auto"/>
              <w:jc w:val="center"/>
              <w:rPr>
                <w:rFonts w:cs="Arial"/>
                <w:lang w:val="en-GB"/>
              </w:rPr>
            </w:pPr>
            <w:r w:rsidRPr="00E24C4B">
              <w:rPr>
                <w:rFonts w:cs="Arial"/>
                <w:lang w:val="en-GB"/>
              </w:rPr>
              <w:t>0.05</w:t>
            </w:r>
          </w:p>
        </w:tc>
        <w:tc>
          <w:tcPr>
            <w:tcW w:w="2409" w:type="dxa"/>
            <w:noWrap/>
            <w:vAlign w:val="center"/>
          </w:tcPr>
          <w:p w14:paraId="0E5EC331" w14:textId="6BFD09E1" w:rsidR="002F6056" w:rsidRPr="00E24C4B" w:rsidRDefault="002F6056" w:rsidP="002F6056">
            <w:pPr>
              <w:spacing w:line="276" w:lineRule="auto"/>
              <w:jc w:val="center"/>
              <w:rPr>
                <w:rFonts w:cs="Arial"/>
                <w:lang w:val="en-GB"/>
              </w:rPr>
            </w:pPr>
            <w:r w:rsidRPr="00E24C4B">
              <w:rPr>
                <w:rFonts w:cs="Arial"/>
                <w:lang w:val="en-GB"/>
              </w:rPr>
              <w:t>Beta</w:t>
            </w:r>
          </w:p>
        </w:tc>
        <w:tc>
          <w:tcPr>
            <w:tcW w:w="2410" w:type="dxa"/>
            <w:tcBorders>
              <w:top w:val="nil"/>
              <w:left w:val="single" w:sz="4" w:space="0" w:color="auto"/>
              <w:bottom w:val="single" w:sz="4" w:space="0" w:color="auto"/>
              <w:right w:val="single" w:sz="4" w:space="0" w:color="auto"/>
            </w:tcBorders>
            <w:vAlign w:val="center"/>
          </w:tcPr>
          <w:p w14:paraId="6472E7BF" w14:textId="34A4C8E5" w:rsidR="002F6056" w:rsidRPr="00E24C4B" w:rsidRDefault="002F6056" w:rsidP="002F6056">
            <w:pPr>
              <w:spacing w:line="276" w:lineRule="auto"/>
              <w:jc w:val="center"/>
              <w:rPr>
                <w:rFonts w:eastAsia="Times New Roman" w:cs="Arial"/>
                <w:lang w:val="en-GB" w:eastAsia="it-IT"/>
              </w:rPr>
            </w:pPr>
            <w:r w:rsidRPr="00E24C4B">
              <w:rPr>
                <w:rFonts w:cs="Arial"/>
                <w:lang w:val="en-GB"/>
              </w:rPr>
              <w:t>0.03 to 0.07</w:t>
            </w:r>
          </w:p>
        </w:tc>
        <w:tc>
          <w:tcPr>
            <w:tcW w:w="2552" w:type="dxa"/>
            <w:noWrap/>
            <w:vAlign w:val="center"/>
          </w:tcPr>
          <w:p w14:paraId="27316607" w14:textId="6C985170" w:rsidR="002F6056" w:rsidRPr="00E24C4B" w:rsidRDefault="002F6056" w:rsidP="002F6056">
            <w:pPr>
              <w:spacing w:line="276" w:lineRule="auto"/>
              <w:rPr>
                <w:rFonts w:eastAsia="Times New Roman" w:cs="Arial"/>
                <w:highlight w:val="green"/>
                <w:lang w:val="en-GB" w:eastAsia="it-IT"/>
              </w:rPr>
            </w:pPr>
            <w:r>
              <w:rPr>
                <w:rFonts w:cs="Arial"/>
                <w:vertAlign w:val="superscript"/>
              </w:rPr>
              <w:t>5</w:t>
            </w:r>
            <w:r w:rsidR="00843045">
              <w:rPr>
                <w:rFonts w:cs="Arial"/>
                <w:vertAlign w:val="superscript"/>
              </w:rPr>
              <w:t>2</w:t>
            </w:r>
          </w:p>
        </w:tc>
      </w:tr>
      <w:tr w:rsidR="002F6056" w:rsidRPr="002E1D08" w14:paraId="678B480C" w14:textId="77777777" w:rsidTr="00623AA1">
        <w:trPr>
          <w:trHeight w:val="20"/>
        </w:trPr>
        <w:tc>
          <w:tcPr>
            <w:tcW w:w="4470" w:type="dxa"/>
            <w:noWrap/>
            <w:vAlign w:val="center"/>
          </w:tcPr>
          <w:p w14:paraId="527AFDCA" w14:textId="77777777" w:rsidR="002F6056" w:rsidRPr="00E24C4B" w:rsidRDefault="002F6056" w:rsidP="002F6056">
            <w:pPr>
              <w:spacing w:line="276" w:lineRule="auto"/>
              <w:rPr>
                <w:rFonts w:cs="Arial"/>
                <w:lang w:val="en-GB"/>
              </w:rPr>
            </w:pPr>
            <w:r w:rsidRPr="00E24C4B">
              <w:rPr>
                <w:rFonts w:cs="Arial"/>
                <w:lang w:val="en-GB"/>
              </w:rPr>
              <w:t>Sepsis</w:t>
            </w:r>
          </w:p>
        </w:tc>
        <w:tc>
          <w:tcPr>
            <w:tcW w:w="2755" w:type="dxa"/>
            <w:tcBorders>
              <w:top w:val="nil"/>
              <w:left w:val="single" w:sz="4" w:space="0" w:color="auto"/>
              <w:bottom w:val="single" w:sz="4" w:space="0" w:color="auto"/>
              <w:right w:val="single" w:sz="4" w:space="0" w:color="auto"/>
            </w:tcBorders>
            <w:noWrap/>
            <w:vAlign w:val="center"/>
          </w:tcPr>
          <w:p w14:paraId="53670599" w14:textId="3FFE9E3F" w:rsidR="002F6056" w:rsidRPr="00E24C4B" w:rsidRDefault="002F6056" w:rsidP="002F6056">
            <w:pPr>
              <w:spacing w:line="276" w:lineRule="auto"/>
              <w:jc w:val="center"/>
              <w:rPr>
                <w:rFonts w:cs="Arial"/>
                <w:lang w:val="en-GB"/>
              </w:rPr>
            </w:pPr>
            <w:r w:rsidRPr="00E24C4B">
              <w:rPr>
                <w:rFonts w:cs="Arial"/>
                <w:lang w:val="en-GB"/>
              </w:rPr>
              <w:t>0.20</w:t>
            </w:r>
          </w:p>
        </w:tc>
        <w:tc>
          <w:tcPr>
            <w:tcW w:w="2409" w:type="dxa"/>
            <w:noWrap/>
            <w:vAlign w:val="center"/>
          </w:tcPr>
          <w:p w14:paraId="0EB29C75" w14:textId="39CCE4EC" w:rsidR="002F6056" w:rsidRPr="00E24C4B" w:rsidRDefault="002F6056" w:rsidP="002F6056">
            <w:pPr>
              <w:spacing w:line="276" w:lineRule="auto"/>
              <w:jc w:val="center"/>
              <w:rPr>
                <w:rFonts w:cs="Arial"/>
                <w:lang w:val="en-GB"/>
              </w:rPr>
            </w:pPr>
            <w:r w:rsidRPr="00E24C4B">
              <w:rPr>
                <w:rFonts w:cs="Arial"/>
                <w:lang w:val="en-GB"/>
              </w:rPr>
              <w:t>Beta</w:t>
            </w:r>
          </w:p>
        </w:tc>
        <w:tc>
          <w:tcPr>
            <w:tcW w:w="2410" w:type="dxa"/>
            <w:tcBorders>
              <w:top w:val="nil"/>
              <w:left w:val="single" w:sz="4" w:space="0" w:color="auto"/>
              <w:bottom w:val="single" w:sz="4" w:space="0" w:color="auto"/>
              <w:right w:val="single" w:sz="4" w:space="0" w:color="auto"/>
            </w:tcBorders>
            <w:vAlign w:val="center"/>
          </w:tcPr>
          <w:p w14:paraId="7528F59D" w14:textId="7629FF9A" w:rsidR="002F6056" w:rsidRPr="00E24C4B" w:rsidRDefault="002F6056" w:rsidP="002F6056">
            <w:pPr>
              <w:spacing w:line="276" w:lineRule="auto"/>
              <w:jc w:val="center"/>
              <w:rPr>
                <w:rFonts w:eastAsia="Times New Roman" w:cs="Arial"/>
                <w:lang w:val="en-GB" w:eastAsia="it-IT"/>
              </w:rPr>
            </w:pPr>
            <w:r w:rsidRPr="00E24C4B">
              <w:rPr>
                <w:rFonts w:cs="Arial"/>
                <w:lang w:val="en-GB"/>
              </w:rPr>
              <w:t>0.13 to 0.28</w:t>
            </w:r>
          </w:p>
        </w:tc>
        <w:tc>
          <w:tcPr>
            <w:tcW w:w="2552" w:type="dxa"/>
            <w:noWrap/>
            <w:vAlign w:val="center"/>
          </w:tcPr>
          <w:p w14:paraId="3F638252" w14:textId="070C9DE4" w:rsidR="002F6056" w:rsidRPr="00E24C4B" w:rsidRDefault="002F6056" w:rsidP="002F6056">
            <w:pPr>
              <w:spacing w:line="276" w:lineRule="auto"/>
              <w:rPr>
                <w:rFonts w:eastAsia="Times New Roman" w:cs="Arial"/>
                <w:highlight w:val="green"/>
                <w:lang w:val="en-GB" w:eastAsia="it-IT"/>
              </w:rPr>
            </w:pPr>
            <w:r>
              <w:rPr>
                <w:rFonts w:cs="Arial"/>
                <w:vertAlign w:val="superscript"/>
              </w:rPr>
              <w:t>5</w:t>
            </w:r>
            <w:r w:rsidR="00843045">
              <w:rPr>
                <w:rFonts w:cs="Arial"/>
                <w:vertAlign w:val="superscript"/>
              </w:rPr>
              <w:t>3</w:t>
            </w:r>
          </w:p>
        </w:tc>
      </w:tr>
      <w:tr w:rsidR="002F6056" w:rsidRPr="002E1D08" w14:paraId="022100C3" w14:textId="77777777" w:rsidTr="00623AA1">
        <w:trPr>
          <w:trHeight w:val="20"/>
        </w:trPr>
        <w:tc>
          <w:tcPr>
            <w:tcW w:w="4470" w:type="dxa"/>
            <w:noWrap/>
            <w:vAlign w:val="center"/>
          </w:tcPr>
          <w:p w14:paraId="6557E067" w14:textId="77777777" w:rsidR="002F6056" w:rsidRPr="00E24C4B" w:rsidRDefault="002F6056" w:rsidP="002F6056">
            <w:pPr>
              <w:spacing w:line="276" w:lineRule="auto"/>
              <w:rPr>
                <w:rFonts w:cs="Arial"/>
                <w:lang w:val="en-GB"/>
              </w:rPr>
            </w:pPr>
            <w:r w:rsidRPr="00E24C4B">
              <w:rPr>
                <w:rFonts w:cs="Arial"/>
                <w:lang w:val="en-GB"/>
              </w:rPr>
              <w:t>White blood cell count decreased</w:t>
            </w:r>
          </w:p>
        </w:tc>
        <w:tc>
          <w:tcPr>
            <w:tcW w:w="2755" w:type="dxa"/>
            <w:tcBorders>
              <w:top w:val="nil"/>
              <w:left w:val="single" w:sz="4" w:space="0" w:color="auto"/>
              <w:bottom w:val="single" w:sz="4" w:space="0" w:color="auto"/>
              <w:right w:val="single" w:sz="4" w:space="0" w:color="auto"/>
            </w:tcBorders>
            <w:noWrap/>
            <w:vAlign w:val="center"/>
          </w:tcPr>
          <w:p w14:paraId="7748CCC5" w14:textId="2609AE54" w:rsidR="002F6056" w:rsidRPr="00E24C4B" w:rsidRDefault="002F6056" w:rsidP="002F6056">
            <w:pPr>
              <w:spacing w:line="276" w:lineRule="auto"/>
              <w:jc w:val="center"/>
              <w:rPr>
                <w:rFonts w:cs="Arial"/>
                <w:lang w:val="en-GB"/>
              </w:rPr>
            </w:pPr>
            <w:r w:rsidRPr="00E24C4B">
              <w:rPr>
                <w:rFonts w:cs="Arial"/>
                <w:lang w:val="en-GB"/>
              </w:rPr>
              <w:t>0.05</w:t>
            </w:r>
          </w:p>
        </w:tc>
        <w:tc>
          <w:tcPr>
            <w:tcW w:w="2409" w:type="dxa"/>
            <w:noWrap/>
            <w:vAlign w:val="center"/>
          </w:tcPr>
          <w:p w14:paraId="63753BDE" w14:textId="6645F519" w:rsidR="002F6056" w:rsidRPr="00E24C4B" w:rsidRDefault="002F6056" w:rsidP="002F6056">
            <w:pPr>
              <w:spacing w:line="276" w:lineRule="auto"/>
              <w:jc w:val="center"/>
              <w:rPr>
                <w:rFonts w:cs="Arial"/>
                <w:lang w:val="en-GB"/>
              </w:rPr>
            </w:pPr>
            <w:r w:rsidRPr="00E24C4B">
              <w:rPr>
                <w:rFonts w:cs="Arial"/>
                <w:lang w:val="en-GB"/>
              </w:rPr>
              <w:t>Beta</w:t>
            </w:r>
          </w:p>
        </w:tc>
        <w:tc>
          <w:tcPr>
            <w:tcW w:w="2410" w:type="dxa"/>
            <w:tcBorders>
              <w:top w:val="nil"/>
              <w:left w:val="single" w:sz="4" w:space="0" w:color="auto"/>
              <w:bottom w:val="single" w:sz="4" w:space="0" w:color="auto"/>
              <w:right w:val="single" w:sz="4" w:space="0" w:color="auto"/>
            </w:tcBorders>
            <w:vAlign w:val="center"/>
          </w:tcPr>
          <w:p w14:paraId="23869A01" w14:textId="08885F4A" w:rsidR="002F6056" w:rsidRPr="00E24C4B" w:rsidRDefault="002F6056" w:rsidP="002F6056">
            <w:pPr>
              <w:spacing w:line="276" w:lineRule="auto"/>
              <w:jc w:val="center"/>
              <w:rPr>
                <w:rFonts w:eastAsia="Times New Roman" w:cs="Arial"/>
                <w:lang w:val="en-GB" w:eastAsia="it-IT"/>
              </w:rPr>
            </w:pPr>
            <w:r w:rsidRPr="00E24C4B">
              <w:rPr>
                <w:rFonts w:cs="Arial"/>
                <w:lang w:val="en-GB"/>
              </w:rPr>
              <w:t>0.03 to 0.07</w:t>
            </w:r>
          </w:p>
        </w:tc>
        <w:tc>
          <w:tcPr>
            <w:tcW w:w="2552" w:type="dxa"/>
            <w:noWrap/>
            <w:vAlign w:val="center"/>
          </w:tcPr>
          <w:p w14:paraId="7DCED07B" w14:textId="5EEB805D" w:rsidR="002F6056" w:rsidRPr="00E24C4B" w:rsidRDefault="00843045" w:rsidP="002F6056">
            <w:pPr>
              <w:spacing w:line="276" w:lineRule="auto"/>
              <w:rPr>
                <w:rFonts w:eastAsia="Times New Roman" w:cs="Arial"/>
                <w:highlight w:val="green"/>
                <w:lang w:val="en-GB" w:eastAsia="it-IT"/>
              </w:rPr>
            </w:pPr>
            <w:r>
              <w:rPr>
                <w:rFonts w:cs="Arial"/>
                <w:vertAlign w:val="superscript"/>
              </w:rPr>
              <w:t>51</w:t>
            </w:r>
          </w:p>
        </w:tc>
      </w:tr>
      <w:tr w:rsidR="00811425" w:rsidRPr="002E1D08" w14:paraId="235C7F17" w14:textId="77777777" w:rsidTr="001007F0">
        <w:trPr>
          <w:trHeight w:val="20"/>
        </w:trPr>
        <w:tc>
          <w:tcPr>
            <w:tcW w:w="14596" w:type="dxa"/>
            <w:gridSpan w:val="5"/>
            <w:shd w:val="clear" w:color="auto" w:fill="F2F2F2" w:themeFill="background1" w:themeFillShade="F2"/>
            <w:noWrap/>
            <w:vAlign w:val="center"/>
          </w:tcPr>
          <w:p w14:paraId="2F3F1D87" w14:textId="72BC5CF1" w:rsidR="00F74D06" w:rsidRPr="00E24C4B" w:rsidRDefault="00F74D06" w:rsidP="001007F0">
            <w:pPr>
              <w:spacing w:line="276" w:lineRule="auto"/>
              <w:rPr>
                <w:rFonts w:cs="Arial"/>
                <w:lang w:val="en-GB"/>
              </w:rPr>
            </w:pPr>
            <w:r w:rsidRPr="00E24C4B">
              <w:rPr>
                <w:rFonts w:cs="Arial"/>
                <w:b/>
                <w:bCs/>
                <w:i/>
                <w:iCs/>
                <w:lang w:val="en-GB"/>
              </w:rPr>
              <w:t>AEs duration</w:t>
            </w:r>
            <w:r w:rsidR="00B97B00" w:rsidRPr="00E24C4B">
              <w:rPr>
                <w:rFonts w:cs="Arial"/>
                <w:b/>
                <w:bCs/>
                <w:i/>
                <w:iCs/>
                <w:lang w:val="en-GB"/>
              </w:rPr>
              <w:t xml:space="preserve">  </w:t>
            </w:r>
          </w:p>
        </w:tc>
      </w:tr>
      <w:tr w:rsidR="002F6056" w:rsidRPr="002E1D08" w14:paraId="2F44CA4E" w14:textId="77777777" w:rsidTr="00623AA1">
        <w:trPr>
          <w:trHeight w:val="20"/>
        </w:trPr>
        <w:tc>
          <w:tcPr>
            <w:tcW w:w="4470" w:type="dxa"/>
            <w:noWrap/>
            <w:vAlign w:val="center"/>
          </w:tcPr>
          <w:p w14:paraId="4049B16E" w14:textId="2138B071" w:rsidR="002F6056" w:rsidRPr="00E24C4B" w:rsidRDefault="002F6056" w:rsidP="002F6056">
            <w:pPr>
              <w:spacing w:line="276" w:lineRule="auto"/>
              <w:rPr>
                <w:rFonts w:cs="Arial"/>
                <w:lang w:val="en-GB"/>
              </w:rPr>
            </w:pPr>
            <w:r w:rsidRPr="00E24C4B">
              <w:rPr>
                <w:rFonts w:cs="Arial"/>
                <w:lang w:val="en-GB"/>
              </w:rPr>
              <w:t>Alanine aminotransferase increased</w:t>
            </w:r>
          </w:p>
        </w:tc>
        <w:tc>
          <w:tcPr>
            <w:tcW w:w="2755" w:type="dxa"/>
            <w:tcBorders>
              <w:top w:val="single" w:sz="4" w:space="0" w:color="auto"/>
              <w:left w:val="single" w:sz="4" w:space="0" w:color="auto"/>
              <w:bottom w:val="single" w:sz="4" w:space="0" w:color="auto"/>
              <w:right w:val="single" w:sz="4" w:space="0" w:color="auto"/>
            </w:tcBorders>
            <w:noWrap/>
            <w:vAlign w:val="center"/>
          </w:tcPr>
          <w:p w14:paraId="6628A33F" w14:textId="6B9B9697" w:rsidR="002F6056" w:rsidRPr="00E24C4B" w:rsidRDefault="002F6056" w:rsidP="002F6056">
            <w:pPr>
              <w:spacing w:line="276" w:lineRule="auto"/>
              <w:jc w:val="center"/>
              <w:rPr>
                <w:rFonts w:eastAsia="Times New Roman" w:cs="Arial"/>
                <w:lang w:val="en-GB" w:eastAsia="it-IT"/>
              </w:rPr>
            </w:pPr>
            <w:r w:rsidRPr="00E24C4B">
              <w:rPr>
                <w:rFonts w:cs="Arial"/>
                <w:lang w:val="en-GB"/>
              </w:rPr>
              <w:t>20.00</w:t>
            </w:r>
          </w:p>
        </w:tc>
        <w:tc>
          <w:tcPr>
            <w:tcW w:w="2409" w:type="dxa"/>
            <w:noWrap/>
            <w:vAlign w:val="center"/>
          </w:tcPr>
          <w:p w14:paraId="1987342D" w14:textId="1CBEBB8F" w:rsidR="002F6056" w:rsidRPr="00E24C4B" w:rsidRDefault="002F6056" w:rsidP="002F6056">
            <w:pPr>
              <w:spacing w:line="276" w:lineRule="auto"/>
              <w:jc w:val="center"/>
              <w:rPr>
                <w:rFonts w:cs="Arial"/>
                <w:lang w:val="en-GB"/>
              </w:rPr>
            </w:pPr>
            <w:r w:rsidRPr="00E24C4B">
              <w:rPr>
                <w:rFonts w:cs="Arial"/>
                <w:lang w:val="en-GB"/>
              </w:rPr>
              <w:t>Gamma</w:t>
            </w:r>
          </w:p>
        </w:tc>
        <w:tc>
          <w:tcPr>
            <w:tcW w:w="2410" w:type="dxa"/>
            <w:tcBorders>
              <w:top w:val="single" w:sz="4" w:space="0" w:color="auto"/>
              <w:left w:val="single" w:sz="4" w:space="0" w:color="auto"/>
              <w:bottom w:val="single" w:sz="4" w:space="0" w:color="auto"/>
              <w:right w:val="single" w:sz="4" w:space="0" w:color="auto"/>
            </w:tcBorders>
            <w:vAlign w:val="center"/>
          </w:tcPr>
          <w:p w14:paraId="72E972D1" w14:textId="6DFE04F7" w:rsidR="002F6056" w:rsidRPr="00E24C4B" w:rsidRDefault="002F6056" w:rsidP="002F6056">
            <w:pPr>
              <w:spacing w:line="276" w:lineRule="auto"/>
              <w:jc w:val="center"/>
              <w:rPr>
                <w:rFonts w:cs="Arial"/>
                <w:lang w:val="en-GB"/>
              </w:rPr>
            </w:pPr>
            <w:r w:rsidRPr="00E24C4B">
              <w:rPr>
                <w:rFonts w:cs="Arial"/>
                <w:lang w:val="en-GB"/>
              </w:rPr>
              <w:t>16.27 to 24.11</w:t>
            </w:r>
          </w:p>
        </w:tc>
        <w:tc>
          <w:tcPr>
            <w:tcW w:w="2552" w:type="dxa"/>
            <w:noWrap/>
            <w:vAlign w:val="center"/>
          </w:tcPr>
          <w:p w14:paraId="00E6BF47" w14:textId="4907D22F" w:rsidR="002F6056" w:rsidRPr="00E24C4B" w:rsidRDefault="002F6056" w:rsidP="002F6056">
            <w:pPr>
              <w:spacing w:line="276" w:lineRule="auto"/>
              <w:rPr>
                <w:rFonts w:cs="Arial"/>
                <w:highlight w:val="green"/>
                <w:lang w:val="en-GB"/>
              </w:rPr>
            </w:pPr>
            <w:r>
              <w:rPr>
                <w:rFonts w:cs="Arial"/>
                <w:vertAlign w:val="superscript"/>
              </w:rPr>
              <w:t>18</w:t>
            </w:r>
          </w:p>
        </w:tc>
      </w:tr>
      <w:tr w:rsidR="002F6056" w:rsidRPr="002E1D08" w14:paraId="76558B60" w14:textId="77777777" w:rsidTr="00623AA1">
        <w:trPr>
          <w:trHeight w:val="20"/>
        </w:trPr>
        <w:tc>
          <w:tcPr>
            <w:tcW w:w="4470" w:type="dxa"/>
            <w:noWrap/>
            <w:vAlign w:val="center"/>
          </w:tcPr>
          <w:p w14:paraId="3B189178" w14:textId="5EF5EB66" w:rsidR="002F6056" w:rsidRPr="00E24C4B" w:rsidRDefault="002F6056" w:rsidP="002F6056">
            <w:pPr>
              <w:spacing w:line="276" w:lineRule="auto"/>
              <w:rPr>
                <w:rFonts w:cs="Arial"/>
                <w:lang w:val="en-GB"/>
              </w:rPr>
            </w:pPr>
            <w:r w:rsidRPr="00E24C4B">
              <w:rPr>
                <w:rFonts w:cs="Arial"/>
                <w:lang w:val="en-GB"/>
              </w:rPr>
              <w:t>Anaemia</w:t>
            </w:r>
          </w:p>
        </w:tc>
        <w:tc>
          <w:tcPr>
            <w:tcW w:w="2755" w:type="dxa"/>
            <w:tcBorders>
              <w:top w:val="nil"/>
              <w:left w:val="single" w:sz="4" w:space="0" w:color="auto"/>
              <w:bottom w:val="single" w:sz="4" w:space="0" w:color="auto"/>
              <w:right w:val="single" w:sz="4" w:space="0" w:color="auto"/>
            </w:tcBorders>
            <w:noWrap/>
            <w:vAlign w:val="center"/>
          </w:tcPr>
          <w:p w14:paraId="38917DF0" w14:textId="4AED1039" w:rsidR="002F6056" w:rsidRPr="00E24C4B" w:rsidRDefault="002F6056" w:rsidP="002F6056">
            <w:pPr>
              <w:spacing w:line="276" w:lineRule="auto"/>
              <w:jc w:val="center"/>
              <w:rPr>
                <w:rFonts w:eastAsia="Times New Roman" w:cs="Arial"/>
                <w:lang w:val="en-GB" w:eastAsia="it-IT"/>
              </w:rPr>
            </w:pPr>
            <w:r w:rsidRPr="00E24C4B">
              <w:rPr>
                <w:rFonts w:cs="Arial"/>
                <w:lang w:val="en-GB"/>
              </w:rPr>
              <w:t>14.90</w:t>
            </w:r>
          </w:p>
        </w:tc>
        <w:tc>
          <w:tcPr>
            <w:tcW w:w="2409" w:type="dxa"/>
            <w:noWrap/>
            <w:vAlign w:val="center"/>
          </w:tcPr>
          <w:p w14:paraId="50B01796" w14:textId="18E787BD" w:rsidR="002F6056" w:rsidRPr="00E24C4B" w:rsidRDefault="002F6056" w:rsidP="002F6056">
            <w:pPr>
              <w:spacing w:line="276" w:lineRule="auto"/>
              <w:jc w:val="center"/>
              <w:rPr>
                <w:rFonts w:cs="Arial"/>
                <w:lang w:val="en-GB"/>
              </w:rPr>
            </w:pPr>
            <w:r w:rsidRPr="00E24C4B">
              <w:rPr>
                <w:rFonts w:cs="Arial"/>
                <w:lang w:val="en-GB"/>
              </w:rPr>
              <w:t>Gamma</w:t>
            </w:r>
          </w:p>
        </w:tc>
        <w:tc>
          <w:tcPr>
            <w:tcW w:w="2410" w:type="dxa"/>
            <w:tcBorders>
              <w:top w:val="nil"/>
              <w:left w:val="single" w:sz="4" w:space="0" w:color="auto"/>
              <w:bottom w:val="single" w:sz="4" w:space="0" w:color="auto"/>
              <w:right w:val="single" w:sz="4" w:space="0" w:color="auto"/>
            </w:tcBorders>
            <w:vAlign w:val="center"/>
          </w:tcPr>
          <w:p w14:paraId="0E85B39B" w14:textId="1B4CC270" w:rsidR="002F6056" w:rsidRPr="00E24C4B" w:rsidRDefault="002F6056" w:rsidP="002F6056">
            <w:pPr>
              <w:spacing w:line="276" w:lineRule="auto"/>
              <w:jc w:val="center"/>
              <w:rPr>
                <w:rFonts w:cs="Arial"/>
                <w:lang w:val="en-GB"/>
              </w:rPr>
            </w:pPr>
            <w:r w:rsidRPr="00E24C4B">
              <w:rPr>
                <w:rFonts w:cs="Arial"/>
                <w:lang w:val="en-GB"/>
              </w:rPr>
              <w:t>12.12 to 17.96</w:t>
            </w:r>
          </w:p>
        </w:tc>
        <w:tc>
          <w:tcPr>
            <w:tcW w:w="2552" w:type="dxa"/>
            <w:noWrap/>
            <w:vAlign w:val="center"/>
          </w:tcPr>
          <w:p w14:paraId="3A47FA2E" w14:textId="5253EE57" w:rsidR="002F6056" w:rsidRPr="00E24C4B" w:rsidRDefault="002F6056" w:rsidP="002F6056">
            <w:pPr>
              <w:spacing w:line="276" w:lineRule="auto"/>
              <w:rPr>
                <w:rFonts w:cs="Arial"/>
                <w:highlight w:val="green"/>
                <w:lang w:val="en-GB"/>
              </w:rPr>
            </w:pPr>
            <w:r>
              <w:rPr>
                <w:rFonts w:cs="Arial"/>
                <w:vertAlign w:val="superscript"/>
              </w:rPr>
              <w:t>4</w:t>
            </w:r>
            <w:r w:rsidR="00843045">
              <w:rPr>
                <w:rFonts w:cs="Arial"/>
                <w:vertAlign w:val="superscript"/>
              </w:rPr>
              <w:t>5</w:t>
            </w:r>
          </w:p>
        </w:tc>
      </w:tr>
      <w:tr w:rsidR="00811425" w:rsidRPr="002E1D08" w14:paraId="057D0BBD" w14:textId="77777777" w:rsidTr="00623AA1">
        <w:trPr>
          <w:trHeight w:val="20"/>
        </w:trPr>
        <w:tc>
          <w:tcPr>
            <w:tcW w:w="4470" w:type="dxa"/>
            <w:noWrap/>
            <w:vAlign w:val="center"/>
          </w:tcPr>
          <w:p w14:paraId="33023369" w14:textId="54629BCC" w:rsidR="00682115" w:rsidRPr="00E24C4B" w:rsidRDefault="00682115" w:rsidP="001007F0">
            <w:pPr>
              <w:spacing w:line="276" w:lineRule="auto"/>
              <w:rPr>
                <w:rFonts w:cs="Arial"/>
                <w:lang w:val="en-GB"/>
              </w:rPr>
            </w:pPr>
            <w:r w:rsidRPr="00E24C4B">
              <w:rPr>
                <w:rFonts w:cs="Arial"/>
                <w:lang w:val="en-GB"/>
              </w:rPr>
              <w:t>Aphasia</w:t>
            </w:r>
          </w:p>
        </w:tc>
        <w:tc>
          <w:tcPr>
            <w:tcW w:w="2755" w:type="dxa"/>
            <w:tcBorders>
              <w:top w:val="nil"/>
              <w:left w:val="single" w:sz="4" w:space="0" w:color="auto"/>
              <w:bottom w:val="single" w:sz="4" w:space="0" w:color="auto"/>
              <w:right w:val="single" w:sz="4" w:space="0" w:color="auto"/>
            </w:tcBorders>
            <w:noWrap/>
            <w:vAlign w:val="center"/>
          </w:tcPr>
          <w:p w14:paraId="767B1B1B" w14:textId="03942DCE" w:rsidR="00682115" w:rsidRPr="00E24C4B" w:rsidRDefault="00682115" w:rsidP="001007F0">
            <w:pPr>
              <w:spacing w:line="276" w:lineRule="auto"/>
              <w:jc w:val="center"/>
              <w:rPr>
                <w:rFonts w:eastAsia="Times New Roman" w:cs="Arial"/>
                <w:lang w:val="en-GB" w:eastAsia="it-IT"/>
              </w:rPr>
            </w:pPr>
            <w:r w:rsidRPr="00E24C4B">
              <w:rPr>
                <w:rFonts w:cs="Arial"/>
                <w:lang w:val="en-GB"/>
              </w:rPr>
              <w:t>0.00</w:t>
            </w:r>
          </w:p>
        </w:tc>
        <w:tc>
          <w:tcPr>
            <w:tcW w:w="2409" w:type="dxa"/>
            <w:noWrap/>
            <w:vAlign w:val="center"/>
          </w:tcPr>
          <w:p w14:paraId="0808038C" w14:textId="3B033495" w:rsidR="00682115" w:rsidRPr="00E24C4B" w:rsidRDefault="00682115" w:rsidP="001007F0">
            <w:pPr>
              <w:spacing w:line="276" w:lineRule="auto"/>
              <w:jc w:val="center"/>
              <w:rPr>
                <w:rFonts w:cs="Arial"/>
                <w:lang w:val="en-GB"/>
              </w:rPr>
            </w:pPr>
            <w:r w:rsidRPr="00E24C4B">
              <w:rPr>
                <w:rFonts w:cs="Arial"/>
                <w:lang w:val="en-GB"/>
              </w:rPr>
              <w:t>Constant</w:t>
            </w:r>
          </w:p>
        </w:tc>
        <w:tc>
          <w:tcPr>
            <w:tcW w:w="2410" w:type="dxa"/>
            <w:tcBorders>
              <w:top w:val="nil"/>
              <w:left w:val="single" w:sz="4" w:space="0" w:color="auto"/>
              <w:bottom w:val="single" w:sz="4" w:space="0" w:color="auto"/>
              <w:right w:val="single" w:sz="4" w:space="0" w:color="auto"/>
            </w:tcBorders>
            <w:vAlign w:val="center"/>
          </w:tcPr>
          <w:p w14:paraId="367CB766" w14:textId="2CD75C8E" w:rsidR="00682115" w:rsidRPr="00E24C4B" w:rsidRDefault="00682115" w:rsidP="001007F0">
            <w:pPr>
              <w:spacing w:line="276" w:lineRule="auto"/>
              <w:jc w:val="center"/>
              <w:rPr>
                <w:rFonts w:cs="Arial"/>
                <w:lang w:val="en-GB"/>
              </w:rPr>
            </w:pPr>
            <w:r w:rsidRPr="00E24C4B">
              <w:rPr>
                <w:rFonts w:eastAsia="Times New Roman" w:cs="Arial"/>
                <w:lang w:val="en-GB" w:eastAsia="it-IT"/>
              </w:rPr>
              <w:t>-</w:t>
            </w:r>
          </w:p>
        </w:tc>
        <w:tc>
          <w:tcPr>
            <w:tcW w:w="2552" w:type="dxa"/>
            <w:noWrap/>
            <w:vAlign w:val="center"/>
          </w:tcPr>
          <w:p w14:paraId="69949DF7" w14:textId="63DEBDC0" w:rsidR="00682115" w:rsidRPr="00E24C4B" w:rsidRDefault="00682115" w:rsidP="001007F0">
            <w:pPr>
              <w:spacing w:line="276" w:lineRule="auto"/>
              <w:rPr>
                <w:rFonts w:cs="Arial"/>
                <w:highlight w:val="green"/>
                <w:lang w:val="en-GB"/>
              </w:rPr>
            </w:pPr>
            <w:r w:rsidRPr="00E24C4B">
              <w:rPr>
                <w:rFonts w:cs="Arial"/>
                <w:lang w:val="en-GB"/>
              </w:rPr>
              <w:t>Assumption</w:t>
            </w:r>
          </w:p>
        </w:tc>
      </w:tr>
      <w:tr w:rsidR="002F6056" w:rsidRPr="002E1D08" w14:paraId="0A04F007" w14:textId="77777777" w:rsidTr="00623AA1">
        <w:trPr>
          <w:trHeight w:val="20"/>
        </w:trPr>
        <w:tc>
          <w:tcPr>
            <w:tcW w:w="4470" w:type="dxa"/>
            <w:noWrap/>
            <w:vAlign w:val="center"/>
          </w:tcPr>
          <w:p w14:paraId="35AE2B1A" w14:textId="7BB95FD1" w:rsidR="002F6056" w:rsidRPr="00E24C4B" w:rsidRDefault="002F6056" w:rsidP="002F6056">
            <w:pPr>
              <w:spacing w:line="276" w:lineRule="auto"/>
              <w:rPr>
                <w:rFonts w:cs="Arial"/>
                <w:lang w:val="en-GB"/>
              </w:rPr>
            </w:pPr>
            <w:r w:rsidRPr="00E24C4B">
              <w:rPr>
                <w:rFonts w:cs="Arial"/>
                <w:lang w:val="en-GB"/>
              </w:rPr>
              <w:t>Aspartate aminotransferase increased</w:t>
            </w:r>
          </w:p>
        </w:tc>
        <w:tc>
          <w:tcPr>
            <w:tcW w:w="2755" w:type="dxa"/>
            <w:tcBorders>
              <w:top w:val="nil"/>
              <w:left w:val="single" w:sz="4" w:space="0" w:color="auto"/>
              <w:bottom w:val="single" w:sz="4" w:space="0" w:color="auto"/>
              <w:right w:val="single" w:sz="4" w:space="0" w:color="auto"/>
            </w:tcBorders>
            <w:noWrap/>
            <w:vAlign w:val="center"/>
          </w:tcPr>
          <w:p w14:paraId="75B84D7F" w14:textId="66ADFC2B" w:rsidR="002F6056" w:rsidRPr="00E24C4B" w:rsidRDefault="002F6056" w:rsidP="002F6056">
            <w:pPr>
              <w:spacing w:line="276" w:lineRule="auto"/>
              <w:jc w:val="center"/>
              <w:rPr>
                <w:rFonts w:eastAsia="Times New Roman" w:cs="Arial"/>
                <w:lang w:val="en-GB" w:eastAsia="it-IT"/>
              </w:rPr>
            </w:pPr>
            <w:r w:rsidRPr="00E24C4B">
              <w:rPr>
                <w:rFonts w:cs="Arial"/>
                <w:lang w:val="en-GB"/>
              </w:rPr>
              <w:t>20.00</w:t>
            </w:r>
          </w:p>
        </w:tc>
        <w:tc>
          <w:tcPr>
            <w:tcW w:w="2409" w:type="dxa"/>
            <w:noWrap/>
            <w:vAlign w:val="center"/>
          </w:tcPr>
          <w:p w14:paraId="290CD1D5" w14:textId="6F11A437" w:rsidR="002F6056" w:rsidRPr="00E24C4B" w:rsidRDefault="002F6056" w:rsidP="002F6056">
            <w:pPr>
              <w:spacing w:line="276" w:lineRule="auto"/>
              <w:jc w:val="center"/>
              <w:rPr>
                <w:rFonts w:cs="Arial"/>
                <w:lang w:val="en-GB"/>
              </w:rPr>
            </w:pPr>
            <w:r w:rsidRPr="00E24C4B">
              <w:rPr>
                <w:rFonts w:cs="Arial"/>
                <w:lang w:val="en-GB"/>
              </w:rPr>
              <w:t>Gamma</w:t>
            </w:r>
          </w:p>
        </w:tc>
        <w:tc>
          <w:tcPr>
            <w:tcW w:w="2410" w:type="dxa"/>
            <w:tcBorders>
              <w:top w:val="nil"/>
              <w:left w:val="single" w:sz="4" w:space="0" w:color="auto"/>
              <w:bottom w:val="single" w:sz="4" w:space="0" w:color="auto"/>
              <w:right w:val="single" w:sz="4" w:space="0" w:color="auto"/>
            </w:tcBorders>
            <w:vAlign w:val="center"/>
          </w:tcPr>
          <w:p w14:paraId="6BDAAD58" w14:textId="361FDE09" w:rsidR="002F6056" w:rsidRPr="00E24C4B" w:rsidRDefault="002F6056" w:rsidP="002F6056">
            <w:pPr>
              <w:spacing w:line="276" w:lineRule="auto"/>
              <w:jc w:val="center"/>
              <w:rPr>
                <w:rFonts w:cs="Arial"/>
                <w:lang w:val="en-GB"/>
              </w:rPr>
            </w:pPr>
            <w:r w:rsidRPr="00E24C4B">
              <w:rPr>
                <w:rFonts w:cs="Arial"/>
                <w:lang w:val="en-GB"/>
              </w:rPr>
              <w:t>16.27 to 24.11</w:t>
            </w:r>
          </w:p>
        </w:tc>
        <w:tc>
          <w:tcPr>
            <w:tcW w:w="2552" w:type="dxa"/>
            <w:noWrap/>
            <w:vAlign w:val="center"/>
          </w:tcPr>
          <w:p w14:paraId="3F39086C" w14:textId="22D3F98E" w:rsidR="002F6056" w:rsidRPr="00E24C4B" w:rsidRDefault="002F6056" w:rsidP="002F6056">
            <w:pPr>
              <w:spacing w:line="276" w:lineRule="auto"/>
              <w:rPr>
                <w:rFonts w:cs="Arial"/>
                <w:highlight w:val="green"/>
                <w:lang w:val="en-GB"/>
              </w:rPr>
            </w:pPr>
            <w:r>
              <w:rPr>
                <w:rFonts w:cs="Arial"/>
                <w:vertAlign w:val="superscript"/>
              </w:rPr>
              <w:t>18</w:t>
            </w:r>
          </w:p>
        </w:tc>
      </w:tr>
      <w:tr w:rsidR="002F6056" w:rsidRPr="002E1D08" w14:paraId="64148D71" w14:textId="77777777" w:rsidTr="00623AA1">
        <w:trPr>
          <w:trHeight w:val="20"/>
        </w:trPr>
        <w:tc>
          <w:tcPr>
            <w:tcW w:w="4470" w:type="dxa"/>
            <w:noWrap/>
            <w:vAlign w:val="center"/>
          </w:tcPr>
          <w:p w14:paraId="4D12B5E0" w14:textId="42674DA3" w:rsidR="002F6056" w:rsidRPr="00E24C4B" w:rsidRDefault="002F6056" w:rsidP="002F6056">
            <w:pPr>
              <w:spacing w:line="276" w:lineRule="auto"/>
              <w:rPr>
                <w:rFonts w:cs="Arial"/>
                <w:lang w:val="en-GB"/>
              </w:rPr>
            </w:pPr>
            <w:r w:rsidRPr="00E24C4B">
              <w:rPr>
                <w:rFonts w:cs="Arial"/>
                <w:lang w:val="en-GB"/>
              </w:rPr>
              <w:t>Cytokine release syndrome</w:t>
            </w:r>
          </w:p>
        </w:tc>
        <w:tc>
          <w:tcPr>
            <w:tcW w:w="2755" w:type="dxa"/>
            <w:tcBorders>
              <w:top w:val="nil"/>
              <w:left w:val="single" w:sz="4" w:space="0" w:color="auto"/>
              <w:bottom w:val="single" w:sz="4" w:space="0" w:color="auto"/>
              <w:right w:val="single" w:sz="4" w:space="0" w:color="auto"/>
            </w:tcBorders>
            <w:noWrap/>
            <w:vAlign w:val="center"/>
          </w:tcPr>
          <w:p w14:paraId="61D8349B" w14:textId="3BAFF0A3" w:rsidR="002F6056" w:rsidRPr="00E24C4B" w:rsidRDefault="002F6056" w:rsidP="002F6056">
            <w:pPr>
              <w:spacing w:line="276" w:lineRule="auto"/>
              <w:jc w:val="center"/>
              <w:rPr>
                <w:rFonts w:eastAsia="Times New Roman" w:cs="Arial"/>
                <w:lang w:val="en-GB" w:eastAsia="it-IT"/>
              </w:rPr>
            </w:pPr>
            <w:r w:rsidRPr="00E24C4B">
              <w:rPr>
                <w:rFonts w:cs="Arial"/>
                <w:lang w:val="en-GB"/>
              </w:rPr>
              <w:t>4.30</w:t>
            </w:r>
          </w:p>
        </w:tc>
        <w:tc>
          <w:tcPr>
            <w:tcW w:w="2409" w:type="dxa"/>
            <w:noWrap/>
            <w:vAlign w:val="center"/>
          </w:tcPr>
          <w:p w14:paraId="100B32D1" w14:textId="62DE8C79" w:rsidR="002F6056" w:rsidRPr="00E24C4B" w:rsidRDefault="002F6056" w:rsidP="002F6056">
            <w:pPr>
              <w:spacing w:line="276" w:lineRule="auto"/>
              <w:jc w:val="center"/>
              <w:rPr>
                <w:rFonts w:cs="Arial"/>
                <w:lang w:val="en-GB"/>
              </w:rPr>
            </w:pPr>
            <w:r w:rsidRPr="00E24C4B">
              <w:rPr>
                <w:rFonts w:cs="Arial"/>
                <w:lang w:val="en-GB"/>
              </w:rPr>
              <w:t>Gamma</w:t>
            </w:r>
          </w:p>
        </w:tc>
        <w:tc>
          <w:tcPr>
            <w:tcW w:w="2410" w:type="dxa"/>
            <w:tcBorders>
              <w:top w:val="nil"/>
              <w:left w:val="single" w:sz="4" w:space="0" w:color="auto"/>
              <w:bottom w:val="single" w:sz="4" w:space="0" w:color="auto"/>
              <w:right w:val="single" w:sz="4" w:space="0" w:color="auto"/>
            </w:tcBorders>
            <w:vAlign w:val="center"/>
          </w:tcPr>
          <w:p w14:paraId="18A92763" w14:textId="6125D732" w:rsidR="002F6056" w:rsidRPr="00E24C4B" w:rsidRDefault="002F6056" w:rsidP="002F6056">
            <w:pPr>
              <w:spacing w:line="276" w:lineRule="auto"/>
              <w:jc w:val="center"/>
              <w:rPr>
                <w:rFonts w:cs="Arial"/>
                <w:lang w:val="en-GB"/>
              </w:rPr>
            </w:pPr>
            <w:r w:rsidRPr="00E24C4B">
              <w:rPr>
                <w:rFonts w:cs="Arial"/>
                <w:lang w:val="en-GB"/>
              </w:rPr>
              <w:t>3.50 to 5.18</w:t>
            </w:r>
          </w:p>
        </w:tc>
        <w:tc>
          <w:tcPr>
            <w:tcW w:w="2552" w:type="dxa"/>
            <w:noWrap/>
            <w:vAlign w:val="center"/>
          </w:tcPr>
          <w:p w14:paraId="2C58C1EE" w14:textId="77859F93" w:rsidR="002F6056" w:rsidRPr="00E24C4B" w:rsidRDefault="002F6056" w:rsidP="002F6056">
            <w:pPr>
              <w:spacing w:line="276" w:lineRule="auto"/>
              <w:rPr>
                <w:rFonts w:cs="Arial"/>
                <w:lang w:val="en-GB"/>
              </w:rPr>
            </w:pPr>
            <w:r>
              <w:rPr>
                <w:rFonts w:cs="Arial"/>
                <w:vertAlign w:val="superscript"/>
              </w:rPr>
              <w:t>4</w:t>
            </w:r>
            <w:r w:rsidR="00843045">
              <w:rPr>
                <w:rFonts w:cs="Arial"/>
                <w:vertAlign w:val="superscript"/>
              </w:rPr>
              <w:t>6</w:t>
            </w:r>
          </w:p>
        </w:tc>
      </w:tr>
      <w:tr w:rsidR="00811425" w:rsidRPr="002E1D08" w14:paraId="4B0DF869" w14:textId="77777777" w:rsidTr="00623AA1">
        <w:trPr>
          <w:trHeight w:val="20"/>
        </w:trPr>
        <w:tc>
          <w:tcPr>
            <w:tcW w:w="4470" w:type="dxa"/>
            <w:noWrap/>
            <w:vAlign w:val="center"/>
          </w:tcPr>
          <w:p w14:paraId="0A8B548F" w14:textId="7A27E5FF" w:rsidR="00682115" w:rsidRPr="00E24C4B" w:rsidRDefault="00682115" w:rsidP="001007F0">
            <w:pPr>
              <w:spacing w:line="276" w:lineRule="auto"/>
              <w:rPr>
                <w:rFonts w:cs="Arial"/>
                <w:lang w:val="en-GB"/>
              </w:rPr>
            </w:pPr>
            <w:r w:rsidRPr="00E24C4B">
              <w:rPr>
                <w:rFonts w:cs="Arial"/>
                <w:lang w:val="en-GB"/>
              </w:rPr>
              <w:t>Device related infection</w:t>
            </w:r>
          </w:p>
        </w:tc>
        <w:tc>
          <w:tcPr>
            <w:tcW w:w="2755" w:type="dxa"/>
            <w:tcBorders>
              <w:top w:val="nil"/>
              <w:left w:val="single" w:sz="4" w:space="0" w:color="auto"/>
              <w:bottom w:val="single" w:sz="4" w:space="0" w:color="auto"/>
              <w:right w:val="single" w:sz="4" w:space="0" w:color="auto"/>
            </w:tcBorders>
            <w:noWrap/>
            <w:vAlign w:val="center"/>
          </w:tcPr>
          <w:p w14:paraId="1E37A43A" w14:textId="67AF7015" w:rsidR="00682115" w:rsidRPr="00E24C4B" w:rsidRDefault="00682115" w:rsidP="001007F0">
            <w:pPr>
              <w:spacing w:line="276" w:lineRule="auto"/>
              <w:jc w:val="center"/>
              <w:rPr>
                <w:rFonts w:eastAsia="Times New Roman" w:cs="Arial"/>
                <w:lang w:val="en-GB" w:eastAsia="it-IT"/>
              </w:rPr>
            </w:pPr>
            <w:r w:rsidRPr="00E24C4B">
              <w:rPr>
                <w:rFonts w:cs="Arial"/>
                <w:lang w:val="en-GB"/>
              </w:rPr>
              <w:t>15.10</w:t>
            </w:r>
          </w:p>
        </w:tc>
        <w:tc>
          <w:tcPr>
            <w:tcW w:w="2409" w:type="dxa"/>
            <w:noWrap/>
            <w:vAlign w:val="center"/>
          </w:tcPr>
          <w:p w14:paraId="4D934A34" w14:textId="4F8B70B7" w:rsidR="00682115" w:rsidRPr="00E24C4B" w:rsidRDefault="00682115" w:rsidP="001007F0">
            <w:pPr>
              <w:spacing w:line="276" w:lineRule="auto"/>
              <w:jc w:val="center"/>
              <w:rPr>
                <w:rFonts w:cs="Arial"/>
                <w:lang w:val="en-GB"/>
              </w:rPr>
            </w:pPr>
            <w:r w:rsidRPr="00E24C4B">
              <w:rPr>
                <w:rFonts w:cs="Arial"/>
                <w:lang w:val="en-GB"/>
              </w:rPr>
              <w:t>Gamma</w:t>
            </w:r>
          </w:p>
        </w:tc>
        <w:tc>
          <w:tcPr>
            <w:tcW w:w="2410" w:type="dxa"/>
            <w:tcBorders>
              <w:top w:val="nil"/>
              <w:left w:val="single" w:sz="4" w:space="0" w:color="auto"/>
              <w:bottom w:val="single" w:sz="4" w:space="0" w:color="auto"/>
              <w:right w:val="single" w:sz="4" w:space="0" w:color="auto"/>
            </w:tcBorders>
            <w:vAlign w:val="center"/>
          </w:tcPr>
          <w:p w14:paraId="26929B7D" w14:textId="0AFB4B58" w:rsidR="00682115" w:rsidRPr="00E24C4B" w:rsidRDefault="00682115" w:rsidP="001007F0">
            <w:pPr>
              <w:spacing w:line="276" w:lineRule="auto"/>
              <w:jc w:val="center"/>
              <w:rPr>
                <w:rFonts w:cs="Arial"/>
                <w:lang w:val="en-GB"/>
              </w:rPr>
            </w:pPr>
            <w:r w:rsidRPr="00E24C4B">
              <w:rPr>
                <w:rFonts w:cs="Arial"/>
                <w:lang w:val="en-GB"/>
              </w:rPr>
              <w:t>12.29 to 18.20</w:t>
            </w:r>
          </w:p>
        </w:tc>
        <w:tc>
          <w:tcPr>
            <w:tcW w:w="2552" w:type="dxa"/>
            <w:noWrap/>
            <w:vAlign w:val="center"/>
          </w:tcPr>
          <w:p w14:paraId="6163C1C8" w14:textId="594BC5E9" w:rsidR="00682115" w:rsidRPr="00E24C4B" w:rsidRDefault="00682115" w:rsidP="001007F0">
            <w:pPr>
              <w:spacing w:line="276" w:lineRule="auto"/>
              <w:rPr>
                <w:rFonts w:cs="Arial"/>
                <w:highlight w:val="green"/>
                <w:lang w:val="en-GB"/>
              </w:rPr>
            </w:pPr>
            <w:r w:rsidRPr="00E24C4B">
              <w:rPr>
                <w:rFonts w:cs="Arial"/>
                <w:lang w:val="en-GB"/>
              </w:rPr>
              <w:t>Assumed same as sepsis</w:t>
            </w:r>
          </w:p>
        </w:tc>
      </w:tr>
      <w:tr w:rsidR="002F6056" w:rsidRPr="002E1D08" w14:paraId="2971D65D" w14:textId="77777777" w:rsidTr="00623AA1">
        <w:trPr>
          <w:trHeight w:val="20"/>
        </w:trPr>
        <w:tc>
          <w:tcPr>
            <w:tcW w:w="4470" w:type="dxa"/>
            <w:noWrap/>
            <w:vAlign w:val="center"/>
          </w:tcPr>
          <w:p w14:paraId="06DBF513" w14:textId="3F16D23C" w:rsidR="002F6056" w:rsidRPr="00E24C4B" w:rsidRDefault="002F6056" w:rsidP="002F6056">
            <w:pPr>
              <w:spacing w:line="276" w:lineRule="auto"/>
              <w:rPr>
                <w:rFonts w:cs="Arial"/>
                <w:lang w:val="en-GB"/>
              </w:rPr>
            </w:pPr>
            <w:r w:rsidRPr="00E24C4B">
              <w:rPr>
                <w:rFonts w:cs="Arial"/>
                <w:lang w:val="en-GB"/>
              </w:rPr>
              <w:t>Diarrhoea</w:t>
            </w:r>
          </w:p>
        </w:tc>
        <w:tc>
          <w:tcPr>
            <w:tcW w:w="2755" w:type="dxa"/>
            <w:tcBorders>
              <w:top w:val="nil"/>
              <w:left w:val="single" w:sz="4" w:space="0" w:color="auto"/>
              <w:bottom w:val="single" w:sz="4" w:space="0" w:color="auto"/>
              <w:right w:val="single" w:sz="4" w:space="0" w:color="auto"/>
            </w:tcBorders>
            <w:noWrap/>
            <w:vAlign w:val="center"/>
          </w:tcPr>
          <w:p w14:paraId="3F559758" w14:textId="506BD1C9" w:rsidR="002F6056" w:rsidRPr="00E24C4B" w:rsidRDefault="002F6056" w:rsidP="002F6056">
            <w:pPr>
              <w:spacing w:line="276" w:lineRule="auto"/>
              <w:jc w:val="center"/>
              <w:rPr>
                <w:rFonts w:eastAsia="Times New Roman" w:cs="Arial"/>
                <w:lang w:val="en-GB" w:eastAsia="it-IT"/>
              </w:rPr>
            </w:pPr>
            <w:r w:rsidRPr="00E24C4B">
              <w:rPr>
                <w:rFonts w:cs="Arial"/>
                <w:lang w:val="en-GB"/>
              </w:rPr>
              <w:t>7.00</w:t>
            </w:r>
          </w:p>
        </w:tc>
        <w:tc>
          <w:tcPr>
            <w:tcW w:w="2409" w:type="dxa"/>
            <w:noWrap/>
            <w:vAlign w:val="center"/>
          </w:tcPr>
          <w:p w14:paraId="64552E7E" w14:textId="42042417" w:rsidR="002F6056" w:rsidRPr="00E24C4B" w:rsidRDefault="002F6056" w:rsidP="002F6056">
            <w:pPr>
              <w:spacing w:line="276" w:lineRule="auto"/>
              <w:jc w:val="center"/>
              <w:rPr>
                <w:rFonts w:cs="Arial"/>
                <w:lang w:val="en-GB"/>
              </w:rPr>
            </w:pPr>
            <w:r w:rsidRPr="00E24C4B">
              <w:rPr>
                <w:rFonts w:cs="Arial"/>
                <w:lang w:val="en-GB"/>
              </w:rPr>
              <w:t>Gamma</w:t>
            </w:r>
          </w:p>
        </w:tc>
        <w:tc>
          <w:tcPr>
            <w:tcW w:w="2410" w:type="dxa"/>
            <w:tcBorders>
              <w:top w:val="nil"/>
              <w:left w:val="single" w:sz="4" w:space="0" w:color="auto"/>
              <w:bottom w:val="single" w:sz="4" w:space="0" w:color="auto"/>
              <w:right w:val="single" w:sz="4" w:space="0" w:color="auto"/>
            </w:tcBorders>
            <w:vAlign w:val="center"/>
          </w:tcPr>
          <w:p w14:paraId="32E57177" w14:textId="02CEC668" w:rsidR="002F6056" w:rsidRPr="00E24C4B" w:rsidRDefault="002F6056" w:rsidP="002F6056">
            <w:pPr>
              <w:spacing w:line="276" w:lineRule="auto"/>
              <w:jc w:val="center"/>
              <w:rPr>
                <w:rFonts w:cs="Arial"/>
                <w:lang w:val="en-GB"/>
              </w:rPr>
            </w:pPr>
            <w:r w:rsidRPr="00E24C4B">
              <w:rPr>
                <w:rFonts w:cs="Arial"/>
                <w:lang w:val="en-GB"/>
              </w:rPr>
              <w:t>5.70 to 8.44</w:t>
            </w:r>
          </w:p>
        </w:tc>
        <w:tc>
          <w:tcPr>
            <w:tcW w:w="2552" w:type="dxa"/>
            <w:noWrap/>
            <w:vAlign w:val="center"/>
          </w:tcPr>
          <w:p w14:paraId="273EA5F8" w14:textId="4893754C" w:rsidR="002F6056" w:rsidRPr="00E24C4B" w:rsidRDefault="002F6056" w:rsidP="002F6056">
            <w:pPr>
              <w:spacing w:line="276" w:lineRule="auto"/>
              <w:rPr>
                <w:rFonts w:cs="Arial"/>
                <w:highlight w:val="green"/>
                <w:lang w:val="en-GB"/>
              </w:rPr>
            </w:pPr>
            <w:r>
              <w:rPr>
                <w:rFonts w:cs="Arial"/>
                <w:vertAlign w:val="superscript"/>
              </w:rPr>
              <w:t>4</w:t>
            </w:r>
            <w:r w:rsidR="00843045">
              <w:rPr>
                <w:rFonts w:cs="Arial"/>
                <w:vertAlign w:val="superscript"/>
              </w:rPr>
              <w:t>7</w:t>
            </w:r>
          </w:p>
        </w:tc>
      </w:tr>
      <w:tr w:rsidR="002F6056" w:rsidRPr="002E1D08" w14:paraId="0D4D6557" w14:textId="77777777" w:rsidTr="00623AA1">
        <w:trPr>
          <w:trHeight w:val="20"/>
        </w:trPr>
        <w:tc>
          <w:tcPr>
            <w:tcW w:w="4470" w:type="dxa"/>
            <w:noWrap/>
            <w:vAlign w:val="center"/>
          </w:tcPr>
          <w:p w14:paraId="5ABD4DB3" w14:textId="3EBF25AB" w:rsidR="002F6056" w:rsidRPr="00E24C4B" w:rsidRDefault="002F6056" w:rsidP="002F6056">
            <w:pPr>
              <w:spacing w:line="276" w:lineRule="auto"/>
              <w:rPr>
                <w:rFonts w:cs="Arial"/>
                <w:lang w:val="en-GB"/>
              </w:rPr>
            </w:pPr>
            <w:r w:rsidRPr="00E24C4B">
              <w:rPr>
                <w:rFonts w:cs="Arial"/>
                <w:lang w:val="en-GB"/>
              </w:rPr>
              <w:t>Fatigue</w:t>
            </w:r>
          </w:p>
        </w:tc>
        <w:tc>
          <w:tcPr>
            <w:tcW w:w="2755" w:type="dxa"/>
            <w:tcBorders>
              <w:top w:val="nil"/>
              <w:left w:val="single" w:sz="4" w:space="0" w:color="auto"/>
              <w:bottom w:val="single" w:sz="4" w:space="0" w:color="auto"/>
              <w:right w:val="single" w:sz="4" w:space="0" w:color="auto"/>
            </w:tcBorders>
            <w:noWrap/>
            <w:vAlign w:val="center"/>
          </w:tcPr>
          <w:p w14:paraId="2B5AB06F" w14:textId="535BE509" w:rsidR="002F6056" w:rsidRPr="00E24C4B" w:rsidRDefault="002F6056" w:rsidP="002F6056">
            <w:pPr>
              <w:spacing w:line="276" w:lineRule="auto"/>
              <w:jc w:val="center"/>
              <w:rPr>
                <w:rFonts w:eastAsia="Times New Roman" w:cs="Arial"/>
                <w:lang w:val="en-GB" w:eastAsia="it-IT"/>
              </w:rPr>
            </w:pPr>
            <w:r w:rsidRPr="00E24C4B">
              <w:rPr>
                <w:rFonts w:cs="Arial"/>
                <w:lang w:val="en-GB"/>
              </w:rPr>
              <w:t>7.00</w:t>
            </w:r>
          </w:p>
        </w:tc>
        <w:tc>
          <w:tcPr>
            <w:tcW w:w="2409" w:type="dxa"/>
            <w:noWrap/>
            <w:vAlign w:val="center"/>
          </w:tcPr>
          <w:p w14:paraId="1FE000C4" w14:textId="2A6FDD96" w:rsidR="002F6056" w:rsidRPr="00E24C4B" w:rsidRDefault="002F6056" w:rsidP="002F6056">
            <w:pPr>
              <w:spacing w:line="276" w:lineRule="auto"/>
              <w:jc w:val="center"/>
              <w:rPr>
                <w:rFonts w:cs="Arial"/>
                <w:lang w:val="en-GB"/>
              </w:rPr>
            </w:pPr>
            <w:r w:rsidRPr="00E24C4B">
              <w:rPr>
                <w:rFonts w:cs="Arial"/>
                <w:lang w:val="en-GB"/>
              </w:rPr>
              <w:t>Gamma</w:t>
            </w:r>
          </w:p>
        </w:tc>
        <w:tc>
          <w:tcPr>
            <w:tcW w:w="2410" w:type="dxa"/>
            <w:tcBorders>
              <w:top w:val="nil"/>
              <w:left w:val="single" w:sz="4" w:space="0" w:color="auto"/>
              <w:bottom w:val="single" w:sz="4" w:space="0" w:color="auto"/>
              <w:right w:val="single" w:sz="4" w:space="0" w:color="auto"/>
            </w:tcBorders>
            <w:vAlign w:val="center"/>
          </w:tcPr>
          <w:p w14:paraId="6F8A1586" w14:textId="639A6333" w:rsidR="002F6056" w:rsidRPr="00E24C4B" w:rsidRDefault="002F6056" w:rsidP="002F6056">
            <w:pPr>
              <w:spacing w:line="276" w:lineRule="auto"/>
              <w:jc w:val="center"/>
              <w:rPr>
                <w:rFonts w:cs="Arial"/>
                <w:lang w:val="en-GB"/>
              </w:rPr>
            </w:pPr>
            <w:r w:rsidRPr="00E24C4B">
              <w:rPr>
                <w:rFonts w:cs="Arial"/>
                <w:lang w:val="en-GB"/>
              </w:rPr>
              <w:t>5.70 to 8.44</w:t>
            </w:r>
          </w:p>
        </w:tc>
        <w:tc>
          <w:tcPr>
            <w:tcW w:w="2552" w:type="dxa"/>
            <w:noWrap/>
            <w:vAlign w:val="center"/>
          </w:tcPr>
          <w:p w14:paraId="1F68A9F9" w14:textId="45388F1C" w:rsidR="002F6056" w:rsidRPr="00E24C4B" w:rsidRDefault="002F6056" w:rsidP="002F6056">
            <w:pPr>
              <w:spacing w:line="276" w:lineRule="auto"/>
              <w:rPr>
                <w:rFonts w:cs="Arial"/>
                <w:lang w:val="en-GB"/>
              </w:rPr>
            </w:pPr>
            <w:r>
              <w:rPr>
                <w:rFonts w:cs="Arial"/>
                <w:vertAlign w:val="superscript"/>
              </w:rPr>
              <w:t>5</w:t>
            </w:r>
            <w:r w:rsidR="00843045">
              <w:rPr>
                <w:rFonts w:cs="Arial"/>
                <w:vertAlign w:val="superscript"/>
              </w:rPr>
              <w:t>4</w:t>
            </w:r>
          </w:p>
        </w:tc>
      </w:tr>
      <w:tr w:rsidR="002F6056" w:rsidRPr="002E1D08" w14:paraId="0DC721A3" w14:textId="77777777" w:rsidTr="00623AA1">
        <w:trPr>
          <w:trHeight w:val="20"/>
        </w:trPr>
        <w:tc>
          <w:tcPr>
            <w:tcW w:w="4470" w:type="dxa"/>
            <w:noWrap/>
            <w:vAlign w:val="center"/>
          </w:tcPr>
          <w:p w14:paraId="30252CEF" w14:textId="28BF80BE" w:rsidR="002F6056" w:rsidRPr="00E24C4B" w:rsidRDefault="002F6056" w:rsidP="002F6056">
            <w:pPr>
              <w:spacing w:line="276" w:lineRule="auto"/>
              <w:rPr>
                <w:rFonts w:cs="Arial"/>
                <w:lang w:val="en-GB"/>
              </w:rPr>
            </w:pPr>
            <w:r w:rsidRPr="00E24C4B">
              <w:rPr>
                <w:rFonts w:cs="Arial"/>
                <w:lang w:val="en-GB"/>
              </w:rPr>
              <w:t>Febrile neutropenia</w:t>
            </w:r>
          </w:p>
        </w:tc>
        <w:tc>
          <w:tcPr>
            <w:tcW w:w="2755" w:type="dxa"/>
            <w:tcBorders>
              <w:top w:val="nil"/>
              <w:left w:val="single" w:sz="4" w:space="0" w:color="auto"/>
              <w:bottom w:val="single" w:sz="4" w:space="0" w:color="auto"/>
              <w:right w:val="single" w:sz="4" w:space="0" w:color="auto"/>
            </w:tcBorders>
            <w:noWrap/>
            <w:vAlign w:val="center"/>
          </w:tcPr>
          <w:p w14:paraId="1D39980E" w14:textId="076E5C05" w:rsidR="002F6056" w:rsidRPr="00E24C4B" w:rsidRDefault="002F6056" w:rsidP="002F6056">
            <w:pPr>
              <w:spacing w:line="276" w:lineRule="auto"/>
              <w:jc w:val="center"/>
              <w:rPr>
                <w:rFonts w:eastAsia="Times New Roman" w:cs="Arial"/>
                <w:lang w:val="en-GB" w:eastAsia="it-IT"/>
              </w:rPr>
            </w:pPr>
            <w:r w:rsidRPr="00E24C4B">
              <w:rPr>
                <w:rFonts w:cs="Arial"/>
                <w:lang w:val="en-GB"/>
              </w:rPr>
              <w:t>6.20</w:t>
            </w:r>
          </w:p>
        </w:tc>
        <w:tc>
          <w:tcPr>
            <w:tcW w:w="2409" w:type="dxa"/>
            <w:noWrap/>
            <w:vAlign w:val="center"/>
          </w:tcPr>
          <w:p w14:paraId="035741AD" w14:textId="79BCCB06" w:rsidR="002F6056" w:rsidRPr="00E24C4B" w:rsidRDefault="002F6056" w:rsidP="002F6056">
            <w:pPr>
              <w:spacing w:line="276" w:lineRule="auto"/>
              <w:jc w:val="center"/>
              <w:rPr>
                <w:rFonts w:cs="Arial"/>
                <w:lang w:val="en-GB"/>
              </w:rPr>
            </w:pPr>
            <w:r w:rsidRPr="00E24C4B">
              <w:rPr>
                <w:rFonts w:cs="Arial"/>
                <w:lang w:val="en-GB"/>
              </w:rPr>
              <w:t>Gamma</w:t>
            </w:r>
          </w:p>
        </w:tc>
        <w:tc>
          <w:tcPr>
            <w:tcW w:w="2410" w:type="dxa"/>
            <w:tcBorders>
              <w:top w:val="nil"/>
              <w:left w:val="single" w:sz="4" w:space="0" w:color="auto"/>
              <w:bottom w:val="single" w:sz="4" w:space="0" w:color="auto"/>
              <w:right w:val="single" w:sz="4" w:space="0" w:color="auto"/>
            </w:tcBorders>
            <w:vAlign w:val="center"/>
          </w:tcPr>
          <w:p w14:paraId="457F3562" w14:textId="1E08E27C" w:rsidR="002F6056" w:rsidRPr="00E24C4B" w:rsidRDefault="002F6056" w:rsidP="002F6056">
            <w:pPr>
              <w:spacing w:line="276" w:lineRule="auto"/>
              <w:jc w:val="center"/>
              <w:rPr>
                <w:rFonts w:cs="Arial"/>
                <w:lang w:val="en-GB"/>
              </w:rPr>
            </w:pPr>
            <w:r w:rsidRPr="00E24C4B">
              <w:rPr>
                <w:rFonts w:cs="Arial"/>
                <w:lang w:val="en-GB"/>
              </w:rPr>
              <w:t>5.04 to 7.47</w:t>
            </w:r>
          </w:p>
        </w:tc>
        <w:tc>
          <w:tcPr>
            <w:tcW w:w="2552" w:type="dxa"/>
            <w:noWrap/>
            <w:vAlign w:val="center"/>
          </w:tcPr>
          <w:p w14:paraId="3C2FB889" w14:textId="43808D95" w:rsidR="002F6056" w:rsidRPr="00E24C4B" w:rsidRDefault="002F6056" w:rsidP="002F6056">
            <w:pPr>
              <w:spacing w:line="276" w:lineRule="auto"/>
              <w:rPr>
                <w:rFonts w:cs="Arial"/>
                <w:highlight w:val="green"/>
                <w:lang w:val="en-GB"/>
              </w:rPr>
            </w:pPr>
            <w:r>
              <w:rPr>
                <w:rFonts w:cs="Arial"/>
                <w:vertAlign w:val="superscript"/>
              </w:rPr>
              <w:t>4</w:t>
            </w:r>
            <w:r w:rsidR="00843045">
              <w:rPr>
                <w:rFonts w:cs="Arial"/>
                <w:vertAlign w:val="superscript"/>
              </w:rPr>
              <w:t>7</w:t>
            </w:r>
          </w:p>
        </w:tc>
      </w:tr>
      <w:tr w:rsidR="002F6056" w:rsidRPr="002E1D08" w14:paraId="2F740B2F" w14:textId="77777777" w:rsidTr="00623AA1">
        <w:trPr>
          <w:trHeight w:val="20"/>
        </w:trPr>
        <w:tc>
          <w:tcPr>
            <w:tcW w:w="4470" w:type="dxa"/>
            <w:noWrap/>
            <w:vAlign w:val="center"/>
          </w:tcPr>
          <w:p w14:paraId="12D76579" w14:textId="5FE53349" w:rsidR="002F6056" w:rsidRPr="00E24C4B" w:rsidRDefault="002F6056" w:rsidP="002F6056">
            <w:pPr>
              <w:spacing w:line="276" w:lineRule="auto"/>
              <w:rPr>
                <w:rFonts w:cs="Arial"/>
                <w:lang w:val="en-GB"/>
              </w:rPr>
            </w:pPr>
            <w:r w:rsidRPr="00E24C4B">
              <w:rPr>
                <w:rFonts w:cs="Arial"/>
                <w:lang w:val="en-GB"/>
              </w:rPr>
              <w:lastRenderedPageBreak/>
              <w:t>Headache</w:t>
            </w:r>
          </w:p>
        </w:tc>
        <w:tc>
          <w:tcPr>
            <w:tcW w:w="2755" w:type="dxa"/>
            <w:tcBorders>
              <w:top w:val="nil"/>
              <w:left w:val="single" w:sz="4" w:space="0" w:color="auto"/>
              <w:bottom w:val="single" w:sz="4" w:space="0" w:color="auto"/>
              <w:right w:val="single" w:sz="4" w:space="0" w:color="auto"/>
            </w:tcBorders>
            <w:noWrap/>
            <w:vAlign w:val="center"/>
          </w:tcPr>
          <w:p w14:paraId="6C5C7D4A" w14:textId="2FCCE5D0" w:rsidR="002F6056" w:rsidRPr="00E24C4B" w:rsidRDefault="002F6056" w:rsidP="002F6056">
            <w:pPr>
              <w:spacing w:line="276" w:lineRule="auto"/>
              <w:jc w:val="center"/>
              <w:rPr>
                <w:rFonts w:eastAsia="Times New Roman" w:cs="Arial"/>
                <w:lang w:val="en-GB" w:eastAsia="it-IT"/>
              </w:rPr>
            </w:pPr>
            <w:r w:rsidRPr="00E24C4B">
              <w:rPr>
                <w:rFonts w:cs="Arial"/>
                <w:lang w:val="en-GB"/>
              </w:rPr>
              <w:t>2.00</w:t>
            </w:r>
          </w:p>
        </w:tc>
        <w:tc>
          <w:tcPr>
            <w:tcW w:w="2409" w:type="dxa"/>
            <w:noWrap/>
            <w:vAlign w:val="center"/>
          </w:tcPr>
          <w:p w14:paraId="23FC965E" w14:textId="0BCF6BA5" w:rsidR="002F6056" w:rsidRPr="00E24C4B" w:rsidRDefault="002F6056" w:rsidP="002F6056">
            <w:pPr>
              <w:spacing w:line="276" w:lineRule="auto"/>
              <w:jc w:val="center"/>
              <w:rPr>
                <w:rFonts w:cs="Arial"/>
                <w:lang w:val="en-GB"/>
              </w:rPr>
            </w:pPr>
            <w:r w:rsidRPr="00E24C4B">
              <w:rPr>
                <w:rFonts w:cs="Arial"/>
                <w:lang w:val="en-GB"/>
              </w:rPr>
              <w:t>Gamma</w:t>
            </w:r>
          </w:p>
        </w:tc>
        <w:tc>
          <w:tcPr>
            <w:tcW w:w="2410" w:type="dxa"/>
            <w:tcBorders>
              <w:top w:val="nil"/>
              <w:left w:val="single" w:sz="4" w:space="0" w:color="auto"/>
              <w:bottom w:val="single" w:sz="4" w:space="0" w:color="auto"/>
              <w:right w:val="single" w:sz="4" w:space="0" w:color="auto"/>
            </w:tcBorders>
            <w:vAlign w:val="center"/>
          </w:tcPr>
          <w:p w14:paraId="2C215B08" w14:textId="083E27B6" w:rsidR="002F6056" w:rsidRPr="00E24C4B" w:rsidRDefault="002F6056" w:rsidP="002F6056">
            <w:pPr>
              <w:spacing w:line="276" w:lineRule="auto"/>
              <w:jc w:val="center"/>
              <w:rPr>
                <w:rFonts w:cs="Arial"/>
                <w:lang w:val="en-GB"/>
              </w:rPr>
            </w:pPr>
            <w:r w:rsidRPr="00E24C4B">
              <w:rPr>
                <w:rFonts w:cs="Arial"/>
                <w:lang w:val="en-GB"/>
              </w:rPr>
              <w:t>1.63 to 2.41</w:t>
            </w:r>
          </w:p>
        </w:tc>
        <w:tc>
          <w:tcPr>
            <w:tcW w:w="2552" w:type="dxa"/>
            <w:noWrap/>
            <w:vAlign w:val="center"/>
          </w:tcPr>
          <w:p w14:paraId="16AE154E" w14:textId="49A97589" w:rsidR="002F6056" w:rsidRPr="00E24C4B" w:rsidRDefault="002F6056" w:rsidP="002F6056">
            <w:pPr>
              <w:spacing w:line="276" w:lineRule="auto"/>
              <w:rPr>
                <w:rFonts w:cs="Arial"/>
                <w:lang w:val="en-GB"/>
              </w:rPr>
            </w:pPr>
            <w:r>
              <w:rPr>
                <w:rFonts w:cs="Arial"/>
                <w:vertAlign w:val="superscript"/>
              </w:rPr>
              <w:t>4</w:t>
            </w:r>
            <w:r w:rsidR="00843045">
              <w:rPr>
                <w:rFonts w:cs="Arial"/>
                <w:vertAlign w:val="superscript"/>
              </w:rPr>
              <w:t>9</w:t>
            </w:r>
          </w:p>
        </w:tc>
      </w:tr>
      <w:tr w:rsidR="002F6056" w:rsidRPr="002E1D08" w14:paraId="6B316661" w14:textId="77777777" w:rsidTr="00623AA1">
        <w:trPr>
          <w:trHeight w:val="20"/>
        </w:trPr>
        <w:tc>
          <w:tcPr>
            <w:tcW w:w="4470" w:type="dxa"/>
            <w:noWrap/>
            <w:vAlign w:val="center"/>
          </w:tcPr>
          <w:p w14:paraId="0D037D3C" w14:textId="3C15A7C5" w:rsidR="002F6056" w:rsidRPr="00E24C4B" w:rsidRDefault="002F6056" w:rsidP="002F6056">
            <w:pPr>
              <w:spacing w:line="276" w:lineRule="auto"/>
              <w:rPr>
                <w:rFonts w:cs="Arial"/>
                <w:lang w:val="en-GB"/>
              </w:rPr>
            </w:pPr>
            <w:r w:rsidRPr="00E24C4B">
              <w:rPr>
                <w:rFonts w:cs="Arial"/>
                <w:lang w:val="en-GB"/>
              </w:rPr>
              <w:t>Hyperglycaemia</w:t>
            </w:r>
          </w:p>
        </w:tc>
        <w:tc>
          <w:tcPr>
            <w:tcW w:w="2755" w:type="dxa"/>
            <w:tcBorders>
              <w:top w:val="nil"/>
              <w:left w:val="single" w:sz="4" w:space="0" w:color="auto"/>
              <w:bottom w:val="single" w:sz="4" w:space="0" w:color="auto"/>
              <w:right w:val="single" w:sz="4" w:space="0" w:color="auto"/>
            </w:tcBorders>
            <w:noWrap/>
            <w:vAlign w:val="center"/>
          </w:tcPr>
          <w:p w14:paraId="59E82A3B" w14:textId="629926AA" w:rsidR="002F6056" w:rsidRPr="00E24C4B" w:rsidRDefault="002F6056" w:rsidP="002F6056">
            <w:pPr>
              <w:spacing w:line="276" w:lineRule="auto"/>
              <w:jc w:val="center"/>
              <w:rPr>
                <w:rFonts w:eastAsia="Times New Roman" w:cs="Arial"/>
                <w:lang w:val="en-GB" w:eastAsia="it-IT"/>
              </w:rPr>
            </w:pPr>
            <w:r w:rsidRPr="00E24C4B">
              <w:rPr>
                <w:rFonts w:cs="Arial"/>
                <w:lang w:val="en-GB"/>
              </w:rPr>
              <w:t>7.50</w:t>
            </w:r>
          </w:p>
        </w:tc>
        <w:tc>
          <w:tcPr>
            <w:tcW w:w="2409" w:type="dxa"/>
            <w:noWrap/>
            <w:vAlign w:val="center"/>
          </w:tcPr>
          <w:p w14:paraId="0146F68D" w14:textId="02FD8AF4" w:rsidR="002F6056" w:rsidRPr="00E24C4B" w:rsidRDefault="002F6056" w:rsidP="002F6056">
            <w:pPr>
              <w:spacing w:line="276" w:lineRule="auto"/>
              <w:jc w:val="center"/>
              <w:rPr>
                <w:rFonts w:cs="Arial"/>
                <w:lang w:val="en-GB"/>
              </w:rPr>
            </w:pPr>
            <w:r w:rsidRPr="00E24C4B">
              <w:rPr>
                <w:rFonts w:cs="Arial"/>
                <w:lang w:val="en-GB"/>
              </w:rPr>
              <w:t>Gamma</w:t>
            </w:r>
          </w:p>
        </w:tc>
        <w:tc>
          <w:tcPr>
            <w:tcW w:w="2410" w:type="dxa"/>
            <w:tcBorders>
              <w:top w:val="nil"/>
              <w:left w:val="single" w:sz="4" w:space="0" w:color="auto"/>
              <w:bottom w:val="single" w:sz="4" w:space="0" w:color="auto"/>
              <w:right w:val="single" w:sz="4" w:space="0" w:color="auto"/>
            </w:tcBorders>
            <w:vAlign w:val="center"/>
          </w:tcPr>
          <w:p w14:paraId="1A6D2A29" w14:textId="78A0AB4D" w:rsidR="002F6056" w:rsidRPr="00E24C4B" w:rsidRDefault="002F6056" w:rsidP="002F6056">
            <w:pPr>
              <w:spacing w:line="276" w:lineRule="auto"/>
              <w:jc w:val="center"/>
              <w:rPr>
                <w:rFonts w:cs="Arial"/>
                <w:lang w:val="en-GB"/>
              </w:rPr>
            </w:pPr>
            <w:r w:rsidRPr="00E24C4B">
              <w:rPr>
                <w:rFonts w:cs="Arial"/>
                <w:lang w:val="en-GB"/>
              </w:rPr>
              <w:t>6.10 to 9.04</w:t>
            </w:r>
          </w:p>
        </w:tc>
        <w:tc>
          <w:tcPr>
            <w:tcW w:w="2552" w:type="dxa"/>
            <w:noWrap/>
            <w:vAlign w:val="center"/>
          </w:tcPr>
          <w:p w14:paraId="68F71D71" w14:textId="25BC7BFE" w:rsidR="002F6056" w:rsidRPr="00E24C4B" w:rsidRDefault="002F6056" w:rsidP="002F6056">
            <w:pPr>
              <w:spacing w:line="276" w:lineRule="auto"/>
              <w:rPr>
                <w:rFonts w:cs="Arial"/>
                <w:highlight w:val="green"/>
                <w:lang w:val="en-GB"/>
              </w:rPr>
            </w:pPr>
            <w:r>
              <w:rPr>
                <w:rFonts w:cs="Arial"/>
                <w:vertAlign w:val="superscript"/>
              </w:rPr>
              <w:t>4</w:t>
            </w:r>
            <w:r w:rsidR="00843045">
              <w:rPr>
                <w:rFonts w:cs="Arial"/>
                <w:vertAlign w:val="superscript"/>
              </w:rPr>
              <w:t>9</w:t>
            </w:r>
          </w:p>
        </w:tc>
      </w:tr>
      <w:tr w:rsidR="002F6056" w:rsidRPr="002E1D08" w14:paraId="0E0691DC" w14:textId="77777777" w:rsidTr="00623AA1">
        <w:trPr>
          <w:trHeight w:val="20"/>
        </w:trPr>
        <w:tc>
          <w:tcPr>
            <w:tcW w:w="4470" w:type="dxa"/>
            <w:noWrap/>
            <w:vAlign w:val="center"/>
          </w:tcPr>
          <w:p w14:paraId="25464C6D" w14:textId="0F44D80A" w:rsidR="002F6056" w:rsidRPr="00E24C4B" w:rsidRDefault="002F6056" w:rsidP="002F6056">
            <w:pPr>
              <w:spacing w:line="276" w:lineRule="auto"/>
              <w:rPr>
                <w:rFonts w:cs="Arial"/>
                <w:lang w:val="en-GB"/>
              </w:rPr>
            </w:pPr>
            <w:r w:rsidRPr="00E24C4B">
              <w:rPr>
                <w:rFonts w:cs="Arial"/>
                <w:lang w:val="en-GB"/>
              </w:rPr>
              <w:t>Hypertension</w:t>
            </w:r>
          </w:p>
        </w:tc>
        <w:tc>
          <w:tcPr>
            <w:tcW w:w="2755" w:type="dxa"/>
            <w:tcBorders>
              <w:top w:val="nil"/>
              <w:left w:val="single" w:sz="4" w:space="0" w:color="auto"/>
              <w:bottom w:val="single" w:sz="4" w:space="0" w:color="auto"/>
              <w:right w:val="single" w:sz="4" w:space="0" w:color="auto"/>
            </w:tcBorders>
            <w:noWrap/>
            <w:vAlign w:val="center"/>
          </w:tcPr>
          <w:p w14:paraId="14EEC1B3" w14:textId="286D3A40" w:rsidR="002F6056" w:rsidRPr="00E24C4B" w:rsidRDefault="002F6056" w:rsidP="002F6056">
            <w:pPr>
              <w:spacing w:line="276" w:lineRule="auto"/>
              <w:jc w:val="center"/>
              <w:rPr>
                <w:rFonts w:eastAsia="Times New Roman" w:cs="Arial"/>
                <w:lang w:val="en-GB" w:eastAsia="it-IT"/>
              </w:rPr>
            </w:pPr>
            <w:r w:rsidRPr="00E24C4B">
              <w:rPr>
                <w:rFonts w:cs="Arial"/>
                <w:lang w:val="en-GB"/>
              </w:rPr>
              <w:t>4.00</w:t>
            </w:r>
          </w:p>
        </w:tc>
        <w:tc>
          <w:tcPr>
            <w:tcW w:w="2409" w:type="dxa"/>
            <w:noWrap/>
            <w:vAlign w:val="center"/>
          </w:tcPr>
          <w:p w14:paraId="0A523207" w14:textId="064520D6" w:rsidR="002F6056" w:rsidRPr="00E24C4B" w:rsidRDefault="002F6056" w:rsidP="002F6056">
            <w:pPr>
              <w:spacing w:line="276" w:lineRule="auto"/>
              <w:jc w:val="center"/>
              <w:rPr>
                <w:rFonts w:cs="Arial"/>
                <w:lang w:val="en-GB"/>
              </w:rPr>
            </w:pPr>
            <w:r w:rsidRPr="00E24C4B">
              <w:rPr>
                <w:rFonts w:cs="Arial"/>
                <w:lang w:val="en-GB"/>
              </w:rPr>
              <w:t>Gamma</w:t>
            </w:r>
          </w:p>
        </w:tc>
        <w:tc>
          <w:tcPr>
            <w:tcW w:w="2410" w:type="dxa"/>
            <w:tcBorders>
              <w:top w:val="nil"/>
              <w:left w:val="single" w:sz="4" w:space="0" w:color="auto"/>
              <w:bottom w:val="single" w:sz="4" w:space="0" w:color="auto"/>
              <w:right w:val="single" w:sz="4" w:space="0" w:color="auto"/>
            </w:tcBorders>
            <w:vAlign w:val="center"/>
          </w:tcPr>
          <w:p w14:paraId="0E55FA6E" w14:textId="0E9876CE" w:rsidR="002F6056" w:rsidRPr="00E24C4B" w:rsidRDefault="002F6056" w:rsidP="002F6056">
            <w:pPr>
              <w:spacing w:line="276" w:lineRule="auto"/>
              <w:jc w:val="center"/>
              <w:rPr>
                <w:rFonts w:cs="Arial"/>
                <w:lang w:val="en-GB"/>
              </w:rPr>
            </w:pPr>
            <w:r w:rsidRPr="00E24C4B">
              <w:rPr>
                <w:rFonts w:cs="Arial"/>
                <w:lang w:val="en-GB"/>
              </w:rPr>
              <w:t>3.25 to 4.82</w:t>
            </w:r>
          </w:p>
        </w:tc>
        <w:tc>
          <w:tcPr>
            <w:tcW w:w="2552" w:type="dxa"/>
            <w:noWrap/>
            <w:vAlign w:val="center"/>
          </w:tcPr>
          <w:p w14:paraId="1375172B" w14:textId="18CBE421" w:rsidR="002F6056" w:rsidRPr="00E24C4B" w:rsidRDefault="002F6056" w:rsidP="002F6056">
            <w:pPr>
              <w:spacing w:line="276" w:lineRule="auto"/>
              <w:rPr>
                <w:rFonts w:cs="Arial"/>
                <w:highlight w:val="green"/>
                <w:lang w:val="en-GB"/>
              </w:rPr>
            </w:pPr>
            <w:r>
              <w:rPr>
                <w:rFonts w:cs="Arial"/>
                <w:vertAlign w:val="superscript"/>
              </w:rPr>
              <w:t>18</w:t>
            </w:r>
          </w:p>
        </w:tc>
      </w:tr>
      <w:tr w:rsidR="00811425" w:rsidRPr="002E1D08" w14:paraId="66816E7F" w14:textId="77777777" w:rsidTr="00623AA1">
        <w:trPr>
          <w:trHeight w:val="20"/>
        </w:trPr>
        <w:tc>
          <w:tcPr>
            <w:tcW w:w="4470" w:type="dxa"/>
            <w:noWrap/>
            <w:vAlign w:val="center"/>
          </w:tcPr>
          <w:p w14:paraId="034A46F4" w14:textId="4F95869A" w:rsidR="00682115" w:rsidRPr="00E24C4B" w:rsidRDefault="00682115" w:rsidP="001007F0">
            <w:pPr>
              <w:spacing w:line="276" w:lineRule="auto"/>
              <w:rPr>
                <w:rFonts w:cs="Arial"/>
                <w:lang w:val="en-GB"/>
              </w:rPr>
            </w:pPr>
            <w:r w:rsidRPr="00E24C4B">
              <w:rPr>
                <w:rFonts w:cs="Arial"/>
                <w:lang w:val="en-GB"/>
              </w:rPr>
              <w:t>Hypertriglyceridaemia</w:t>
            </w:r>
          </w:p>
        </w:tc>
        <w:tc>
          <w:tcPr>
            <w:tcW w:w="2755" w:type="dxa"/>
            <w:tcBorders>
              <w:top w:val="nil"/>
              <w:left w:val="single" w:sz="4" w:space="0" w:color="auto"/>
              <w:bottom w:val="single" w:sz="4" w:space="0" w:color="auto"/>
              <w:right w:val="single" w:sz="4" w:space="0" w:color="auto"/>
            </w:tcBorders>
            <w:noWrap/>
            <w:vAlign w:val="center"/>
          </w:tcPr>
          <w:p w14:paraId="5390A753" w14:textId="016071B6" w:rsidR="00682115" w:rsidRPr="00E24C4B" w:rsidRDefault="00682115" w:rsidP="001007F0">
            <w:pPr>
              <w:spacing w:line="276" w:lineRule="auto"/>
              <w:jc w:val="center"/>
              <w:rPr>
                <w:rFonts w:eastAsia="Times New Roman" w:cs="Arial"/>
                <w:lang w:val="en-GB" w:eastAsia="it-IT"/>
              </w:rPr>
            </w:pPr>
            <w:r w:rsidRPr="00E24C4B">
              <w:rPr>
                <w:rFonts w:cs="Arial"/>
                <w:lang w:val="en-GB"/>
              </w:rPr>
              <w:t>0.00</w:t>
            </w:r>
          </w:p>
        </w:tc>
        <w:tc>
          <w:tcPr>
            <w:tcW w:w="2409" w:type="dxa"/>
            <w:noWrap/>
            <w:vAlign w:val="center"/>
          </w:tcPr>
          <w:p w14:paraId="38B7132D" w14:textId="56B6C8D4" w:rsidR="00682115" w:rsidRPr="00E24C4B" w:rsidRDefault="00682115" w:rsidP="001007F0">
            <w:pPr>
              <w:spacing w:line="276" w:lineRule="auto"/>
              <w:jc w:val="center"/>
              <w:rPr>
                <w:rFonts w:cs="Arial"/>
                <w:lang w:val="en-GB"/>
              </w:rPr>
            </w:pPr>
            <w:r w:rsidRPr="00E24C4B">
              <w:rPr>
                <w:rFonts w:cs="Arial"/>
                <w:lang w:val="en-GB"/>
              </w:rPr>
              <w:t>Constant</w:t>
            </w:r>
          </w:p>
        </w:tc>
        <w:tc>
          <w:tcPr>
            <w:tcW w:w="2410" w:type="dxa"/>
            <w:tcBorders>
              <w:top w:val="nil"/>
              <w:left w:val="single" w:sz="4" w:space="0" w:color="auto"/>
              <w:bottom w:val="single" w:sz="4" w:space="0" w:color="auto"/>
              <w:right w:val="single" w:sz="4" w:space="0" w:color="auto"/>
            </w:tcBorders>
            <w:vAlign w:val="center"/>
          </w:tcPr>
          <w:p w14:paraId="62678148" w14:textId="593B8EA5" w:rsidR="00682115" w:rsidRPr="00E24C4B" w:rsidRDefault="00682115" w:rsidP="001007F0">
            <w:pPr>
              <w:spacing w:line="276" w:lineRule="auto"/>
              <w:jc w:val="center"/>
              <w:rPr>
                <w:rFonts w:cs="Arial"/>
                <w:lang w:val="en-GB"/>
              </w:rPr>
            </w:pPr>
            <w:r w:rsidRPr="00E24C4B">
              <w:rPr>
                <w:rFonts w:eastAsia="Times New Roman" w:cs="Arial"/>
                <w:lang w:val="en-GB" w:eastAsia="it-IT"/>
              </w:rPr>
              <w:t>-</w:t>
            </w:r>
          </w:p>
        </w:tc>
        <w:tc>
          <w:tcPr>
            <w:tcW w:w="2552" w:type="dxa"/>
            <w:noWrap/>
            <w:vAlign w:val="center"/>
          </w:tcPr>
          <w:p w14:paraId="37D7A27D" w14:textId="4913BC80" w:rsidR="00682115" w:rsidRPr="00E24C4B" w:rsidRDefault="00682115" w:rsidP="001007F0">
            <w:pPr>
              <w:spacing w:line="276" w:lineRule="auto"/>
              <w:rPr>
                <w:rFonts w:cs="Arial"/>
                <w:highlight w:val="green"/>
                <w:lang w:val="en-GB"/>
              </w:rPr>
            </w:pPr>
            <w:r w:rsidRPr="00E24C4B">
              <w:rPr>
                <w:rFonts w:cs="Arial"/>
                <w:lang w:val="en-GB"/>
              </w:rPr>
              <w:t>Assumption</w:t>
            </w:r>
          </w:p>
        </w:tc>
      </w:tr>
      <w:tr w:rsidR="002F6056" w:rsidRPr="002E1D08" w14:paraId="03B43CF1" w14:textId="77777777" w:rsidTr="00623AA1">
        <w:trPr>
          <w:trHeight w:val="20"/>
        </w:trPr>
        <w:tc>
          <w:tcPr>
            <w:tcW w:w="4470" w:type="dxa"/>
            <w:noWrap/>
            <w:vAlign w:val="center"/>
          </w:tcPr>
          <w:p w14:paraId="1BBE19FB" w14:textId="55EF411E" w:rsidR="002F6056" w:rsidRPr="00E24C4B" w:rsidRDefault="002F6056" w:rsidP="002F6056">
            <w:pPr>
              <w:spacing w:line="276" w:lineRule="auto"/>
              <w:rPr>
                <w:rFonts w:cs="Arial"/>
                <w:lang w:val="en-GB"/>
              </w:rPr>
            </w:pPr>
            <w:r w:rsidRPr="00E24C4B">
              <w:rPr>
                <w:rFonts w:cs="Arial"/>
                <w:lang w:val="en-GB"/>
              </w:rPr>
              <w:t>Hypotension</w:t>
            </w:r>
          </w:p>
        </w:tc>
        <w:tc>
          <w:tcPr>
            <w:tcW w:w="2755" w:type="dxa"/>
            <w:tcBorders>
              <w:top w:val="nil"/>
              <w:left w:val="single" w:sz="4" w:space="0" w:color="auto"/>
              <w:bottom w:val="single" w:sz="4" w:space="0" w:color="auto"/>
              <w:right w:val="single" w:sz="4" w:space="0" w:color="auto"/>
            </w:tcBorders>
            <w:noWrap/>
            <w:vAlign w:val="center"/>
          </w:tcPr>
          <w:p w14:paraId="66F767AE" w14:textId="6BF6F907" w:rsidR="002F6056" w:rsidRPr="00E24C4B" w:rsidRDefault="002F6056" w:rsidP="002F6056">
            <w:pPr>
              <w:spacing w:line="276" w:lineRule="auto"/>
              <w:jc w:val="center"/>
              <w:rPr>
                <w:rFonts w:eastAsia="Times New Roman" w:cs="Arial"/>
                <w:lang w:val="en-GB" w:eastAsia="it-IT"/>
              </w:rPr>
            </w:pPr>
            <w:r w:rsidRPr="00E24C4B">
              <w:rPr>
                <w:rFonts w:cs="Arial"/>
                <w:lang w:val="en-GB"/>
              </w:rPr>
              <w:t>2.30</w:t>
            </w:r>
          </w:p>
        </w:tc>
        <w:tc>
          <w:tcPr>
            <w:tcW w:w="2409" w:type="dxa"/>
            <w:noWrap/>
            <w:vAlign w:val="center"/>
          </w:tcPr>
          <w:p w14:paraId="1BA54E9E" w14:textId="2076AD26" w:rsidR="002F6056" w:rsidRPr="00E24C4B" w:rsidRDefault="002F6056" w:rsidP="002F6056">
            <w:pPr>
              <w:spacing w:line="276" w:lineRule="auto"/>
              <w:jc w:val="center"/>
              <w:rPr>
                <w:rFonts w:cs="Arial"/>
                <w:lang w:val="en-GB"/>
              </w:rPr>
            </w:pPr>
            <w:r w:rsidRPr="00E24C4B">
              <w:rPr>
                <w:rFonts w:cs="Arial"/>
                <w:lang w:val="en-GB"/>
              </w:rPr>
              <w:t>Gamma</w:t>
            </w:r>
          </w:p>
        </w:tc>
        <w:tc>
          <w:tcPr>
            <w:tcW w:w="2410" w:type="dxa"/>
            <w:tcBorders>
              <w:top w:val="nil"/>
              <w:left w:val="single" w:sz="4" w:space="0" w:color="auto"/>
              <w:bottom w:val="single" w:sz="4" w:space="0" w:color="auto"/>
              <w:right w:val="single" w:sz="4" w:space="0" w:color="auto"/>
            </w:tcBorders>
            <w:vAlign w:val="center"/>
          </w:tcPr>
          <w:p w14:paraId="2FC5B560" w14:textId="495D997C" w:rsidR="002F6056" w:rsidRPr="00E24C4B" w:rsidRDefault="002F6056" w:rsidP="002F6056">
            <w:pPr>
              <w:spacing w:line="276" w:lineRule="auto"/>
              <w:jc w:val="center"/>
              <w:rPr>
                <w:rFonts w:cs="Arial"/>
                <w:lang w:val="en-GB"/>
              </w:rPr>
            </w:pPr>
            <w:r w:rsidRPr="00E24C4B">
              <w:rPr>
                <w:rFonts w:cs="Arial"/>
                <w:lang w:val="en-GB"/>
              </w:rPr>
              <w:t>1.87 to 2.77</w:t>
            </w:r>
          </w:p>
        </w:tc>
        <w:tc>
          <w:tcPr>
            <w:tcW w:w="2552" w:type="dxa"/>
            <w:noWrap/>
            <w:vAlign w:val="center"/>
          </w:tcPr>
          <w:p w14:paraId="4ECC03A2" w14:textId="6440AFBF" w:rsidR="002F6056" w:rsidRPr="00E24C4B" w:rsidRDefault="00843045" w:rsidP="002F6056">
            <w:pPr>
              <w:spacing w:line="276" w:lineRule="auto"/>
              <w:rPr>
                <w:rFonts w:cs="Arial"/>
                <w:highlight w:val="green"/>
                <w:lang w:val="en-GB"/>
              </w:rPr>
            </w:pPr>
            <w:r>
              <w:rPr>
                <w:rFonts w:cs="Arial"/>
                <w:vertAlign w:val="superscript"/>
              </w:rPr>
              <w:t>50</w:t>
            </w:r>
          </w:p>
        </w:tc>
      </w:tr>
      <w:tr w:rsidR="002F6056" w:rsidRPr="002E1D08" w14:paraId="7257C547" w14:textId="77777777" w:rsidTr="00623AA1">
        <w:trPr>
          <w:trHeight w:val="20"/>
        </w:trPr>
        <w:tc>
          <w:tcPr>
            <w:tcW w:w="4470" w:type="dxa"/>
            <w:noWrap/>
            <w:vAlign w:val="center"/>
          </w:tcPr>
          <w:p w14:paraId="2F51DA1D" w14:textId="2A0A4B01" w:rsidR="002F6056" w:rsidRPr="00E24C4B" w:rsidRDefault="002F6056" w:rsidP="002F6056">
            <w:pPr>
              <w:spacing w:line="276" w:lineRule="auto"/>
              <w:rPr>
                <w:rFonts w:cs="Arial"/>
                <w:lang w:val="en-GB"/>
              </w:rPr>
            </w:pPr>
            <w:r w:rsidRPr="00E24C4B">
              <w:rPr>
                <w:rFonts w:cs="Arial"/>
                <w:lang w:val="en-GB"/>
              </w:rPr>
              <w:t>Lymphocyte count decreased</w:t>
            </w:r>
          </w:p>
        </w:tc>
        <w:tc>
          <w:tcPr>
            <w:tcW w:w="2755" w:type="dxa"/>
            <w:tcBorders>
              <w:top w:val="nil"/>
              <w:left w:val="single" w:sz="4" w:space="0" w:color="auto"/>
              <w:bottom w:val="single" w:sz="4" w:space="0" w:color="auto"/>
              <w:right w:val="single" w:sz="4" w:space="0" w:color="auto"/>
            </w:tcBorders>
            <w:noWrap/>
            <w:vAlign w:val="center"/>
          </w:tcPr>
          <w:p w14:paraId="7229566F" w14:textId="7CBC7E4C" w:rsidR="002F6056" w:rsidRPr="00E24C4B" w:rsidRDefault="002F6056" w:rsidP="002F6056">
            <w:pPr>
              <w:spacing w:line="276" w:lineRule="auto"/>
              <w:jc w:val="center"/>
              <w:rPr>
                <w:rFonts w:eastAsia="Times New Roman" w:cs="Arial"/>
                <w:lang w:val="en-GB" w:eastAsia="it-IT"/>
              </w:rPr>
            </w:pPr>
            <w:r w:rsidRPr="00E24C4B">
              <w:rPr>
                <w:rFonts w:cs="Arial"/>
                <w:lang w:val="en-GB"/>
              </w:rPr>
              <w:t>19.00</w:t>
            </w:r>
          </w:p>
        </w:tc>
        <w:tc>
          <w:tcPr>
            <w:tcW w:w="2409" w:type="dxa"/>
            <w:noWrap/>
            <w:vAlign w:val="center"/>
          </w:tcPr>
          <w:p w14:paraId="2BE64C96" w14:textId="68A6F495" w:rsidR="002F6056" w:rsidRPr="00E24C4B" w:rsidRDefault="002F6056" w:rsidP="002F6056">
            <w:pPr>
              <w:spacing w:line="276" w:lineRule="auto"/>
              <w:jc w:val="center"/>
              <w:rPr>
                <w:rFonts w:cs="Arial"/>
                <w:lang w:val="en-GB"/>
              </w:rPr>
            </w:pPr>
            <w:r w:rsidRPr="00E24C4B">
              <w:rPr>
                <w:rFonts w:cs="Arial"/>
                <w:lang w:val="en-GB"/>
              </w:rPr>
              <w:t>Gamma</w:t>
            </w:r>
          </w:p>
        </w:tc>
        <w:tc>
          <w:tcPr>
            <w:tcW w:w="2410" w:type="dxa"/>
            <w:tcBorders>
              <w:top w:val="nil"/>
              <w:left w:val="single" w:sz="4" w:space="0" w:color="auto"/>
              <w:bottom w:val="single" w:sz="4" w:space="0" w:color="auto"/>
              <w:right w:val="single" w:sz="4" w:space="0" w:color="auto"/>
            </w:tcBorders>
            <w:vAlign w:val="center"/>
          </w:tcPr>
          <w:p w14:paraId="3D14EBC3" w14:textId="69F68967" w:rsidR="002F6056" w:rsidRPr="00E24C4B" w:rsidRDefault="002F6056" w:rsidP="002F6056">
            <w:pPr>
              <w:spacing w:line="276" w:lineRule="auto"/>
              <w:jc w:val="center"/>
              <w:rPr>
                <w:rFonts w:cs="Arial"/>
                <w:lang w:val="en-GB"/>
              </w:rPr>
            </w:pPr>
            <w:r w:rsidRPr="00E24C4B">
              <w:rPr>
                <w:rFonts w:cs="Arial"/>
                <w:lang w:val="en-GB"/>
              </w:rPr>
              <w:t>15.46 to 22.90</w:t>
            </w:r>
          </w:p>
        </w:tc>
        <w:tc>
          <w:tcPr>
            <w:tcW w:w="2552" w:type="dxa"/>
            <w:noWrap/>
            <w:vAlign w:val="center"/>
          </w:tcPr>
          <w:p w14:paraId="66A56670" w14:textId="77BFF552" w:rsidR="002F6056" w:rsidRPr="00E24C4B" w:rsidRDefault="00843045" w:rsidP="002F6056">
            <w:pPr>
              <w:spacing w:line="276" w:lineRule="auto"/>
              <w:rPr>
                <w:rFonts w:cs="Arial"/>
                <w:highlight w:val="green"/>
                <w:lang w:val="en-GB"/>
              </w:rPr>
            </w:pPr>
            <w:r>
              <w:rPr>
                <w:rFonts w:cs="Arial"/>
                <w:vertAlign w:val="superscript"/>
              </w:rPr>
              <w:t>50</w:t>
            </w:r>
          </w:p>
        </w:tc>
      </w:tr>
      <w:tr w:rsidR="00811425" w:rsidRPr="002E1D08" w14:paraId="05BBA6C8" w14:textId="77777777" w:rsidTr="00623AA1">
        <w:trPr>
          <w:trHeight w:val="20"/>
        </w:trPr>
        <w:tc>
          <w:tcPr>
            <w:tcW w:w="4470" w:type="dxa"/>
            <w:noWrap/>
            <w:vAlign w:val="center"/>
          </w:tcPr>
          <w:p w14:paraId="18881F37" w14:textId="4888E6DD" w:rsidR="00682115" w:rsidRPr="00E24C4B" w:rsidRDefault="00682115" w:rsidP="001007F0">
            <w:pPr>
              <w:spacing w:line="276" w:lineRule="auto"/>
              <w:rPr>
                <w:rFonts w:cs="Arial"/>
                <w:lang w:val="en-GB"/>
              </w:rPr>
            </w:pPr>
            <w:r w:rsidRPr="00E24C4B">
              <w:rPr>
                <w:rFonts w:cs="Arial"/>
                <w:lang w:val="en-GB"/>
              </w:rPr>
              <w:t>Nausea</w:t>
            </w:r>
          </w:p>
        </w:tc>
        <w:tc>
          <w:tcPr>
            <w:tcW w:w="2755" w:type="dxa"/>
            <w:tcBorders>
              <w:top w:val="nil"/>
              <w:left w:val="single" w:sz="4" w:space="0" w:color="auto"/>
              <w:bottom w:val="single" w:sz="4" w:space="0" w:color="auto"/>
              <w:right w:val="single" w:sz="4" w:space="0" w:color="auto"/>
            </w:tcBorders>
            <w:noWrap/>
            <w:vAlign w:val="center"/>
          </w:tcPr>
          <w:p w14:paraId="39223668" w14:textId="66461F9F" w:rsidR="00682115" w:rsidRPr="00E24C4B" w:rsidRDefault="00682115" w:rsidP="001007F0">
            <w:pPr>
              <w:spacing w:line="276" w:lineRule="auto"/>
              <w:jc w:val="center"/>
              <w:rPr>
                <w:rFonts w:eastAsia="Times New Roman" w:cs="Arial"/>
                <w:lang w:val="en-GB" w:eastAsia="it-IT"/>
              </w:rPr>
            </w:pPr>
            <w:r w:rsidRPr="00E24C4B">
              <w:rPr>
                <w:rFonts w:cs="Arial"/>
                <w:lang w:val="en-GB"/>
              </w:rPr>
              <w:t>7.00</w:t>
            </w:r>
          </w:p>
        </w:tc>
        <w:tc>
          <w:tcPr>
            <w:tcW w:w="2409" w:type="dxa"/>
            <w:noWrap/>
            <w:vAlign w:val="center"/>
          </w:tcPr>
          <w:p w14:paraId="11DBDEE6" w14:textId="6C07B4FE" w:rsidR="00682115" w:rsidRPr="00E24C4B" w:rsidRDefault="00682115" w:rsidP="001007F0">
            <w:pPr>
              <w:spacing w:line="276" w:lineRule="auto"/>
              <w:jc w:val="center"/>
              <w:rPr>
                <w:rFonts w:cs="Arial"/>
                <w:lang w:val="en-GB"/>
              </w:rPr>
            </w:pPr>
            <w:r w:rsidRPr="00E24C4B">
              <w:rPr>
                <w:rFonts w:cs="Arial"/>
                <w:lang w:val="en-GB"/>
              </w:rPr>
              <w:t>Gamma</w:t>
            </w:r>
          </w:p>
        </w:tc>
        <w:tc>
          <w:tcPr>
            <w:tcW w:w="2410" w:type="dxa"/>
            <w:tcBorders>
              <w:top w:val="nil"/>
              <w:left w:val="single" w:sz="4" w:space="0" w:color="auto"/>
              <w:bottom w:val="single" w:sz="4" w:space="0" w:color="auto"/>
              <w:right w:val="single" w:sz="4" w:space="0" w:color="auto"/>
            </w:tcBorders>
            <w:vAlign w:val="center"/>
          </w:tcPr>
          <w:p w14:paraId="3B02CF3C" w14:textId="7EE4443F" w:rsidR="00682115" w:rsidRPr="00E24C4B" w:rsidRDefault="00682115" w:rsidP="001007F0">
            <w:pPr>
              <w:spacing w:line="276" w:lineRule="auto"/>
              <w:jc w:val="center"/>
              <w:rPr>
                <w:rFonts w:cs="Arial"/>
                <w:lang w:val="en-GB"/>
              </w:rPr>
            </w:pPr>
            <w:r w:rsidRPr="00E24C4B">
              <w:rPr>
                <w:rFonts w:cs="Arial"/>
                <w:lang w:val="en-GB"/>
              </w:rPr>
              <w:t>5.70 to 8.44</w:t>
            </w:r>
          </w:p>
        </w:tc>
        <w:tc>
          <w:tcPr>
            <w:tcW w:w="2552" w:type="dxa"/>
            <w:noWrap/>
            <w:vAlign w:val="center"/>
          </w:tcPr>
          <w:p w14:paraId="75D4F4AE" w14:textId="5B7C11EB" w:rsidR="00682115" w:rsidRPr="00E24C4B" w:rsidRDefault="00682115" w:rsidP="001007F0">
            <w:pPr>
              <w:spacing w:line="276" w:lineRule="auto"/>
              <w:rPr>
                <w:rFonts w:cs="Arial"/>
                <w:highlight w:val="green"/>
                <w:lang w:val="en-GB"/>
              </w:rPr>
            </w:pPr>
            <w:r w:rsidRPr="00E24C4B">
              <w:rPr>
                <w:rFonts w:cs="Arial"/>
                <w:lang w:val="en-GB"/>
              </w:rPr>
              <w:t>Assumed same as diarrhoea</w:t>
            </w:r>
          </w:p>
        </w:tc>
      </w:tr>
      <w:tr w:rsidR="002F6056" w:rsidRPr="002E1D08" w14:paraId="717888AB" w14:textId="77777777" w:rsidTr="00623AA1">
        <w:trPr>
          <w:trHeight w:val="20"/>
        </w:trPr>
        <w:tc>
          <w:tcPr>
            <w:tcW w:w="4470" w:type="dxa"/>
            <w:noWrap/>
            <w:vAlign w:val="center"/>
          </w:tcPr>
          <w:p w14:paraId="0035331C" w14:textId="763C55F6" w:rsidR="002F6056" w:rsidRPr="00E24C4B" w:rsidRDefault="002F6056" w:rsidP="002F6056">
            <w:pPr>
              <w:spacing w:line="276" w:lineRule="auto"/>
              <w:rPr>
                <w:rFonts w:cs="Arial"/>
                <w:lang w:val="en-GB"/>
              </w:rPr>
            </w:pPr>
            <w:r w:rsidRPr="00E24C4B">
              <w:rPr>
                <w:rFonts w:cs="Arial"/>
                <w:lang w:val="en-GB"/>
              </w:rPr>
              <w:t>Neutrophil count decreased</w:t>
            </w:r>
          </w:p>
        </w:tc>
        <w:tc>
          <w:tcPr>
            <w:tcW w:w="2755" w:type="dxa"/>
            <w:tcBorders>
              <w:top w:val="nil"/>
              <w:left w:val="single" w:sz="4" w:space="0" w:color="auto"/>
              <w:bottom w:val="single" w:sz="4" w:space="0" w:color="auto"/>
              <w:right w:val="single" w:sz="4" w:space="0" w:color="auto"/>
            </w:tcBorders>
            <w:noWrap/>
            <w:vAlign w:val="center"/>
          </w:tcPr>
          <w:p w14:paraId="13F66F59" w14:textId="2B37F3E6" w:rsidR="002F6056" w:rsidRPr="00E24C4B" w:rsidRDefault="002F6056" w:rsidP="002F6056">
            <w:pPr>
              <w:spacing w:line="276" w:lineRule="auto"/>
              <w:jc w:val="center"/>
              <w:rPr>
                <w:rFonts w:eastAsia="Times New Roman" w:cs="Arial"/>
                <w:lang w:val="en-GB" w:eastAsia="it-IT"/>
              </w:rPr>
            </w:pPr>
            <w:r w:rsidRPr="00E24C4B">
              <w:rPr>
                <w:rFonts w:cs="Arial"/>
                <w:lang w:val="en-GB"/>
              </w:rPr>
              <w:t>9.80</w:t>
            </w:r>
          </w:p>
        </w:tc>
        <w:tc>
          <w:tcPr>
            <w:tcW w:w="2409" w:type="dxa"/>
            <w:noWrap/>
            <w:vAlign w:val="center"/>
          </w:tcPr>
          <w:p w14:paraId="40475BA4" w14:textId="2D89E03C" w:rsidR="002F6056" w:rsidRPr="00E24C4B" w:rsidRDefault="002F6056" w:rsidP="002F6056">
            <w:pPr>
              <w:spacing w:line="276" w:lineRule="auto"/>
              <w:jc w:val="center"/>
              <w:rPr>
                <w:rFonts w:cs="Arial"/>
                <w:lang w:val="en-GB"/>
              </w:rPr>
            </w:pPr>
            <w:r w:rsidRPr="00E24C4B">
              <w:rPr>
                <w:rFonts w:cs="Arial"/>
                <w:lang w:val="en-GB"/>
              </w:rPr>
              <w:t>Gamma</w:t>
            </w:r>
          </w:p>
        </w:tc>
        <w:tc>
          <w:tcPr>
            <w:tcW w:w="2410" w:type="dxa"/>
            <w:tcBorders>
              <w:top w:val="nil"/>
              <w:left w:val="single" w:sz="4" w:space="0" w:color="auto"/>
              <w:bottom w:val="single" w:sz="4" w:space="0" w:color="auto"/>
              <w:right w:val="single" w:sz="4" w:space="0" w:color="auto"/>
            </w:tcBorders>
            <w:vAlign w:val="center"/>
          </w:tcPr>
          <w:p w14:paraId="0C93815E" w14:textId="57B8E940" w:rsidR="002F6056" w:rsidRPr="00E24C4B" w:rsidRDefault="002F6056" w:rsidP="002F6056">
            <w:pPr>
              <w:spacing w:line="276" w:lineRule="auto"/>
              <w:jc w:val="center"/>
              <w:rPr>
                <w:rFonts w:cs="Arial"/>
                <w:lang w:val="en-GB"/>
              </w:rPr>
            </w:pPr>
            <w:r w:rsidRPr="00E24C4B">
              <w:rPr>
                <w:rFonts w:cs="Arial"/>
                <w:lang w:val="en-GB"/>
              </w:rPr>
              <w:t>7.97 to 11.81</w:t>
            </w:r>
          </w:p>
        </w:tc>
        <w:tc>
          <w:tcPr>
            <w:tcW w:w="2552" w:type="dxa"/>
            <w:noWrap/>
            <w:vAlign w:val="center"/>
          </w:tcPr>
          <w:p w14:paraId="11D69E03" w14:textId="16B85253" w:rsidR="002F6056" w:rsidRPr="00E24C4B" w:rsidRDefault="00843045" w:rsidP="002F6056">
            <w:pPr>
              <w:spacing w:line="276" w:lineRule="auto"/>
              <w:rPr>
                <w:rFonts w:cs="Arial"/>
                <w:highlight w:val="green"/>
                <w:lang w:val="en-GB"/>
              </w:rPr>
            </w:pPr>
            <w:r>
              <w:rPr>
                <w:rFonts w:cs="Arial"/>
                <w:vertAlign w:val="superscript"/>
              </w:rPr>
              <w:t>51</w:t>
            </w:r>
          </w:p>
        </w:tc>
      </w:tr>
      <w:tr w:rsidR="002F6056" w:rsidRPr="002E1D08" w14:paraId="1BEEDB07" w14:textId="77777777" w:rsidTr="00623AA1">
        <w:trPr>
          <w:trHeight w:val="20"/>
        </w:trPr>
        <w:tc>
          <w:tcPr>
            <w:tcW w:w="4470" w:type="dxa"/>
            <w:noWrap/>
            <w:vAlign w:val="center"/>
          </w:tcPr>
          <w:p w14:paraId="27E970D2" w14:textId="267F4E45" w:rsidR="002F6056" w:rsidRPr="00E24C4B" w:rsidRDefault="002F6056" w:rsidP="002F6056">
            <w:pPr>
              <w:spacing w:line="276" w:lineRule="auto"/>
              <w:rPr>
                <w:rFonts w:cs="Arial"/>
                <w:lang w:val="en-GB"/>
              </w:rPr>
            </w:pPr>
            <w:r w:rsidRPr="00E24C4B">
              <w:rPr>
                <w:rFonts w:cs="Arial"/>
                <w:lang w:val="en-GB"/>
              </w:rPr>
              <w:t>Platelet count decreased</w:t>
            </w:r>
          </w:p>
        </w:tc>
        <w:tc>
          <w:tcPr>
            <w:tcW w:w="2755" w:type="dxa"/>
            <w:tcBorders>
              <w:top w:val="nil"/>
              <w:left w:val="single" w:sz="4" w:space="0" w:color="auto"/>
              <w:bottom w:val="single" w:sz="4" w:space="0" w:color="auto"/>
              <w:right w:val="single" w:sz="4" w:space="0" w:color="auto"/>
            </w:tcBorders>
            <w:noWrap/>
            <w:vAlign w:val="center"/>
          </w:tcPr>
          <w:p w14:paraId="419A01C1" w14:textId="1C948FEE" w:rsidR="002F6056" w:rsidRPr="00E24C4B" w:rsidRDefault="002F6056" w:rsidP="002F6056">
            <w:pPr>
              <w:spacing w:line="276" w:lineRule="auto"/>
              <w:jc w:val="center"/>
              <w:rPr>
                <w:rFonts w:eastAsia="Times New Roman" w:cs="Arial"/>
                <w:lang w:val="en-GB" w:eastAsia="it-IT"/>
              </w:rPr>
            </w:pPr>
            <w:r w:rsidRPr="00E24C4B">
              <w:rPr>
                <w:rFonts w:cs="Arial"/>
                <w:lang w:val="en-GB"/>
              </w:rPr>
              <w:t>11.90</w:t>
            </w:r>
          </w:p>
        </w:tc>
        <w:tc>
          <w:tcPr>
            <w:tcW w:w="2409" w:type="dxa"/>
            <w:noWrap/>
            <w:vAlign w:val="center"/>
          </w:tcPr>
          <w:p w14:paraId="1F918455" w14:textId="46EE0183" w:rsidR="002F6056" w:rsidRPr="00E24C4B" w:rsidRDefault="002F6056" w:rsidP="002F6056">
            <w:pPr>
              <w:spacing w:line="276" w:lineRule="auto"/>
              <w:jc w:val="center"/>
              <w:rPr>
                <w:rFonts w:cs="Arial"/>
                <w:lang w:val="en-GB"/>
              </w:rPr>
            </w:pPr>
            <w:r w:rsidRPr="00E24C4B">
              <w:rPr>
                <w:rFonts w:cs="Arial"/>
                <w:lang w:val="en-GB"/>
              </w:rPr>
              <w:t>Gamma</w:t>
            </w:r>
          </w:p>
        </w:tc>
        <w:tc>
          <w:tcPr>
            <w:tcW w:w="2410" w:type="dxa"/>
            <w:tcBorders>
              <w:top w:val="nil"/>
              <w:left w:val="single" w:sz="4" w:space="0" w:color="auto"/>
              <w:bottom w:val="single" w:sz="4" w:space="0" w:color="auto"/>
              <w:right w:val="single" w:sz="4" w:space="0" w:color="auto"/>
            </w:tcBorders>
            <w:vAlign w:val="center"/>
          </w:tcPr>
          <w:p w14:paraId="2C8E7D3B" w14:textId="62EB5E97" w:rsidR="002F6056" w:rsidRPr="00E24C4B" w:rsidRDefault="002F6056" w:rsidP="002F6056">
            <w:pPr>
              <w:spacing w:line="276" w:lineRule="auto"/>
              <w:jc w:val="center"/>
              <w:rPr>
                <w:rFonts w:cs="Arial"/>
                <w:lang w:val="en-GB"/>
              </w:rPr>
            </w:pPr>
            <w:r w:rsidRPr="00E24C4B">
              <w:rPr>
                <w:rFonts w:cs="Arial"/>
                <w:lang w:val="en-GB"/>
              </w:rPr>
              <w:t>9.68 to 14.34</w:t>
            </w:r>
          </w:p>
        </w:tc>
        <w:tc>
          <w:tcPr>
            <w:tcW w:w="2552" w:type="dxa"/>
            <w:noWrap/>
            <w:vAlign w:val="center"/>
          </w:tcPr>
          <w:p w14:paraId="71671DCB" w14:textId="490B5C07" w:rsidR="002F6056" w:rsidRPr="00E24C4B" w:rsidRDefault="002F6056" w:rsidP="002F6056">
            <w:pPr>
              <w:spacing w:line="276" w:lineRule="auto"/>
              <w:rPr>
                <w:rFonts w:cs="Arial"/>
                <w:highlight w:val="green"/>
                <w:lang w:val="en-GB"/>
              </w:rPr>
            </w:pPr>
            <w:r>
              <w:rPr>
                <w:rFonts w:cs="Arial"/>
                <w:vertAlign w:val="superscript"/>
              </w:rPr>
              <w:t>5</w:t>
            </w:r>
            <w:r w:rsidR="00843045">
              <w:rPr>
                <w:rFonts w:cs="Arial"/>
                <w:vertAlign w:val="superscript"/>
              </w:rPr>
              <w:t>2</w:t>
            </w:r>
          </w:p>
        </w:tc>
      </w:tr>
      <w:tr w:rsidR="002F6056" w:rsidRPr="002E1D08" w14:paraId="0BEB8650" w14:textId="77777777" w:rsidTr="00623AA1">
        <w:trPr>
          <w:trHeight w:val="20"/>
        </w:trPr>
        <w:tc>
          <w:tcPr>
            <w:tcW w:w="4470" w:type="dxa"/>
            <w:noWrap/>
            <w:vAlign w:val="center"/>
          </w:tcPr>
          <w:p w14:paraId="526CBA53" w14:textId="12902A3F" w:rsidR="002F6056" w:rsidRPr="00E24C4B" w:rsidRDefault="002F6056" w:rsidP="002F6056">
            <w:pPr>
              <w:spacing w:line="276" w:lineRule="auto"/>
              <w:rPr>
                <w:rFonts w:cs="Arial"/>
                <w:lang w:val="en-GB"/>
              </w:rPr>
            </w:pPr>
            <w:r w:rsidRPr="00E24C4B">
              <w:rPr>
                <w:rFonts w:cs="Arial"/>
                <w:lang w:val="en-GB"/>
              </w:rPr>
              <w:t>Sepsis</w:t>
            </w:r>
          </w:p>
        </w:tc>
        <w:tc>
          <w:tcPr>
            <w:tcW w:w="2755" w:type="dxa"/>
            <w:tcBorders>
              <w:top w:val="nil"/>
              <w:left w:val="single" w:sz="4" w:space="0" w:color="auto"/>
              <w:bottom w:val="single" w:sz="4" w:space="0" w:color="auto"/>
              <w:right w:val="single" w:sz="4" w:space="0" w:color="auto"/>
            </w:tcBorders>
            <w:noWrap/>
            <w:vAlign w:val="center"/>
          </w:tcPr>
          <w:p w14:paraId="3034F3E5" w14:textId="0A625AFB" w:rsidR="002F6056" w:rsidRPr="00E24C4B" w:rsidRDefault="002F6056" w:rsidP="002F6056">
            <w:pPr>
              <w:spacing w:line="276" w:lineRule="auto"/>
              <w:jc w:val="center"/>
              <w:rPr>
                <w:rFonts w:eastAsia="Times New Roman" w:cs="Arial"/>
                <w:lang w:val="en-GB" w:eastAsia="it-IT"/>
              </w:rPr>
            </w:pPr>
            <w:r w:rsidRPr="00E24C4B">
              <w:rPr>
                <w:rFonts w:cs="Arial"/>
                <w:lang w:val="en-GB"/>
              </w:rPr>
              <w:t>15.10</w:t>
            </w:r>
          </w:p>
        </w:tc>
        <w:tc>
          <w:tcPr>
            <w:tcW w:w="2409" w:type="dxa"/>
            <w:noWrap/>
            <w:vAlign w:val="center"/>
          </w:tcPr>
          <w:p w14:paraId="37FFC06D" w14:textId="158DF9FE" w:rsidR="002F6056" w:rsidRPr="00E24C4B" w:rsidRDefault="002F6056" w:rsidP="002F6056">
            <w:pPr>
              <w:spacing w:line="276" w:lineRule="auto"/>
              <w:jc w:val="center"/>
              <w:rPr>
                <w:rFonts w:cs="Arial"/>
                <w:lang w:val="en-GB"/>
              </w:rPr>
            </w:pPr>
            <w:r w:rsidRPr="00E24C4B">
              <w:rPr>
                <w:rFonts w:cs="Arial"/>
                <w:lang w:val="en-GB"/>
              </w:rPr>
              <w:t>Gamma</w:t>
            </w:r>
          </w:p>
        </w:tc>
        <w:tc>
          <w:tcPr>
            <w:tcW w:w="2410" w:type="dxa"/>
            <w:tcBorders>
              <w:top w:val="nil"/>
              <w:left w:val="single" w:sz="4" w:space="0" w:color="auto"/>
              <w:bottom w:val="single" w:sz="4" w:space="0" w:color="auto"/>
              <w:right w:val="single" w:sz="4" w:space="0" w:color="auto"/>
            </w:tcBorders>
            <w:vAlign w:val="center"/>
          </w:tcPr>
          <w:p w14:paraId="6985E83E" w14:textId="69001DAA" w:rsidR="002F6056" w:rsidRPr="00E24C4B" w:rsidRDefault="002F6056" w:rsidP="002F6056">
            <w:pPr>
              <w:spacing w:line="276" w:lineRule="auto"/>
              <w:jc w:val="center"/>
              <w:rPr>
                <w:rFonts w:cs="Arial"/>
                <w:lang w:val="en-GB"/>
              </w:rPr>
            </w:pPr>
            <w:r w:rsidRPr="00E24C4B">
              <w:rPr>
                <w:rFonts w:cs="Arial"/>
                <w:lang w:val="en-GB"/>
              </w:rPr>
              <w:t>12.29 to 18.20</w:t>
            </w:r>
          </w:p>
        </w:tc>
        <w:tc>
          <w:tcPr>
            <w:tcW w:w="2552" w:type="dxa"/>
            <w:noWrap/>
            <w:vAlign w:val="center"/>
          </w:tcPr>
          <w:p w14:paraId="512B79C6" w14:textId="628D4F77" w:rsidR="002F6056" w:rsidRPr="00E24C4B" w:rsidRDefault="002F6056" w:rsidP="002F6056">
            <w:pPr>
              <w:spacing w:line="276" w:lineRule="auto"/>
              <w:rPr>
                <w:rFonts w:cs="Arial"/>
                <w:lang w:val="en-GB"/>
              </w:rPr>
            </w:pPr>
            <w:r>
              <w:rPr>
                <w:rFonts w:cs="Arial"/>
                <w:vertAlign w:val="superscript"/>
              </w:rPr>
              <w:t>5</w:t>
            </w:r>
            <w:r w:rsidR="00843045">
              <w:rPr>
                <w:rFonts w:cs="Arial"/>
                <w:vertAlign w:val="superscript"/>
              </w:rPr>
              <w:t>3</w:t>
            </w:r>
          </w:p>
        </w:tc>
      </w:tr>
      <w:tr w:rsidR="002F6056" w:rsidRPr="002E1D08" w14:paraId="01A6EE70" w14:textId="77777777" w:rsidTr="00623AA1">
        <w:trPr>
          <w:trHeight w:val="20"/>
        </w:trPr>
        <w:tc>
          <w:tcPr>
            <w:tcW w:w="4470" w:type="dxa"/>
            <w:noWrap/>
            <w:vAlign w:val="center"/>
          </w:tcPr>
          <w:p w14:paraId="4E86569A" w14:textId="7EC3F2E0" w:rsidR="002F6056" w:rsidRPr="00E24C4B" w:rsidRDefault="002F6056" w:rsidP="002F6056">
            <w:pPr>
              <w:spacing w:line="276" w:lineRule="auto"/>
              <w:rPr>
                <w:rFonts w:cs="Arial"/>
                <w:lang w:val="en-GB"/>
              </w:rPr>
            </w:pPr>
            <w:r w:rsidRPr="00E24C4B">
              <w:rPr>
                <w:rFonts w:cs="Arial"/>
                <w:lang w:val="en-GB"/>
              </w:rPr>
              <w:t>White blood cell count decreased</w:t>
            </w:r>
          </w:p>
        </w:tc>
        <w:tc>
          <w:tcPr>
            <w:tcW w:w="2755" w:type="dxa"/>
            <w:tcBorders>
              <w:top w:val="nil"/>
              <w:left w:val="single" w:sz="4" w:space="0" w:color="auto"/>
              <w:bottom w:val="single" w:sz="4" w:space="0" w:color="auto"/>
              <w:right w:val="single" w:sz="4" w:space="0" w:color="auto"/>
            </w:tcBorders>
            <w:noWrap/>
            <w:vAlign w:val="center"/>
          </w:tcPr>
          <w:p w14:paraId="12B52C50" w14:textId="7A490787" w:rsidR="002F6056" w:rsidRPr="00E24C4B" w:rsidRDefault="002F6056" w:rsidP="002F6056">
            <w:pPr>
              <w:spacing w:line="276" w:lineRule="auto"/>
              <w:jc w:val="center"/>
              <w:rPr>
                <w:rFonts w:eastAsia="Times New Roman" w:cs="Arial"/>
                <w:lang w:val="en-GB" w:eastAsia="it-IT"/>
              </w:rPr>
            </w:pPr>
            <w:r w:rsidRPr="00E24C4B">
              <w:rPr>
                <w:rFonts w:cs="Arial"/>
                <w:lang w:val="en-GB"/>
              </w:rPr>
              <w:t>16.90</w:t>
            </w:r>
          </w:p>
        </w:tc>
        <w:tc>
          <w:tcPr>
            <w:tcW w:w="2409" w:type="dxa"/>
            <w:noWrap/>
            <w:vAlign w:val="center"/>
          </w:tcPr>
          <w:p w14:paraId="634B37EC" w14:textId="24894D54" w:rsidR="002F6056" w:rsidRPr="00E24C4B" w:rsidRDefault="002F6056" w:rsidP="002F6056">
            <w:pPr>
              <w:spacing w:line="276" w:lineRule="auto"/>
              <w:jc w:val="center"/>
              <w:rPr>
                <w:rFonts w:cs="Arial"/>
                <w:lang w:val="en-GB"/>
              </w:rPr>
            </w:pPr>
            <w:r w:rsidRPr="00E24C4B">
              <w:rPr>
                <w:rFonts w:cs="Arial"/>
                <w:lang w:val="en-GB"/>
              </w:rPr>
              <w:t>Gamma</w:t>
            </w:r>
          </w:p>
        </w:tc>
        <w:tc>
          <w:tcPr>
            <w:tcW w:w="2410" w:type="dxa"/>
            <w:tcBorders>
              <w:top w:val="nil"/>
              <w:left w:val="single" w:sz="4" w:space="0" w:color="auto"/>
              <w:bottom w:val="single" w:sz="4" w:space="0" w:color="auto"/>
              <w:right w:val="single" w:sz="4" w:space="0" w:color="auto"/>
            </w:tcBorders>
            <w:vAlign w:val="center"/>
          </w:tcPr>
          <w:p w14:paraId="57AD4FF2" w14:textId="1402F848" w:rsidR="002F6056" w:rsidRPr="00E24C4B" w:rsidRDefault="002F6056" w:rsidP="002F6056">
            <w:pPr>
              <w:spacing w:line="276" w:lineRule="auto"/>
              <w:jc w:val="center"/>
              <w:rPr>
                <w:rFonts w:cs="Arial"/>
                <w:lang w:val="en-GB"/>
              </w:rPr>
            </w:pPr>
            <w:r w:rsidRPr="00E24C4B">
              <w:rPr>
                <w:rFonts w:cs="Arial"/>
                <w:lang w:val="en-GB"/>
              </w:rPr>
              <w:t>13.75 to 20.37</w:t>
            </w:r>
          </w:p>
        </w:tc>
        <w:tc>
          <w:tcPr>
            <w:tcW w:w="2552" w:type="dxa"/>
            <w:noWrap/>
            <w:vAlign w:val="center"/>
          </w:tcPr>
          <w:p w14:paraId="2EE0D061" w14:textId="0DC4629F" w:rsidR="002F6056" w:rsidRPr="00E24C4B" w:rsidRDefault="00843045" w:rsidP="002F6056">
            <w:pPr>
              <w:spacing w:line="276" w:lineRule="auto"/>
              <w:rPr>
                <w:rFonts w:cs="Arial"/>
                <w:highlight w:val="green"/>
                <w:lang w:val="en-GB"/>
              </w:rPr>
            </w:pPr>
            <w:r>
              <w:rPr>
                <w:rFonts w:cs="Arial"/>
                <w:vertAlign w:val="superscript"/>
              </w:rPr>
              <w:t>51</w:t>
            </w:r>
          </w:p>
        </w:tc>
      </w:tr>
      <w:tr w:rsidR="00811425" w:rsidRPr="008849A6" w14:paraId="0C5CF3BB" w14:textId="77777777" w:rsidTr="001007F0">
        <w:trPr>
          <w:trHeight w:val="20"/>
        </w:trPr>
        <w:tc>
          <w:tcPr>
            <w:tcW w:w="14596" w:type="dxa"/>
            <w:gridSpan w:val="5"/>
            <w:shd w:val="clear" w:color="auto" w:fill="F2F2F2" w:themeFill="background1" w:themeFillShade="F2"/>
            <w:noWrap/>
            <w:vAlign w:val="center"/>
          </w:tcPr>
          <w:p w14:paraId="37A9E903" w14:textId="3ACEA8C3" w:rsidR="001007F0" w:rsidRPr="00E24C4B" w:rsidRDefault="001007F0" w:rsidP="001007F0">
            <w:pPr>
              <w:spacing w:line="276" w:lineRule="auto"/>
              <w:rPr>
                <w:rFonts w:cs="Arial"/>
                <w:lang w:val="en-GB"/>
              </w:rPr>
            </w:pPr>
            <w:r w:rsidRPr="00E24C4B">
              <w:rPr>
                <w:rFonts w:cs="Arial"/>
                <w:b/>
                <w:bCs/>
                <w:i/>
                <w:iCs/>
                <w:lang w:val="en-GB"/>
              </w:rPr>
              <w:t>Frequency of AEs (Blinatumomab + SoC) - Grade ≥3 treatment-emergent AEs that occurred in ≥ 5%</w:t>
            </w:r>
          </w:p>
        </w:tc>
      </w:tr>
      <w:tr w:rsidR="00811425" w:rsidRPr="002E1D08" w14:paraId="4334ABC6" w14:textId="77777777" w:rsidTr="001D38A2">
        <w:trPr>
          <w:trHeight w:val="20"/>
        </w:trPr>
        <w:tc>
          <w:tcPr>
            <w:tcW w:w="4470" w:type="dxa"/>
            <w:noWrap/>
            <w:vAlign w:val="center"/>
          </w:tcPr>
          <w:p w14:paraId="031AEB0C" w14:textId="6542DB30" w:rsidR="00682115" w:rsidRPr="00E24C4B" w:rsidRDefault="00682115" w:rsidP="001007F0">
            <w:pPr>
              <w:spacing w:line="276" w:lineRule="auto"/>
              <w:rPr>
                <w:rFonts w:cs="Arial"/>
                <w:lang w:val="en-GB"/>
              </w:rPr>
            </w:pPr>
            <w:r w:rsidRPr="00E24C4B">
              <w:rPr>
                <w:rFonts w:cs="Arial"/>
                <w:lang w:val="en-GB"/>
              </w:rPr>
              <w:t>Alanine aminotransferase increased</w:t>
            </w:r>
          </w:p>
        </w:tc>
        <w:tc>
          <w:tcPr>
            <w:tcW w:w="2755" w:type="dxa"/>
            <w:tcBorders>
              <w:top w:val="single" w:sz="4" w:space="0" w:color="auto"/>
              <w:left w:val="single" w:sz="4" w:space="0" w:color="auto"/>
              <w:bottom w:val="single" w:sz="4" w:space="0" w:color="auto"/>
              <w:right w:val="single" w:sz="4" w:space="0" w:color="auto"/>
            </w:tcBorders>
            <w:noWrap/>
            <w:vAlign w:val="center"/>
          </w:tcPr>
          <w:p w14:paraId="3AB7DDB6" w14:textId="71668D6B" w:rsidR="00682115" w:rsidRPr="00E24C4B" w:rsidRDefault="00682115" w:rsidP="001007F0">
            <w:pPr>
              <w:spacing w:line="276" w:lineRule="auto"/>
              <w:jc w:val="center"/>
              <w:rPr>
                <w:rFonts w:eastAsia="Times New Roman" w:cs="Arial"/>
                <w:lang w:val="en-GB" w:eastAsia="it-IT"/>
              </w:rPr>
            </w:pPr>
            <w:bookmarkStart w:id="7" w:name="RANGE!AB143:AB162"/>
            <w:bookmarkStart w:id="8" w:name="RANGE!AB143:AB154"/>
            <w:bookmarkEnd w:id="7"/>
            <w:r w:rsidRPr="00E24C4B">
              <w:rPr>
                <w:rFonts w:cs="Arial"/>
                <w:lang w:val="en-GB"/>
              </w:rPr>
              <w:t>8.11%</w:t>
            </w:r>
            <w:bookmarkEnd w:id="8"/>
          </w:p>
        </w:tc>
        <w:tc>
          <w:tcPr>
            <w:tcW w:w="2409" w:type="dxa"/>
            <w:noWrap/>
          </w:tcPr>
          <w:p w14:paraId="2940638B" w14:textId="7AE5AB23" w:rsidR="00682115" w:rsidRPr="00E24C4B" w:rsidRDefault="00682115" w:rsidP="001007F0">
            <w:pPr>
              <w:spacing w:line="276" w:lineRule="auto"/>
              <w:jc w:val="center"/>
              <w:rPr>
                <w:rFonts w:cs="Arial"/>
                <w:lang w:val="en-GB"/>
              </w:rPr>
            </w:pPr>
            <w:r w:rsidRPr="00E24C4B">
              <w:rPr>
                <w:rFonts w:cs="Arial"/>
                <w:lang w:val="en-GB"/>
              </w:rPr>
              <w:t>Beta</w:t>
            </w:r>
          </w:p>
        </w:tc>
        <w:tc>
          <w:tcPr>
            <w:tcW w:w="2410" w:type="dxa"/>
            <w:tcBorders>
              <w:top w:val="single" w:sz="4" w:space="0" w:color="auto"/>
              <w:left w:val="single" w:sz="4" w:space="0" w:color="auto"/>
              <w:bottom w:val="single" w:sz="4" w:space="0" w:color="auto"/>
              <w:right w:val="single" w:sz="4" w:space="0" w:color="auto"/>
            </w:tcBorders>
            <w:vAlign w:val="center"/>
          </w:tcPr>
          <w:p w14:paraId="26378B0A" w14:textId="19DFA133" w:rsidR="00682115" w:rsidRPr="00E24C4B" w:rsidRDefault="00682115" w:rsidP="001007F0">
            <w:pPr>
              <w:spacing w:line="276" w:lineRule="auto"/>
              <w:jc w:val="center"/>
              <w:rPr>
                <w:rFonts w:cs="Arial"/>
                <w:lang w:val="en-GB"/>
              </w:rPr>
            </w:pPr>
            <w:r w:rsidRPr="00E24C4B">
              <w:rPr>
                <w:rFonts w:cs="Arial"/>
                <w:lang w:val="en-GB"/>
              </w:rPr>
              <w:t>3.81% to 13.83%</w:t>
            </w:r>
          </w:p>
        </w:tc>
        <w:tc>
          <w:tcPr>
            <w:tcW w:w="2552" w:type="dxa"/>
            <w:noWrap/>
            <w:vAlign w:val="center"/>
          </w:tcPr>
          <w:p w14:paraId="3BDDB34F" w14:textId="44623D80" w:rsidR="00682115" w:rsidRPr="00E24C4B" w:rsidRDefault="00682115" w:rsidP="001007F0">
            <w:pPr>
              <w:spacing w:line="276" w:lineRule="auto"/>
              <w:rPr>
                <w:rFonts w:cs="Arial"/>
                <w:highlight w:val="yellow"/>
                <w:lang w:val="en-GB"/>
              </w:rPr>
            </w:pPr>
            <w:r w:rsidRPr="00E24C4B">
              <w:rPr>
                <w:rFonts w:eastAsia="Calibri" w:cs="Arial"/>
                <w:iCs/>
                <w:lang w:val="en-GB" w:eastAsia="it-IT" w:bidi="it-IT"/>
              </w:rPr>
              <w:t>ECOG-ACRIN E1910</w:t>
            </w:r>
            <w:r w:rsidR="00557AD1">
              <w:rPr>
                <w:rFonts w:eastAsia="Calibri" w:cs="Arial"/>
                <w:iCs/>
                <w:lang w:val="en-GB" w:eastAsia="it-IT" w:bidi="it-IT"/>
              </w:rPr>
              <w:t>*</w:t>
            </w:r>
          </w:p>
        </w:tc>
      </w:tr>
      <w:tr w:rsidR="00811425" w:rsidRPr="002E1D08" w14:paraId="48114F49" w14:textId="77777777" w:rsidTr="001D38A2">
        <w:trPr>
          <w:trHeight w:val="20"/>
        </w:trPr>
        <w:tc>
          <w:tcPr>
            <w:tcW w:w="4470" w:type="dxa"/>
            <w:noWrap/>
            <w:vAlign w:val="center"/>
          </w:tcPr>
          <w:p w14:paraId="0919353B" w14:textId="50DFAA9C" w:rsidR="00682115" w:rsidRPr="00E24C4B" w:rsidRDefault="00682115" w:rsidP="001007F0">
            <w:pPr>
              <w:spacing w:line="276" w:lineRule="auto"/>
              <w:rPr>
                <w:rFonts w:cs="Arial"/>
                <w:lang w:val="en-GB"/>
              </w:rPr>
            </w:pPr>
            <w:r w:rsidRPr="00E24C4B">
              <w:rPr>
                <w:rFonts w:cs="Arial"/>
                <w:lang w:val="en-GB"/>
              </w:rPr>
              <w:t>Anaemia</w:t>
            </w:r>
          </w:p>
        </w:tc>
        <w:tc>
          <w:tcPr>
            <w:tcW w:w="2755" w:type="dxa"/>
            <w:tcBorders>
              <w:top w:val="nil"/>
              <w:left w:val="single" w:sz="4" w:space="0" w:color="auto"/>
              <w:bottom w:val="single" w:sz="4" w:space="0" w:color="auto"/>
              <w:right w:val="single" w:sz="4" w:space="0" w:color="auto"/>
            </w:tcBorders>
            <w:noWrap/>
            <w:vAlign w:val="center"/>
          </w:tcPr>
          <w:p w14:paraId="271BC372" w14:textId="34FA56F6" w:rsidR="00682115" w:rsidRPr="00E24C4B" w:rsidRDefault="00682115" w:rsidP="001007F0">
            <w:pPr>
              <w:spacing w:line="276" w:lineRule="auto"/>
              <w:jc w:val="center"/>
              <w:rPr>
                <w:rFonts w:eastAsia="Times New Roman" w:cs="Arial"/>
                <w:lang w:val="en-GB" w:eastAsia="it-IT"/>
              </w:rPr>
            </w:pPr>
            <w:r w:rsidRPr="00E24C4B">
              <w:rPr>
                <w:rFonts w:cs="Arial"/>
                <w:lang w:val="en-GB"/>
              </w:rPr>
              <w:t>31.53%</w:t>
            </w:r>
          </w:p>
        </w:tc>
        <w:tc>
          <w:tcPr>
            <w:tcW w:w="2409" w:type="dxa"/>
            <w:noWrap/>
          </w:tcPr>
          <w:p w14:paraId="12F4EE2C" w14:textId="57E35C0B" w:rsidR="00682115" w:rsidRPr="00E24C4B" w:rsidRDefault="00682115" w:rsidP="001007F0">
            <w:pPr>
              <w:spacing w:line="276" w:lineRule="auto"/>
              <w:jc w:val="center"/>
              <w:rPr>
                <w:rFonts w:cs="Arial"/>
                <w:lang w:val="en-GB"/>
              </w:rPr>
            </w:pPr>
            <w:r w:rsidRPr="00E24C4B">
              <w:rPr>
                <w:rFonts w:cs="Arial"/>
                <w:lang w:val="en-GB"/>
              </w:rPr>
              <w:t>Beta</w:t>
            </w:r>
          </w:p>
        </w:tc>
        <w:tc>
          <w:tcPr>
            <w:tcW w:w="2410" w:type="dxa"/>
            <w:tcBorders>
              <w:top w:val="nil"/>
              <w:left w:val="single" w:sz="4" w:space="0" w:color="auto"/>
              <w:bottom w:val="single" w:sz="4" w:space="0" w:color="auto"/>
              <w:right w:val="single" w:sz="4" w:space="0" w:color="auto"/>
            </w:tcBorders>
            <w:vAlign w:val="center"/>
          </w:tcPr>
          <w:p w14:paraId="5961D83D" w14:textId="56C20121" w:rsidR="00682115" w:rsidRPr="00E24C4B" w:rsidRDefault="00682115" w:rsidP="001007F0">
            <w:pPr>
              <w:spacing w:line="276" w:lineRule="auto"/>
              <w:jc w:val="center"/>
              <w:rPr>
                <w:rFonts w:cs="Arial"/>
                <w:lang w:val="en-GB"/>
              </w:rPr>
            </w:pPr>
            <w:r w:rsidRPr="00E24C4B">
              <w:rPr>
                <w:rFonts w:cs="Arial"/>
                <w:lang w:val="en-GB"/>
              </w:rPr>
              <w:t>23.26% to 40.43%</w:t>
            </w:r>
          </w:p>
        </w:tc>
        <w:tc>
          <w:tcPr>
            <w:tcW w:w="2552" w:type="dxa"/>
            <w:noWrap/>
            <w:vAlign w:val="center"/>
          </w:tcPr>
          <w:p w14:paraId="19B1763A" w14:textId="07DE21D5" w:rsidR="00682115" w:rsidRPr="00E24C4B" w:rsidRDefault="00682115" w:rsidP="001007F0">
            <w:pPr>
              <w:spacing w:line="276" w:lineRule="auto"/>
              <w:rPr>
                <w:rFonts w:cs="Arial"/>
                <w:highlight w:val="yellow"/>
                <w:lang w:val="en-GB"/>
              </w:rPr>
            </w:pPr>
            <w:r w:rsidRPr="00E24C4B">
              <w:rPr>
                <w:rFonts w:eastAsia="Calibri" w:cs="Arial"/>
                <w:iCs/>
                <w:lang w:val="en-GB" w:eastAsia="it-IT" w:bidi="it-IT"/>
              </w:rPr>
              <w:t>ECOG-ACRIN E1910</w:t>
            </w:r>
            <w:r w:rsidR="00557AD1">
              <w:rPr>
                <w:rFonts w:eastAsia="Calibri" w:cs="Arial"/>
                <w:iCs/>
                <w:lang w:val="en-GB" w:eastAsia="it-IT" w:bidi="it-IT"/>
              </w:rPr>
              <w:t>*</w:t>
            </w:r>
          </w:p>
        </w:tc>
      </w:tr>
      <w:tr w:rsidR="00811425" w:rsidRPr="002E1D08" w14:paraId="1FAA26D7" w14:textId="77777777" w:rsidTr="001D38A2">
        <w:trPr>
          <w:trHeight w:val="20"/>
        </w:trPr>
        <w:tc>
          <w:tcPr>
            <w:tcW w:w="4470" w:type="dxa"/>
            <w:noWrap/>
            <w:vAlign w:val="center"/>
          </w:tcPr>
          <w:p w14:paraId="2875BD4F" w14:textId="2FA10B46" w:rsidR="00682115" w:rsidRPr="00E24C4B" w:rsidRDefault="00682115" w:rsidP="001007F0">
            <w:pPr>
              <w:spacing w:line="276" w:lineRule="auto"/>
              <w:rPr>
                <w:rFonts w:cs="Arial"/>
                <w:lang w:val="en-GB"/>
              </w:rPr>
            </w:pPr>
            <w:r w:rsidRPr="00E24C4B">
              <w:rPr>
                <w:rFonts w:cs="Arial"/>
                <w:lang w:val="en-GB"/>
              </w:rPr>
              <w:t>Aphasia</w:t>
            </w:r>
          </w:p>
        </w:tc>
        <w:tc>
          <w:tcPr>
            <w:tcW w:w="2755" w:type="dxa"/>
            <w:tcBorders>
              <w:top w:val="nil"/>
              <w:left w:val="single" w:sz="4" w:space="0" w:color="auto"/>
              <w:bottom w:val="single" w:sz="4" w:space="0" w:color="auto"/>
              <w:right w:val="single" w:sz="4" w:space="0" w:color="auto"/>
            </w:tcBorders>
            <w:noWrap/>
            <w:vAlign w:val="center"/>
          </w:tcPr>
          <w:p w14:paraId="47EC4575" w14:textId="6E770529" w:rsidR="00682115" w:rsidRPr="00E24C4B" w:rsidRDefault="00682115" w:rsidP="001007F0">
            <w:pPr>
              <w:spacing w:line="276" w:lineRule="auto"/>
              <w:jc w:val="center"/>
              <w:rPr>
                <w:rFonts w:eastAsia="Times New Roman" w:cs="Arial"/>
                <w:lang w:val="en-GB" w:eastAsia="it-IT"/>
              </w:rPr>
            </w:pPr>
            <w:r w:rsidRPr="00E24C4B">
              <w:rPr>
                <w:rFonts w:cs="Arial"/>
                <w:lang w:val="en-GB"/>
              </w:rPr>
              <w:t>6.31%</w:t>
            </w:r>
          </w:p>
        </w:tc>
        <w:tc>
          <w:tcPr>
            <w:tcW w:w="2409" w:type="dxa"/>
            <w:noWrap/>
          </w:tcPr>
          <w:p w14:paraId="5AC0E187" w14:textId="484EF56D" w:rsidR="00682115" w:rsidRPr="00E24C4B" w:rsidRDefault="00682115" w:rsidP="001007F0">
            <w:pPr>
              <w:spacing w:line="276" w:lineRule="auto"/>
              <w:jc w:val="center"/>
              <w:rPr>
                <w:rFonts w:cs="Arial"/>
                <w:lang w:val="en-GB"/>
              </w:rPr>
            </w:pPr>
            <w:r w:rsidRPr="00E24C4B">
              <w:rPr>
                <w:rFonts w:cs="Arial"/>
                <w:lang w:val="en-GB"/>
              </w:rPr>
              <w:t>Beta</w:t>
            </w:r>
          </w:p>
        </w:tc>
        <w:tc>
          <w:tcPr>
            <w:tcW w:w="2410" w:type="dxa"/>
            <w:tcBorders>
              <w:top w:val="nil"/>
              <w:left w:val="single" w:sz="4" w:space="0" w:color="auto"/>
              <w:bottom w:val="single" w:sz="4" w:space="0" w:color="auto"/>
              <w:right w:val="single" w:sz="4" w:space="0" w:color="auto"/>
            </w:tcBorders>
            <w:vAlign w:val="center"/>
          </w:tcPr>
          <w:p w14:paraId="3498D4F4" w14:textId="5F9D9288" w:rsidR="00682115" w:rsidRPr="00E24C4B" w:rsidRDefault="00682115" w:rsidP="001007F0">
            <w:pPr>
              <w:spacing w:line="276" w:lineRule="auto"/>
              <w:jc w:val="center"/>
              <w:rPr>
                <w:rFonts w:cs="Arial"/>
                <w:lang w:val="en-GB"/>
              </w:rPr>
            </w:pPr>
            <w:r w:rsidRPr="00E24C4B">
              <w:rPr>
                <w:rFonts w:cs="Arial"/>
                <w:lang w:val="en-GB"/>
              </w:rPr>
              <w:t>2.60% to 11.49%</w:t>
            </w:r>
          </w:p>
        </w:tc>
        <w:tc>
          <w:tcPr>
            <w:tcW w:w="2552" w:type="dxa"/>
            <w:noWrap/>
            <w:vAlign w:val="center"/>
          </w:tcPr>
          <w:p w14:paraId="662E7778" w14:textId="6FC4A30C" w:rsidR="00682115" w:rsidRPr="00E24C4B" w:rsidRDefault="00682115" w:rsidP="001007F0">
            <w:pPr>
              <w:spacing w:line="276" w:lineRule="auto"/>
              <w:rPr>
                <w:rFonts w:cs="Arial"/>
                <w:highlight w:val="yellow"/>
                <w:lang w:val="en-GB"/>
              </w:rPr>
            </w:pPr>
            <w:r w:rsidRPr="00E24C4B">
              <w:rPr>
                <w:rFonts w:eastAsia="Calibri" w:cs="Arial"/>
                <w:iCs/>
                <w:lang w:val="en-GB" w:eastAsia="it-IT" w:bidi="it-IT"/>
              </w:rPr>
              <w:t>ECOG-ACRIN E1910</w:t>
            </w:r>
            <w:r w:rsidR="00557AD1">
              <w:rPr>
                <w:rFonts w:eastAsia="Calibri" w:cs="Arial"/>
                <w:iCs/>
                <w:lang w:val="en-GB" w:eastAsia="it-IT" w:bidi="it-IT"/>
              </w:rPr>
              <w:t>*</w:t>
            </w:r>
          </w:p>
        </w:tc>
      </w:tr>
      <w:tr w:rsidR="00811425" w:rsidRPr="002E1D08" w14:paraId="402539D3" w14:textId="77777777" w:rsidTr="001D38A2">
        <w:trPr>
          <w:trHeight w:val="20"/>
        </w:trPr>
        <w:tc>
          <w:tcPr>
            <w:tcW w:w="4470" w:type="dxa"/>
            <w:noWrap/>
            <w:vAlign w:val="center"/>
          </w:tcPr>
          <w:p w14:paraId="6A853613" w14:textId="503A45C9" w:rsidR="00682115" w:rsidRPr="00E24C4B" w:rsidRDefault="00682115" w:rsidP="001007F0">
            <w:pPr>
              <w:spacing w:line="276" w:lineRule="auto"/>
              <w:rPr>
                <w:rFonts w:cs="Arial"/>
                <w:lang w:val="en-GB"/>
              </w:rPr>
            </w:pPr>
            <w:r w:rsidRPr="00E24C4B">
              <w:rPr>
                <w:rFonts w:cs="Arial"/>
                <w:lang w:val="en-GB"/>
              </w:rPr>
              <w:t>Aspartate aminotransferase increased</w:t>
            </w:r>
          </w:p>
        </w:tc>
        <w:tc>
          <w:tcPr>
            <w:tcW w:w="2755" w:type="dxa"/>
            <w:tcBorders>
              <w:top w:val="nil"/>
              <w:left w:val="single" w:sz="4" w:space="0" w:color="auto"/>
              <w:bottom w:val="single" w:sz="4" w:space="0" w:color="auto"/>
              <w:right w:val="single" w:sz="4" w:space="0" w:color="auto"/>
            </w:tcBorders>
            <w:noWrap/>
            <w:vAlign w:val="center"/>
          </w:tcPr>
          <w:p w14:paraId="1378559D" w14:textId="1B54009B" w:rsidR="00682115" w:rsidRPr="00E24C4B" w:rsidRDefault="00682115" w:rsidP="001007F0">
            <w:pPr>
              <w:spacing w:line="276" w:lineRule="auto"/>
              <w:jc w:val="center"/>
              <w:rPr>
                <w:rFonts w:eastAsia="Times New Roman" w:cs="Arial"/>
                <w:lang w:val="en-GB" w:eastAsia="it-IT"/>
              </w:rPr>
            </w:pPr>
            <w:r w:rsidRPr="00E24C4B">
              <w:rPr>
                <w:rFonts w:cs="Arial"/>
                <w:lang w:val="en-GB"/>
              </w:rPr>
              <w:t>5.41%</w:t>
            </w:r>
          </w:p>
        </w:tc>
        <w:tc>
          <w:tcPr>
            <w:tcW w:w="2409" w:type="dxa"/>
            <w:noWrap/>
          </w:tcPr>
          <w:p w14:paraId="668B1AF2" w14:textId="182A31DD" w:rsidR="00682115" w:rsidRPr="00E24C4B" w:rsidRDefault="00682115" w:rsidP="001007F0">
            <w:pPr>
              <w:spacing w:line="276" w:lineRule="auto"/>
              <w:jc w:val="center"/>
              <w:rPr>
                <w:rFonts w:cs="Arial"/>
                <w:lang w:val="en-GB"/>
              </w:rPr>
            </w:pPr>
            <w:r w:rsidRPr="00E24C4B">
              <w:rPr>
                <w:rFonts w:cs="Arial"/>
                <w:lang w:val="en-GB"/>
              </w:rPr>
              <w:t>Beta</w:t>
            </w:r>
          </w:p>
        </w:tc>
        <w:tc>
          <w:tcPr>
            <w:tcW w:w="2410" w:type="dxa"/>
            <w:tcBorders>
              <w:top w:val="nil"/>
              <w:left w:val="single" w:sz="4" w:space="0" w:color="auto"/>
              <w:bottom w:val="single" w:sz="4" w:space="0" w:color="auto"/>
              <w:right w:val="single" w:sz="4" w:space="0" w:color="auto"/>
            </w:tcBorders>
            <w:vAlign w:val="center"/>
          </w:tcPr>
          <w:p w14:paraId="01959C7F" w14:textId="1A13CCEE" w:rsidR="00682115" w:rsidRPr="00E24C4B" w:rsidRDefault="00682115" w:rsidP="001007F0">
            <w:pPr>
              <w:spacing w:line="276" w:lineRule="auto"/>
              <w:jc w:val="center"/>
              <w:rPr>
                <w:rFonts w:cs="Arial"/>
                <w:lang w:val="en-GB"/>
              </w:rPr>
            </w:pPr>
            <w:r w:rsidRPr="00E24C4B">
              <w:rPr>
                <w:rFonts w:cs="Arial"/>
                <w:lang w:val="en-GB"/>
              </w:rPr>
              <w:t>2.03% to 10.29%</w:t>
            </w:r>
          </w:p>
        </w:tc>
        <w:tc>
          <w:tcPr>
            <w:tcW w:w="2552" w:type="dxa"/>
            <w:noWrap/>
            <w:vAlign w:val="center"/>
          </w:tcPr>
          <w:p w14:paraId="63A15ACC" w14:textId="65AFE5D0" w:rsidR="00682115" w:rsidRPr="00E24C4B" w:rsidRDefault="00682115" w:rsidP="001007F0">
            <w:pPr>
              <w:spacing w:line="276" w:lineRule="auto"/>
              <w:rPr>
                <w:rFonts w:cs="Arial"/>
                <w:highlight w:val="yellow"/>
                <w:lang w:val="en-GB"/>
              </w:rPr>
            </w:pPr>
            <w:r w:rsidRPr="00E24C4B">
              <w:rPr>
                <w:rFonts w:eastAsia="Calibri" w:cs="Arial"/>
                <w:iCs/>
                <w:lang w:val="en-GB" w:eastAsia="it-IT" w:bidi="it-IT"/>
              </w:rPr>
              <w:t>ECOG-ACRIN E1910</w:t>
            </w:r>
            <w:r w:rsidR="00557AD1">
              <w:rPr>
                <w:rFonts w:eastAsia="Calibri" w:cs="Arial"/>
                <w:iCs/>
                <w:lang w:val="en-GB" w:eastAsia="it-IT" w:bidi="it-IT"/>
              </w:rPr>
              <w:t>*</w:t>
            </w:r>
          </w:p>
        </w:tc>
      </w:tr>
      <w:tr w:rsidR="00811425" w:rsidRPr="002E1D08" w14:paraId="2F75BDFD" w14:textId="77777777" w:rsidTr="001D38A2">
        <w:trPr>
          <w:trHeight w:val="20"/>
        </w:trPr>
        <w:tc>
          <w:tcPr>
            <w:tcW w:w="4470" w:type="dxa"/>
            <w:noWrap/>
            <w:vAlign w:val="center"/>
          </w:tcPr>
          <w:p w14:paraId="07299578" w14:textId="45AC0CAF" w:rsidR="00682115" w:rsidRPr="00E24C4B" w:rsidRDefault="00682115" w:rsidP="001007F0">
            <w:pPr>
              <w:spacing w:line="276" w:lineRule="auto"/>
              <w:rPr>
                <w:rFonts w:cs="Arial"/>
                <w:lang w:val="en-GB"/>
              </w:rPr>
            </w:pPr>
            <w:r w:rsidRPr="00E24C4B">
              <w:rPr>
                <w:rFonts w:cs="Arial"/>
                <w:lang w:val="en-GB"/>
              </w:rPr>
              <w:t xml:space="preserve">Cytokine </w:t>
            </w:r>
            <w:r w:rsidR="001007F0" w:rsidRPr="00E24C4B">
              <w:rPr>
                <w:rFonts w:cs="Arial"/>
                <w:lang w:val="en-GB"/>
              </w:rPr>
              <w:t>release</w:t>
            </w:r>
            <w:r w:rsidRPr="00E24C4B">
              <w:rPr>
                <w:rFonts w:cs="Arial"/>
                <w:lang w:val="en-GB"/>
              </w:rPr>
              <w:t xml:space="preserve"> syndrome</w:t>
            </w:r>
          </w:p>
        </w:tc>
        <w:tc>
          <w:tcPr>
            <w:tcW w:w="2755" w:type="dxa"/>
            <w:tcBorders>
              <w:top w:val="nil"/>
              <w:left w:val="single" w:sz="4" w:space="0" w:color="auto"/>
              <w:bottom w:val="single" w:sz="4" w:space="0" w:color="auto"/>
              <w:right w:val="single" w:sz="4" w:space="0" w:color="auto"/>
            </w:tcBorders>
            <w:noWrap/>
            <w:vAlign w:val="center"/>
          </w:tcPr>
          <w:p w14:paraId="6157C308" w14:textId="3CF82483" w:rsidR="00682115" w:rsidRPr="00E24C4B" w:rsidRDefault="00682115" w:rsidP="001007F0">
            <w:pPr>
              <w:spacing w:line="276" w:lineRule="auto"/>
              <w:jc w:val="center"/>
              <w:rPr>
                <w:rFonts w:eastAsia="Times New Roman" w:cs="Arial"/>
                <w:lang w:val="en-GB" w:eastAsia="it-IT"/>
              </w:rPr>
            </w:pPr>
            <w:r w:rsidRPr="00E24C4B">
              <w:rPr>
                <w:rFonts w:cs="Arial"/>
                <w:lang w:val="en-GB"/>
              </w:rPr>
              <w:t>3.60%</w:t>
            </w:r>
          </w:p>
        </w:tc>
        <w:tc>
          <w:tcPr>
            <w:tcW w:w="2409" w:type="dxa"/>
            <w:noWrap/>
          </w:tcPr>
          <w:p w14:paraId="3BF63C08" w14:textId="25C7A7E7" w:rsidR="00682115" w:rsidRPr="00E24C4B" w:rsidRDefault="00682115" w:rsidP="001007F0">
            <w:pPr>
              <w:spacing w:line="276" w:lineRule="auto"/>
              <w:jc w:val="center"/>
              <w:rPr>
                <w:rFonts w:cs="Arial"/>
                <w:lang w:val="en-GB"/>
              </w:rPr>
            </w:pPr>
            <w:r w:rsidRPr="00E24C4B">
              <w:rPr>
                <w:rFonts w:cs="Arial"/>
                <w:lang w:val="en-GB"/>
              </w:rPr>
              <w:t>Beta</w:t>
            </w:r>
          </w:p>
        </w:tc>
        <w:tc>
          <w:tcPr>
            <w:tcW w:w="2410" w:type="dxa"/>
            <w:tcBorders>
              <w:top w:val="nil"/>
              <w:left w:val="single" w:sz="4" w:space="0" w:color="auto"/>
              <w:bottom w:val="single" w:sz="4" w:space="0" w:color="auto"/>
              <w:right w:val="single" w:sz="4" w:space="0" w:color="auto"/>
            </w:tcBorders>
            <w:vAlign w:val="center"/>
          </w:tcPr>
          <w:p w14:paraId="7069D8BE" w14:textId="314AC08D" w:rsidR="00682115" w:rsidRPr="00E24C4B" w:rsidRDefault="00682115" w:rsidP="001007F0">
            <w:pPr>
              <w:spacing w:line="276" w:lineRule="auto"/>
              <w:jc w:val="center"/>
              <w:rPr>
                <w:rFonts w:cs="Arial"/>
                <w:lang w:val="en-GB"/>
              </w:rPr>
            </w:pPr>
            <w:r w:rsidRPr="00E24C4B">
              <w:rPr>
                <w:rFonts w:cs="Arial"/>
                <w:lang w:val="en-GB"/>
              </w:rPr>
              <w:t>1.00% to 7.76%</w:t>
            </w:r>
          </w:p>
        </w:tc>
        <w:tc>
          <w:tcPr>
            <w:tcW w:w="2552" w:type="dxa"/>
            <w:noWrap/>
            <w:vAlign w:val="center"/>
          </w:tcPr>
          <w:p w14:paraId="27ACE90F" w14:textId="2810507A" w:rsidR="00682115" w:rsidRPr="00E24C4B" w:rsidRDefault="00682115" w:rsidP="001007F0">
            <w:pPr>
              <w:spacing w:line="276" w:lineRule="auto"/>
              <w:rPr>
                <w:rFonts w:cs="Arial"/>
                <w:highlight w:val="yellow"/>
                <w:lang w:val="en-GB"/>
              </w:rPr>
            </w:pPr>
            <w:r w:rsidRPr="00E24C4B">
              <w:rPr>
                <w:rFonts w:eastAsia="Calibri" w:cs="Arial"/>
                <w:iCs/>
                <w:lang w:val="en-GB" w:eastAsia="it-IT" w:bidi="it-IT"/>
              </w:rPr>
              <w:t>ECOG-ACRIN E1910</w:t>
            </w:r>
            <w:r w:rsidR="00557AD1">
              <w:rPr>
                <w:rFonts w:eastAsia="Calibri" w:cs="Arial"/>
                <w:iCs/>
                <w:lang w:val="en-GB" w:eastAsia="it-IT" w:bidi="it-IT"/>
              </w:rPr>
              <w:t>*</w:t>
            </w:r>
          </w:p>
        </w:tc>
      </w:tr>
      <w:tr w:rsidR="00811425" w:rsidRPr="002E1D08" w14:paraId="60D9CCE8" w14:textId="77777777" w:rsidTr="001D38A2">
        <w:trPr>
          <w:trHeight w:val="20"/>
        </w:trPr>
        <w:tc>
          <w:tcPr>
            <w:tcW w:w="4470" w:type="dxa"/>
            <w:noWrap/>
            <w:vAlign w:val="center"/>
          </w:tcPr>
          <w:p w14:paraId="53FEAFE7" w14:textId="574B3A1A" w:rsidR="00682115" w:rsidRPr="00E24C4B" w:rsidRDefault="00682115" w:rsidP="001007F0">
            <w:pPr>
              <w:spacing w:line="276" w:lineRule="auto"/>
              <w:rPr>
                <w:rFonts w:cs="Arial"/>
                <w:lang w:val="en-GB"/>
              </w:rPr>
            </w:pPr>
            <w:r w:rsidRPr="00E24C4B">
              <w:rPr>
                <w:rFonts w:cs="Arial"/>
                <w:lang w:val="en-GB"/>
              </w:rPr>
              <w:t>Device related infection</w:t>
            </w:r>
          </w:p>
        </w:tc>
        <w:tc>
          <w:tcPr>
            <w:tcW w:w="2755" w:type="dxa"/>
            <w:tcBorders>
              <w:top w:val="nil"/>
              <w:left w:val="single" w:sz="4" w:space="0" w:color="auto"/>
              <w:bottom w:val="single" w:sz="4" w:space="0" w:color="auto"/>
              <w:right w:val="single" w:sz="4" w:space="0" w:color="auto"/>
            </w:tcBorders>
            <w:noWrap/>
            <w:vAlign w:val="center"/>
          </w:tcPr>
          <w:p w14:paraId="6CAF0D14" w14:textId="33247CB3" w:rsidR="00682115" w:rsidRPr="00E24C4B" w:rsidRDefault="00682115" w:rsidP="001007F0">
            <w:pPr>
              <w:spacing w:line="276" w:lineRule="auto"/>
              <w:jc w:val="center"/>
              <w:rPr>
                <w:rFonts w:eastAsia="Times New Roman" w:cs="Arial"/>
                <w:lang w:val="en-GB" w:eastAsia="it-IT"/>
              </w:rPr>
            </w:pPr>
            <w:r w:rsidRPr="00E24C4B">
              <w:rPr>
                <w:rFonts w:cs="Arial"/>
                <w:lang w:val="en-GB"/>
              </w:rPr>
              <w:t>10.81%</w:t>
            </w:r>
          </w:p>
        </w:tc>
        <w:tc>
          <w:tcPr>
            <w:tcW w:w="2409" w:type="dxa"/>
            <w:noWrap/>
          </w:tcPr>
          <w:p w14:paraId="117A0BE2" w14:textId="778120BB" w:rsidR="00682115" w:rsidRPr="00E24C4B" w:rsidRDefault="00682115" w:rsidP="001007F0">
            <w:pPr>
              <w:spacing w:line="276" w:lineRule="auto"/>
              <w:jc w:val="center"/>
              <w:rPr>
                <w:rFonts w:cs="Arial"/>
                <w:lang w:val="en-GB"/>
              </w:rPr>
            </w:pPr>
            <w:r w:rsidRPr="00E24C4B">
              <w:rPr>
                <w:rFonts w:cs="Arial"/>
                <w:lang w:val="en-GB"/>
              </w:rPr>
              <w:t>Beta</w:t>
            </w:r>
          </w:p>
        </w:tc>
        <w:tc>
          <w:tcPr>
            <w:tcW w:w="2410" w:type="dxa"/>
            <w:tcBorders>
              <w:top w:val="nil"/>
              <w:left w:val="single" w:sz="4" w:space="0" w:color="auto"/>
              <w:bottom w:val="single" w:sz="4" w:space="0" w:color="auto"/>
              <w:right w:val="single" w:sz="4" w:space="0" w:color="auto"/>
            </w:tcBorders>
            <w:vAlign w:val="center"/>
          </w:tcPr>
          <w:p w14:paraId="1226978C" w14:textId="506F7A98" w:rsidR="00682115" w:rsidRPr="00E24C4B" w:rsidRDefault="00682115" w:rsidP="001007F0">
            <w:pPr>
              <w:spacing w:line="276" w:lineRule="auto"/>
              <w:jc w:val="center"/>
              <w:rPr>
                <w:rFonts w:cs="Arial"/>
                <w:lang w:val="en-GB"/>
              </w:rPr>
            </w:pPr>
            <w:r w:rsidRPr="00E24C4B">
              <w:rPr>
                <w:rFonts w:cs="Arial"/>
                <w:lang w:val="en-GB"/>
              </w:rPr>
              <w:t>5.77% to 17.19%</w:t>
            </w:r>
          </w:p>
        </w:tc>
        <w:tc>
          <w:tcPr>
            <w:tcW w:w="2552" w:type="dxa"/>
            <w:noWrap/>
            <w:vAlign w:val="center"/>
          </w:tcPr>
          <w:p w14:paraId="6D90A368" w14:textId="14EC3216" w:rsidR="00682115" w:rsidRPr="00E24C4B" w:rsidRDefault="00682115" w:rsidP="001007F0">
            <w:pPr>
              <w:spacing w:line="276" w:lineRule="auto"/>
              <w:rPr>
                <w:rFonts w:cs="Arial"/>
                <w:highlight w:val="yellow"/>
                <w:lang w:val="en-GB"/>
              </w:rPr>
            </w:pPr>
            <w:r w:rsidRPr="00E24C4B">
              <w:rPr>
                <w:rFonts w:eastAsia="Calibri" w:cs="Arial"/>
                <w:iCs/>
                <w:lang w:val="en-GB" w:eastAsia="it-IT" w:bidi="it-IT"/>
              </w:rPr>
              <w:t>ECOG-ACRIN E1910</w:t>
            </w:r>
            <w:r w:rsidR="00557AD1">
              <w:rPr>
                <w:rFonts w:eastAsia="Calibri" w:cs="Arial"/>
                <w:iCs/>
                <w:lang w:val="en-GB" w:eastAsia="it-IT" w:bidi="it-IT"/>
              </w:rPr>
              <w:t>*</w:t>
            </w:r>
          </w:p>
        </w:tc>
      </w:tr>
      <w:tr w:rsidR="00811425" w:rsidRPr="002E1D08" w14:paraId="614C5E69" w14:textId="77777777" w:rsidTr="001D38A2">
        <w:trPr>
          <w:trHeight w:val="20"/>
        </w:trPr>
        <w:tc>
          <w:tcPr>
            <w:tcW w:w="4470" w:type="dxa"/>
            <w:noWrap/>
            <w:vAlign w:val="center"/>
          </w:tcPr>
          <w:p w14:paraId="0888D53F" w14:textId="7C00E656" w:rsidR="00682115" w:rsidRPr="00E24C4B" w:rsidRDefault="00682115" w:rsidP="001007F0">
            <w:pPr>
              <w:spacing w:line="276" w:lineRule="auto"/>
              <w:rPr>
                <w:rFonts w:cs="Arial"/>
                <w:lang w:val="en-GB"/>
              </w:rPr>
            </w:pPr>
            <w:r w:rsidRPr="00E24C4B">
              <w:rPr>
                <w:rFonts w:cs="Arial"/>
                <w:lang w:val="en-GB"/>
              </w:rPr>
              <w:t>Diarrhoea</w:t>
            </w:r>
          </w:p>
        </w:tc>
        <w:tc>
          <w:tcPr>
            <w:tcW w:w="2755" w:type="dxa"/>
            <w:tcBorders>
              <w:top w:val="nil"/>
              <w:left w:val="single" w:sz="4" w:space="0" w:color="auto"/>
              <w:bottom w:val="single" w:sz="4" w:space="0" w:color="auto"/>
              <w:right w:val="single" w:sz="4" w:space="0" w:color="auto"/>
            </w:tcBorders>
            <w:noWrap/>
            <w:vAlign w:val="center"/>
          </w:tcPr>
          <w:p w14:paraId="04697781" w14:textId="7348FCBF" w:rsidR="00682115" w:rsidRPr="00E24C4B" w:rsidRDefault="00682115" w:rsidP="001007F0">
            <w:pPr>
              <w:spacing w:line="276" w:lineRule="auto"/>
              <w:jc w:val="center"/>
              <w:rPr>
                <w:rFonts w:eastAsia="Times New Roman" w:cs="Arial"/>
                <w:lang w:val="en-GB" w:eastAsia="it-IT"/>
              </w:rPr>
            </w:pPr>
            <w:r w:rsidRPr="00E24C4B">
              <w:rPr>
                <w:rFonts w:cs="Arial"/>
                <w:lang w:val="en-GB"/>
              </w:rPr>
              <w:t>3.60%</w:t>
            </w:r>
          </w:p>
        </w:tc>
        <w:tc>
          <w:tcPr>
            <w:tcW w:w="2409" w:type="dxa"/>
            <w:noWrap/>
          </w:tcPr>
          <w:p w14:paraId="54A4661F" w14:textId="2FD1A1A4" w:rsidR="00682115" w:rsidRPr="00E24C4B" w:rsidRDefault="00682115" w:rsidP="001007F0">
            <w:pPr>
              <w:spacing w:line="276" w:lineRule="auto"/>
              <w:jc w:val="center"/>
              <w:rPr>
                <w:rFonts w:cs="Arial"/>
                <w:lang w:val="en-GB"/>
              </w:rPr>
            </w:pPr>
            <w:r w:rsidRPr="00E24C4B">
              <w:rPr>
                <w:rFonts w:cs="Arial"/>
                <w:lang w:val="en-GB"/>
              </w:rPr>
              <w:t>Beta</w:t>
            </w:r>
          </w:p>
        </w:tc>
        <w:tc>
          <w:tcPr>
            <w:tcW w:w="2410" w:type="dxa"/>
            <w:tcBorders>
              <w:top w:val="nil"/>
              <w:left w:val="single" w:sz="4" w:space="0" w:color="auto"/>
              <w:bottom w:val="single" w:sz="4" w:space="0" w:color="auto"/>
              <w:right w:val="single" w:sz="4" w:space="0" w:color="auto"/>
            </w:tcBorders>
            <w:vAlign w:val="center"/>
          </w:tcPr>
          <w:p w14:paraId="41EE88E8" w14:textId="7C1606E6" w:rsidR="00682115" w:rsidRPr="00E24C4B" w:rsidRDefault="00682115" w:rsidP="001007F0">
            <w:pPr>
              <w:spacing w:line="276" w:lineRule="auto"/>
              <w:jc w:val="center"/>
              <w:rPr>
                <w:rFonts w:cs="Arial"/>
                <w:lang w:val="en-GB"/>
              </w:rPr>
            </w:pPr>
            <w:r w:rsidRPr="00E24C4B">
              <w:rPr>
                <w:rFonts w:cs="Arial"/>
                <w:lang w:val="en-GB"/>
              </w:rPr>
              <w:t>1.00% to 7.76%</w:t>
            </w:r>
          </w:p>
        </w:tc>
        <w:tc>
          <w:tcPr>
            <w:tcW w:w="2552" w:type="dxa"/>
            <w:noWrap/>
            <w:vAlign w:val="center"/>
          </w:tcPr>
          <w:p w14:paraId="7706F75B" w14:textId="444A40B2" w:rsidR="00682115" w:rsidRPr="00E24C4B" w:rsidRDefault="00682115" w:rsidP="001007F0">
            <w:pPr>
              <w:spacing w:line="276" w:lineRule="auto"/>
              <w:rPr>
                <w:rFonts w:cs="Arial"/>
                <w:highlight w:val="yellow"/>
                <w:lang w:val="en-GB"/>
              </w:rPr>
            </w:pPr>
            <w:r w:rsidRPr="00E24C4B">
              <w:rPr>
                <w:rFonts w:eastAsia="Calibri" w:cs="Arial"/>
                <w:iCs/>
                <w:lang w:val="en-GB" w:eastAsia="it-IT" w:bidi="it-IT"/>
              </w:rPr>
              <w:t>ECOG-ACRIN E1910</w:t>
            </w:r>
            <w:r w:rsidR="00557AD1">
              <w:rPr>
                <w:rFonts w:eastAsia="Calibri" w:cs="Arial"/>
                <w:iCs/>
                <w:lang w:val="en-GB" w:eastAsia="it-IT" w:bidi="it-IT"/>
              </w:rPr>
              <w:t>*</w:t>
            </w:r>
          </w:p>
        </w:tc>
      </w:tr>
      <w:tr w:rsidR="00811425" w:rsidRPr="002E1D08" w14:paraId="577C061E" w14:textId="77777777" w:rsidTr="001D38A2">
        <w:trPr>
          <w:trHeight w:val="20"/>
        </w:trPr>
        <w:tc>
          <w:tcPr>
            <w:tcW w:w="4470" w:type="dxa"/>
            <w:noWrap/>
            <w:vAlign w:val="center"/>
          </w:tcPr>
          <w:p w14:paraId="0E14FA4A" w14:textId="49916ADA" w:rsidR="00682115" w:rsidRPr="00E24C4B" w:rsidRDefault="00682115" w:rsidP="001007F0">
            <w:pPr>
              <w:spacing w:line="276" w:lineRule="auto"/>
              <w:rPr>
                <w:rFonts w:cs="Arial"/>
                <w:lang w:val="en-GB"/>
              </w:rPr>
            </w:pPr>
            <w:r w:rsidRPr="00E24C4B">
              <w:rPr>
                <w:rFonts w:cs="Arial"/>
                <w:lang w:val="en-GB"/>
              </w:rPr>
              <w:t>Fatigue</w:t>
            </w:r>
          </w:p>
        </w:tc>
        <w:tc>
          <w:tcPr>
            <w:tcW w:w="2755" w:type="dxa"/>
            <w:tcBorders>
              <w:top w:val="nil"/>
              <w:left w:val="single" w:sz="4" w:space="0" w:color="auto"/>
              <w:bottom w:val="single" w:sz="4" w:space="0" w:color="auto"/>
              <w:right w:val="single" w:sz="4" w:space="0" w:color="auto"/>
            </w:tcBorders>
            <w:noWrap/>
            <w:vAlign w:val="center"/>
          </w:tcPr>
          <w:p w14:paraId="55D29E02" w14:textId="0EA3CF4C" w:rsidR="00682115" w:rsidRPr="00E24C4B" w:rsidRDefault="00682115" w:rsidP="001007F0">
            <w:pPr>
              <w:spacing w:line="276" w:lineRule="auto"/>
              <w:jc w:val="center"/>
              <w:rPr>
                <w:rFonts w:eastAsia="Times New Roman" w:cs="Arial"/>
                <w:lang w:val="en-GB" w:eastAsia="it-IT"/>
              </w:rPr>
            </w:pPr>
            <w:r w:rsidRPr="00E24C4B">
              <w:rPr>
                <w:rFonts w:cs="Arial"/>
                <w:lang w:val="en-GB"/>
              </w:rPr>
              <w:t>5.41%</w:t>
            </w:r>
          </w:p>
        </w:tc>
        <w:tc>
          <w:tcPr>
            <w:tcW w:w="2409" w:type="dxa"/>
            <w:noWrap/>
          </w:tcPr>
          <w:p w14:paraId="245256B4" w14:textId="1832E639" w:rsidR="00682115" w:rsidRPr="00E24C4B" w:rsidRDefault="00682115" w:rsidP="001007F0">
            <w:pPr>
              <w:spacing w:line="276" w:lineRule="auto"/>
              <w:jc w:val="center"/>
              <w:rPr>
                <w:rFonts w:cs="Arial"/>
                <w:lang w:val="en-GB"/>
              </w:rPr>
            </w:pPr>
            <w:r w:rsidRPr="00E24C4B">
              <w:rPr>
                <w:rFonts w:cs="Arial"/>
                <w:lang w:val="en-GB"/>
              </w:rPr>
              <w:t>Beta</w:t>
            </w:r>
          </w:p>
        </w:tc>
        <w:tc>
          <w:tcPr>
            <w:tcW w:w="2410" w:type="dxa"/>
            <w:tcBorders>
              <w:top w:val="nil"/>
              <w:left w:val="single" w:sz="4" w:space="0" w:color="auto"/>
              <w:bottom w:val="single" w:sz="4" w:space="0" w:color="auto"/>
              <w:right w:val="single" w:sz="4" w:space="0" w:color="auto"/>
            </w:tcBorders>
            <w:vAlign w:val="center"/>
          </w:tcPr>
          <w:p w14:paraId="05D50DDD" w14:textId="2CEF7221" w:rsidR="00682115" w:rsidRPr="00E24C4B" w:rsidRDefault="00682115" w:rsidP="001007F0">
            <w:pPr>
              <w:spacing w:line="276" w:lineRule="auto"/>
              <w:jc w:val="center"/>
              <w:rPr>
                <w:rFonts w:cs="Arial"/>
                <w:lang w:val="en-GB"/>
              </w:rPr>
            </w:pPr>
            <w:r w:rsidRPr="00E24C4B">
              <w:rPr>
                <w:rFonts w:cs="Arial"/>
                <w:lang w:val="en-GB"/>
              </w:rPr>
              <w:t>2.03% to 10.29%</w:t>
            </w:r>
          </w:p>
        </w:tc>
        <w:tc>
          <w:tcPr>
            <w:tcW w:w="2552" w:type="dxa"/>
            <w:noWrap/>
            <w:vAlign w:val="center"/>
          </w:tcPr>
          <w:p w14:paraId="59817BED" w14:textId="6FA0CA2C" w:rsidR="00682115" w:rsidRPr="00E24C4B" w:rsidRDefault="00682115" w:rsidP="001007F0">
            <w:pPr>
              <w:spacing w:line="276" w:lineRule="auto"/>
              <w:rPr>
                <w:rFonts w:cs="Arial"/>
                <w:highlight w:val="yellow"/>
                <w:lang w:val="en-GB"/>
              </w:rPr>
            </w:pPr>
            <w:r w:rsidRPr="00E24C4B">
              <w:rPr>
                <w:rFonts w:eastAsia="Calibri" w:cs="Arial"/>
                <w:iCs/>
                <w:lang w:val="en-GB" w:eastAsia="it-IT" w:bidi="it-IT"/>
              </w:rPr>
              <w:t>ECOG-ACRIN E1910</w:t>
            </w:r>
            <w:r w:rsidR="00557AD1">
              <w:rPr>
                <w:rFonts w:eastAsia="Calibri" w:cs="Arial"/>
                <w:iCs/>
                <w:lang w:val="en-GB" w:eastAsia="it-IT" w:bidi="it-IT"/>
              </w:rPr>
              <w:t>*</w:t>
            </w:r>
          </w:p>
        </w:tc>
      </w:tr>
      <w:tr w:rsidR="00811425" w:rsidRPr="002E1D08" w14:paraId="148D7C5F" w14:textId="77777777" w:rsidTr="001D38A2">
        <w:trPr>
          <w:trHeight w:val="20"/>
        </w:trPr>
        <w:tc>
          <w:tcPr>
            <w:tcW w:w="4470" w:type="dxa"/>
            <w:noWrap/>
            <w:vAlign w:val="center"/>
          </w:tcPr>
          <w:p w14:paraId="5ACD611F" w14:textId="6ABCFF8A" w:rsidR="00682115" w:rsidRPr="00E24C4B" w:rsidRDefault="00682115" w:rsidP="001007F0">
            <w:pPr>
              <w:spacing w:line="276" w:lineRule="auto"/>
              <w:rPr>
                <w:rFonts w:cs="Arial"/>
                <w:lang w:val="en-GB"/>
              </w:rPr>
            </w:pPr>
            <w:r w:rsidRPr="00E24C4B">
              <w:rPr>
                <w:rFonts w:cs="Arial"/>
                <w:lang w:val="en-GB"/>
              </w:rPr>
              <w:t>Febrile neutropenia</w:t>
            </w:r>
          </w:p>
        </w:tc>
        <w:tc>
          <w:tcPr>
            <w:tcW w:w="2755" w:type="dxa"/>
            <w:tcBorders>
              <w:top w:val="nil"/>
              <w:left w:val="single" w:sz="4" w:space="0" w:color="auto"/>
              <w:bottom w:val="single" w:sz="4" w:space="0" w:color="auto"/>
              <w:right w:val="single" w:sz="4" w:space="0" w:color="auto"/>
            </w:tcBorders>
            <w:noWrap/>
            <w:vAlign w:val="center"/>
          </w:tcPr>
          <w:p w14:paraId="1413C7F1" w14:textId="656322E5" w:rsidR="00682115" w:rsidRPr="00E24C4B" w:rsidRDefault="00682115" w:rsidP="001007F0">
            <w:pPr>
              <w:spacing w:line="276" w:lineRule="auto"/>
              <w:jc w:val="center"/>
              <w:rPr>
                <w:rFonts w:eastAsia="Times New Roman" w:cs="Arial"/>
                <w:lang w:val="en-GB" w:eastAsia="it-IT"/>
              </w:rPr>
            </w:pPr>
            <w:r w:rsidRPr="00E24C4B">
              <w:rPr>
                <w:rFonts w:cs="Arial"/>
                <w:lang w:val="en-GB"/>
              </w:rPr>
              <w:t>20.72%</w:t>
            </w:r>
          </w:p>
        </w:tc>
        <w:tc>
          <w:tcPr>
            <w:tcW w:w="2409" w:type="dxa"/>
            <w:noWrap/>
          </w:tcPr>
          <w:p w14:paraId="140DCA04" w14:textId="73B6E3C8" w:rsidR="00682115" w:rsidRPr="00E24C4B" w:rsidRDefault="00682115" w:rsidP="001007F0">
            <w:pPr>
              <w:spacing w:line="276" w:lineRule="auto"/>
              <w:jc w:val="center"/>
              <w:rPr>
                <w:rFonts w:cs="Arial"/>
                <w:lang w:val="en-GB"/>
              </w:rPr>
            </w:pPr>
            <w:r w:rsidRPr="00E24C4B">
              <w:rPr>
                <w:rFonts w:cs="Arial"/>
                <w:lang w:val="en-GB"/>
              </w:rPr>
              <w:t>Beta</w:t>
            </w:r>
          </w:p>
        </w:tc>
        <w:tc>
          <w:tcPr>
            <w:tcW w:w="2410" w:type="dxa"/>
            <w:tcBorders>
              <w:top w:val="nil"/>
              <w:left w:val="single" w:sz="4" w:space="0" w:color="auto"/>
              <w:bottom w:val="single" w:sz="4" w:space="0" w:color="auto"/>
              <w:right w:val="single" w:sz="4" w:space="0" w:color="auto"/>
            </w:tcBorders>
            <w:vAlign w:val="center"/>
          </w:tcPr>
          <w:p w14:paraId="700BB824" w14:textId="1D46A61C" w:rsidR="00682115" w:rsidRPr="00E24C4B" w:rsidRDefault="00682115" w:rsidP="001007F0">
            <w:pPr>
              <w:spacing w:line="276" w:lineRule="auto"/>
              <w:jc w:val="center"/>
              <w:rPr>
                <w:rFonts w:cs="Arial"/>
                <w:lang w:val="en-GB"/>
              </w:rPr>
            </w:pPr>
            <w:r w:rsidRPr="00E24C4B">
              <w:rPr>
                <w:rFonts w:cs="Arial"/>
                <w:lang w:val="en-GB"/>
              </w:rPr>
              <w:t>13.74% to 28.70%</w:t>
            </w:r>
          </w:p>
        </w:tc>
        <w:tc>
          <w:tcPr>
            <w:tcW w:w="2552" w:type="dxa"/>
            <w:noWrap/>
            <w:vAlign w:val="center"/>
          </w:tcPr>
          <w:p w14:paraId="0CA4423B" w14:textId="0678EE34" w:rsidR="00682115" w:rsidRPr="00E24C4B" w:rsidRDefault="00682115" w:rsidP="001007F0">
            <w:pPr>
              <w:spacing w:line="276" w:lineRule="auto"/>
              <w:rPr>
                <w:rFonts w:cs="Arial"/>
                <w:highlight w:val="yellow"/>
                <w:lang w:val="en-GB"/>
              </w:rPr>
            </w:pPr>
            <w:r w:rsidRPr="00E24C4B">
              <w:rPr>
                <w:rFonts w:eastAsia="Calibri" w:cs="Arial"/>
                <w:iCs/>
                <w:lang w:val="en-GB" w:eastAsia="it-IT" w:bidi="it-IT"/>
              </w:rPr>
              <w:t>ECOG-ACRIN E1910</w:t>
            </w:r>
            <w:r w:rsidR="00557AD1">
              <w:rPr>
                <w:rFonts w:eastAsia="Calibri" w:cs="Arial"/>
                <w:iCs/>
                <w:lang w:val="en-GB" w:eastAsia="it-IT" w:bidi="it-IT"/>
              </w:rPr>
              <w:t>*</w:t>
            </w:r>
          </w:p>
        </w:tc>
      </w:tr>
      <w:tr w:rsidR="00811425" w:rsidRPr="002E1D08" w14:paraId="537B38AA" w14:textId="77777777" w:rsidTr="001D38A2">
        <w:trPr>
          <w:trHeight w:val="20"/>
        </w:trPr>
        <w:tc>
          <w:tcPr>
            <w:tcW w:w="4470" w:type="dxa"/>
            <w:noWrap/>
            <w:vAlign w:val="center"/>
          </w:tcPr>
          <w:p w14:paraId="201F60B0" w14:textId="6FA442DF" w:rsidR="00682115" w:rsidRPr="00E24C4B" w:rsidRDefault="00682115" w:rsidP="001007F0">
            <w:pPr>
              <w:spacing w:line="276" w:lineRule="auto"/>
              <w:rPr>
                <w:rFonts w:cs="Arial"/>
                <w:lang w:val="en-GB"/>
              </w:rPr>
            </w:pPr>
            <w:r w:rsidRPr="00E24C4B">
              <w:rPr>
                <w:rFonts w:cs="Arial"/>
                <w:lang w:val="en-GB"/>
              </w:rPr>
              <w:t>Headache</w:t>
            </w:r>
          </w:p>
        </w:tc>
        <w:tc>
          <w:tcPr>
            <w:tcW w:w="2755" w:type="dxa"/>
            <w:tcBorders>
              <w:top w:val="nil"/>
              <w:left w:val="single" w:sz="4" w:space="0" w:color="auto"/>
              <w:bottom w:val="single" w:sz="4" w:space="0" w:color="auto"/>
              <w:right w:val="single" w:sz="4" w:space="0" w:color="auto"/>
            </w:tcBorders>
            <w:noWrap/>
            <w:vAlign w:val="center"/>
          </w:tcPr>
          <w:p w14:paraId="6ECD03F8" w14:textId="286208F6" w:rsidR="00682115" w:rsidRPr="00E24C4B" w:rsidRDefault="00682115" w:rsidP="001007F0">
            <w:pPr>
              <w:spacing w:line="276" w:lineRule="auto"/>
              <w:jc w:val="center"/>
              <w:rPr>
                <w:rFonts w:eastAsia="Times New Roman" w:cs="Arial"/>
                <w:lang w:val="en-GB" w:eastAsia="it-IT"/>
              </w:rPr>
            </w:pPr>
            <w:r w:rsidRPr="00E24C4B">
              <w:rPr>
                <w:rFonts w:cs="Arial"/>
                <w:lang w:val="en-GB"/>
              </w:rPr>
              <w:t>4.50%</w:t>
            </w:r>
          </w:p>
        </w:tc>
        <w:tc>
          <w:tcPr>
            <w:tcW w:w="2409" w:type="dxa"/>
            <w:noWrap/>
          </w:tcPr>
          <w:p w14:paraId="05545704" w14:textId="4A4D7002" w:rsidR="00682115" w:rsidRPr="00E24C4B" w:rsidRDefault="00682115" w:rsidP="001007F0">
            <w:pPr>
              <w:spacing w:line="276" w:lineRule="auto"/>
              <w:jc w:val="center"/>
              <w:rPr>
                <w:rFonts w:cs="Arial"/>
                <w:lang w:val="en-GB"/>
              </w:rPr>
            </w:pPr>
            <w:r w:rsidRPr="00E24C4B">
              <w:rPr>
                <w:rFonts w:cs="Arial"/>
                <w:lang w:val="en-GB"/>
              </w:rPr>
              <w:t>Beta</w:t>
            </w:r>
          </w:p>
        </w:tc>
        <w:tc>
          <w:tcPr>
            <w:tcW w:w="2410" w:type="dxa"/>
            <w:tcBorders>
              <w:top w:val="nil"/>
              <w:left w:val="single" w:sz="4" w:space="0" w:color="auto"/>
              <w:bottom w:val="single" w:sz="4" w:space="0" w:color="auto"/>
              <w:right w:val="single" w:sz="4" w:space="0" w:color="auto"/>
            </w:tcBorders>
            <w:vAlign w:val="center"/>
          </w:tcPr>
          <w:p w14:paraId="0F9AE95B" w14:textId="4A604FE2" w:rsidR="00682115" w:rsidRPr="00E24C4B" w:rsidRDefault="00682115" w:rsidP="001007F0">
            <w:pPr>
              <w:spacing w:line="276" w:lineRule="auto"/>
              <w:jc w:val="center"/>
              <w:rPr>
                <w:rFonts w:cs="Arial"/>
                <w:lang w:val="en-GB"/>
              </w:rPr>
            </w:pPr>
            <w:r w:rsidRPr="00E24C4B">
              <w:rPr>
                <w:rFonts w:cs="Arial"/>
                <w:lang w:val="en-GB"/>
              </w:rPr>
              <w:t>1.49% to 9.05%</w:t>
            </w:r>
          </w:p>
        </w:tc>
        <w:tc>
          <w:tcPr>
            <w:tcW w:w="2552" w:type="dxa"/>
            <w:noWrap/>
            <w:vAlign w:val="center"/>
          </w:tcPr>
          <w:p w14:paraId="44F704AD" w14:textId="6856E9E0" w:rsidR="00682115" w:rsidRPr="00E24C4B" w:rsidRDefault="00682115" w:rsidP="001007F0">
            <w:pPr>
              <w:spacing w:line="276" w:lineRule="auto"/>
              <w:rPr>
                <w:rFonts w:cs="Arial"/>
                <w:highlight w:val="yellow"/>
                <w:lang w:val="en-GB"/>
              </w:rPr>
            </w:pPr>
            <w:r w:rsidRPr="00E24C4B">
              <w:rPr>
                <w:rFonts w:eastAsia="Calibri" w:cs="Arial"/>
                <w:iCs/>
                <w:lang w:val="en-GB" w:eastAsia="it-IT" w:bidi="it-IT"/>
              </w:rPr>
              <w:t>ECOG-ACRIN E1910</w:t>
            </w:r>
            <w:r w:rsidR="00557AD1">
              <w:rPr>
                <w:rFonts w:eastAsia="Calibri" w:cs="Arial"/>
                <w:iCs/>
                <w:lang w:val="en-GB" w:eastAsia="it-IT" w:bidi="it-IT"/>
              </w:rPr>
              <w:t>*</w:t>
            </w:r>
          </w:p>
        </w:tc>
      </w:tr>
      <w:tr w:rsidR="00811425" w:rsidRPr="002E1D08" w14:paraId="22DDC833" w14:textId="77777777" w:rsidTr="001D38A2">
        <w:trPr>
          <w:trHeight w:val="20"/>
        </w:trPr>
        <w:tc>
          <w:tcPr>
            <w:tcW w:w="4470" w:type="dxa"/>
            <w:noWrap/>
            <w:vAlign w:val="center"/>
          </w:tcPr>
          <w:p w14:paraId="690F0455" w14:textId="0BA65AE1" w:rsidR="00682115" w:rsidRPr="00E24C4B" w:rsidRDefault="00682115" w:rsidP="001007F0">
            <w:pPr>
              <w:spacing w:line="276" w:lineRule="auto"/>
              <w:rPr>
                <w:rFonts w:cs="Arial"/>
                <w:lang w:val="en-GB"/>
              </w:rPr>
            </w:pPr>
            <w:r w:rsidRPr="00E24C4B">
              <w:rPr>
                <w:rFonts w:cs="Arial"/>
                <w:lang w:val="en-GB"/>
              </w:rPr>
              <w:t>Hyperglycaemia</w:t>
            </w:r>
          </w:p>
        </w:tc>
        <w:tc>
          <w:tcPr>
            <w:tcW w:w="2755" w:type="dxa"/>
            <w:tcBorders>
              <w:top w:val="nil"/>
              <w:left w:val="single" w:sz="4" w:space="0" w:color="auto"/>
              <w:bottom w:val="single" w:sz="4" w:space="0" w:color="auto"/>
              <w:right w:val="single" w:sz="4" w:space="0" w:color="auto"/>
            </w:tcBorders>
            <w:noWrap/>
            <w:vAlign w:val="center"/>
          </w:tcPr>
          <w:p w14:paraId="00262E17" w14:textId="69C42AB5" w:rsidR="00682115" w:rsidRPr="00E24C4B" w:rsidRDefault="00682115" w:rsidP="001007F0">
            <w:pPr>
              <w:spacing w:line="276" w:lineRule="auto"/>
              <w:jc w:val="center"/>
              <w:rPr>
                <w:rFonts w:eastAsia="Times New Roman" w:cs="Arial"/>
                <w:lang w:val="en-GB" w:eastAsia="it-IT"/>
              </w:rPr>
            </w:pPr>
            <w:r w:rsidRPr="00E24C4B">
              <w:rPr>
                <w:rFonts w:cs="Arial"/>
                <w:lang w:val="en-GB"/>
              </w:rPr>
              <w:t>10.81%</w:t>
            </w:r>
          </w:p>
        </w:tc>
        <w:tc>
          <w:tcPr>
            <w:tcW w:w="2409" w:type="dxa"/>
            <w:noWrap/>
          </w:tcPr>
          <w:p w14:paraId="72B80BBC" w14:textId="17CEDC6A" w:rsidR="00682115" w:rsidRPr="00E24C4B" w:rsidRDefault="00682115" w:rsidP="001007F0">
            <w:pPr>
              <w:spacing w:line="276" w:lineRule="auto"/>
              <w:jc w:val="center"/>
              <w:rPr>
                <w:rFonts w:cs="Arial"/>
                <w:lang w:val="en-GB"/>
              </w:rPr>
            </w:pPr>
            <w:r w:rsidRPr="00E24C4B">
              <w:rPr>
                <w:rFonts w:cs="Arial"/>
                <w:lang w:val="en-GB"/>
              </w:rPr>
              <w:t>Beta</w:t>
            </w:r>
          </w:p>
        </w:tc>
        <w:tc>
          <w:tcPr>
            <w:tcW w:w="2410" w:type="dxa"/>
            <w:tcBorders>
              <w:top w:val="nil"/>
              <w:left w:val="single" w:sz="4" w:space="0" w:color="auto"/>
              <w:bottom w:val="single" w:sz="4" w:space="0" w:color="auto"/>
              <w:right w:val="single" w:sz="4" w:space="0" w:color="auto"/>
            </w:tcBorders>
            <w:vAlign w:val="center"/>
          </w:tcPr>
          <w:p w14:paraId="19A71F4A" w14:textId="382FA10C" w:rsidR="00682115" w:rsidRPr="00E24C4B" w:rsidRDefault="00682115" w:rsidP="001007F0">
            <w:pPr>
              <w:spacing w:line="276" w:lineRule="auto"/>
              <w:jc w:val="center"/>
              <w:rPr>
                <w:rFonts w:cs="Arial"/>
                <w:lang w:val="en-GB"/>
              </w:rPr>
            </w:pPr>
            <w:r w:rsidRPr="00E24C4B">
              <w:rPr>
                <w:rFonts w:cs="Arial"/>
                <w:lang w:val="en-GB"/>
              </w:rPr>
              <w:t>5.77% to 17.19%</w:t>
            </w:r>
          </w:p>
        </w:tc>
        <w:tc>
          <w:tcPr>
            <w:tcW w:w="2552" w:type="dxa"/>
            <w:noWrap/>
            <w:vAlign w:val="center"/>
          </w:tcPr>
          <w:p w14:paraId="3B681441" w14:textId="69571DEC" w:rsidR="00682115" w:rsidRPr="00E24C4B" w:rsidRDefault="00682115" w:rsidP="001007F0">
            <w:pPr>
              <w:spacing w:line="276" w:lineRule="auto"/>
              <w:rPr>
                <w:rFonts w:cs="Arial"/>
                <w:highlight w:val="yellow"/>
                <w:lang w:val="en-GB"/>
              </w:rPr>
            </w:pPr>
            <w:r w:rsidRPr="00E24C4B">
              <w:rPr>
                <w:rFonts w:eastAsia="Calibri" w:cs="Arial"/>
                <w:iCs/>
                <w:lang w:val="en-GB" w:eastAsia="it-IT" w:bidi="it-IT"/>
              </w:rPr>
              <w:t>ECOG-ACRIN E1910</w:t>
            </w:r>
            <w:r w:rsidR="00557AD1">
              <w:rPr>
                <w:rFonts w:eastAsia="Calibri" w:cs="Arial"/>
                <w:iCs/>
                <w:lang w:val="en-GB" w:eastAsia="it-IT" w:bidi="it-IT"/>
              </w:rPr>
              <w:t>*</w:t>
            </w:r>
          </w:p>
        </w:tc>
      </w:tr>
      <w:tr w:rsidR="00811425" w:rsidRPr="002E1D08" w14:paraId="387DBAF8" w14:textId="77777777" w:rsidTr="001D38A2">
        <w:trPr>
          <w:trHeight w:val="20"/>
        </w:trPr>
        <w:tc>
          <w:tcPr>
            <w:tcW w:w="4470" w:type="dxa"/>
            <w:noWrap/>
            <w:vAlign w:val="center"/>
          </w:tcPr>
          <w:p w14:paraId="20BD9316" w14:textId="07F91294" w:rsidR="00682115" w:rsidRPr="00E24C4B" w:rsidRDefault="00682115" w:rsidP="001007F0">
            <w:pPr>
              <w:spacing w:line="276" w:lineRule="auto"/>
              <w:rPr>
                <w:rFonts w:cs="Arial"/>
                <w:lang w:val="en-GB"/>
              </w:rPr>
            </w:pPr>
            <w:r w:rsidRPr="00E24C4B">
              <w:rPr>
                <w:rFonts w:cs="Arial"/>
                <w:lang w:val="en-GB"/>
              </w:rPr>
              <w:t>Hypertension</w:t>
            </w:r>
          </w:p>
        </w:tc>
        <w:tc>
          <w:tcPr>
            <w:tcW w:w="2755" w:type="dxa"/>
            <w:tcBorders>
              <w:top w:val="nil"/>
              <w:left w:val="single" w:sz="4" w:space="0" w:color="auto"/>
              <w:bottom w:val="single" w:sz="4" w:space="0" w:color="auto"/>
              <w:right w:val="single" w:sz="4" w:space="0" w:color="auto"/>
            </w:tcBorders>
            <w:noWrap/>
            <w:vAlign w:val="center"/>
          </w:tcPr>
          <w:p w14:paraId="23C066B2" w14:textId="212F2823" w:rsidR="00682115" w:rsidRPr="00E24C4B" w:rsidRDefault="00682115" w:rsidP="001007F0">
            <w:pPr>
              <w:spacing w:line="276" w:lineRule="auto"/>
              <w:jc w:val="center"/>
              <w:rPr>
                <w:rFonts w:eastAsia="Times New Roman" w:cs="Arial"/>
                <w:lang w:val="en-GB" w:eastAsia="it-IT"/>
              </w:rPr>
            </w:pPr>
            <w:r w:rsidRPr="00E24C4B">
              <w:rPr>
                <w:rFonts w:cs="Arial"/>
                <w:lang w:val="en-GB"/>
              </w:rPr>
              <w:t>10.81%</w:t>
            </w:r>
          </w:p>
        </w:tc>
        <w:tc>
          <w:tcPr>
            <w:tcW w:w="2409" w:type="dxa"/>
            <w:noWrap/>
          </w:tcPr>
          <w:p w14:paraId="09E6D6C5" w14:textId="75EA8042" w:rsidR="00682115" w:rsidRPr="00E24C4B" w:rsidRDefault="00682115" w:rsidP="001007F0">
            <w:pPr>
              <w:spacing w:line="276" w:lineRule="auto"/>
              <w:jc w:val="center"/>
              <w:rPr>
                <w:rFonts w:cs="Arial"/>
                <w:lang w:val="en-GB"/>
              </w:rPr>
            </w:pPr>
            <w:r w:rsidRPr="00E24C4B">
              <w:rPr>
                <w:rFonts w:cs="Arial"/>
                <w:lang w:val="en-GB"/>
              </w:rPr>
              <w:t>Beta</w:t>
            </w:r>
          </w:p>
        </w:tc>
        <w:tc>
          <w:tcPr>
            <w:tcW w:w="2410" w:type="dxa"/>
            <w:tcBorders>
              <w:top w:val="nil"/>
              <w:left w:val="single" w:sz="4" w:space="0" w:color="auto"/>
              <w:bottom w:val="single" w:sz="4" w:space="0" w:color="auto"/>
              <w:right w:val="single" w:sz="4" w:space="0" w:color="auto"/>
            </w:tcBorders>
            <w:vAlign w:val="center"/>
          </w:tcPr>
          <w:p w14:paraId="77C9EC8D" w14:textId="47C7FA25" w:rsidR="00682115" w:rsidRPr="00E24C4B" w:rsidRDefault="00682115" w:rsidP="001007F0">
            <w:pPr>
              <w:spacing w:line="276" w:lineRule="auto"/>
              <w:jc w:val="center"/>
              <w:rPr>
                <w:rFonts w:cs="Arial"/>
                <w:lang w:val="en-GB"/>
              </w:rPr>
            </w:pPr>
            <w:r w:rsidRPr="00E24C4B">
              <w:rPr>
                <w:rFonts w:cs="Arial"/>
                <w:lang w:val="en-GB"/>
              </w:rPr>
              <w:t>5.77% to 17.19%</w:t>
            </w:r>
          </w:p>
        </w:tc>
        <w:tc>
          <w:tcPr>
            <w:tcW w:w="2552" w:type="dxa"/>
            <w:noWrap/>
            <w:vAlign w:val="center"/>
          </w:tcPr>
          <w:p w14:paraId="1884C4C7" w14:textId="4E23E7FC" w:rsidR="00682115" w:rsidRPr="00E24C4B" w:rsidRDefault="00682115" w:rsidP="001007F0">
            <w:pPr>
              <w:spacing w:line="276" w:lineRule="auto"/>
              <w:rPr>
                <w:rFonts w:cs="Arial"/>
                <w:highlight w:val="yellow"/>
                <w:lang w:val="en-GB"/>
              </w:rPr>
            </w:pPr>
            <w:r w:rsidRPr="00E24C4B">
              <w:rPr>
                <w:rFonts w:eastAsia="Calibri" w:cs="Arial"/>
                <w:iCs/>
                <w:lang w:val="en-GB" w:eastAsia="it-IT" w:bidi="it-IT"/>
              </w:rPr>
              <w:t>ECOG-ACRIN E1910</w:t>
            </w:r>
            <w:r w:rsidR="00557AD1">
              <w:rPr>
                <w:rFonts w:eastAsia="Calibri" w:cs="Arial"/>
                <w:iCs/>
                <w:lang w:val="en-GB" w:eastAsia="it-IT" w:bidi="it-IT"/>
              </w:rPr>
              <w:t>*</w:t>
            </w:r>
          </w:p>
        </w:tc>
      </w:tr>
      <w:tr w:rsidR="00811425" w:rsidRPr="002E1D08" w14:paraId="732DA9B6" w14:textId="77777777" w:rsidTr="001D38A2">
        <w:trPr>
          <w:trHeight w:val="20"/>
        </w:trPr>
        <w:tc>
          <w:tcPr>
            <w:tcW w:w="4470" w:type="dxa"/>
            <w:noWrap/>
            <w:vAlign w:val="center"/>
          </w:tcPr>
          <w:p w14:paraId="621193B5" w14:textId="794A6B03" w:rsidR="00682115" w:rsidRPr="00E24C4B" w:rsidRDefault="00682115" w:rsidP="001007F0">
            <w:pPr>
              <w:spacing w:line="276" w:lineRule="auto"/>
              <w:rPr>
                <w:rFonts w:cs="Arial"/>
                <w:lang w:val="en-GB"/>
              </w:rPr>
            </w:pPr>
            <w:r w:rsidRPr="00E24C4B">
              <w:rPr>
                <w:rFonts w:cs="Arial"/>
                <w:lang w:val="en-GB"/>
              </w:rPr>
              <w:t>Hypertriglyceridaemia</w:t>
            </w:r>
          </w:p>
        </w:tc>
        <w:tc>
          <w:tcPr>
            <w:tcW w:w="2755" w:type="dxa"/>
            <w:tcBorders>
              <w:top w:val="nil"/>
              <w:left w:val="single" w:sz="4" w:space="0" w:color="auto"/>
              <w:bottom w:val="single" w:sz="4" w:space="0" w:color="auto"/>
              <w:right w:val="single" w:sz="4" w:space="0" w:color="auto"/>
            </w:tcBorders>
            <w:noWrap/>
            <w:vAlign w:val="center"/>
          </w:tcPr>
          <w:p w14:paraId="575C756C" w14:textId="513E9988" w:rsidR="00682115" w:rsidRPr="00E24C4B" w:rsidRDefault="00682115" w:rsidP="001007F0">
            <w:pPr>
              <w:spacing w:line="276" w:lineRule="auto"/>
              <w:jc w:val="center"/>
              <w:rPr>
                <w:rFonts w:eastAsia="Times New Roman" w:cs="Arial"/>
                <w:lang w:val="en-GB" w:eastAsia="it-IT"/>
              </w:rPr>
            </w:pPr>
            <w:r w:rsidRPr="00E24C4B">
              <w:rPr>
                <w:rFonts w:cs="Arial"/>
                <w:lang w:val="en-GB"/>
              </w:rPr>
              <w:t>3.60%</w:t>
            </w:r>
          </w:p>
        </w:tc>
        <w:tc>
          <w:tcPr>
            <w:tcW w:w="2409" w:type="dxa"/>
            <w:noWrap/>
          </w:tcPr>
          <w:p w14:paraId="6A8B99D2" w14:textId="40475532" w:rsidR="00682115" w:rsidRPr="00E24C4B" w:rsidRDefault="00682115" w:rsidP="001007F0">
            <w:pPr>
              <w:spacing w:line="276" w:lineRule="auto"/>
              <w:jc w:val="center"/>
              <w:rPr>
                <w:rFonts w:cs="Arial"/>
                <w:lang w:val="en-GB"/>
              </w:rPr>
            </w:pPr>
            <w:r w:rsidRPr="00E24C4B">
              <w:rPr>
                <w:rFonts w:cs="Arial"/>
                <w:lang w:val="en-GB"/>
              </w:rPr>
              <w:t>Beta</w:t>
            </w:r>
          </w:p>
        </w:tc>
        <w:tc>
          <w:tcPr>
            <w:tcW w:w="2410" w:type="dxa"/>
            <w:tcBorders>
              <w:top w:val="nil"/>
              <w:left w:val="single" w:sz="4" w:space="0" w:color="auto"/>
              <w:bottom w:val="single" w:sz="4" w:space="0" w:color="auto"/>
              <w:right w:val="single" w:sz="4" w:space="0" w:color="auto"/>
            </w:tcBorders>
            <w:vAlign w:val="center"/>
          </w:tcPr>
          <w:p w14:paraId="0898F6F1" w14:textId="48770BE8" w:rsidR="00682115" w:rsidRPr="00E24C4B" w:rsidRDefault="00682115" w:rsidP="001007F0">
            <w:pPr>
              <w:spacing w:line="276" w:lineRule="auto"/>
              <w:jc w:val="center"/>
              <w:rPr>
                <w:rFonts w:cs="Arial"/>
                <w:lang w:val="en-GB"/>
              </w:rPr>
            </w:pPr>
            <w:r w:rsidRPr="00E24C4B">
              <w:rPr>
                <w:rFonts w:cs="Arial"/>
                <w:lang w:val="en-GB"/>
              </w:rPr>
              <w:t>1.00% to 7.76%</w:t>
            </w:r>
          </w:p>
        </w:tc>
        <w:tc>
          <w:tcPr>
            <w:tcW w:w="2552" w:type="dxa"/>
            <w:noWrap/>
            <w:vAlign w:val="center"/>
          </w:tcPr>
          <w:p w14:paraId="6F46335F" w14:textId="5287950C" w:rsidR="00682115" w:rsidRPr="00E24C4B" w:rsidRDefault="00682115" w:rsidP="001007F0">
            <w:pPr>
              <w:spacing w:line="276" w:lineRule="auto"/>
              <w:rPr>
                <w:rFonts w:cs="Arial"/>
                <w:highlight w:val="yellow"/>
                <w:lang w:val="en-GB"/>
              </w:rPr>
            </w:pPr>
            <w:r w:rsidRPr="00E24C4B">
              <w:rPr>
                <w:rFonts w:eastAsia="Calibri" w:cs="Arial"/>
                <w:iCs/>
                <w:lang w:val="en-GB" w:eastAsia="it-IT" w:bidi="it-IT"/>
              </w:rPr>
              <w:t>ECOG-ACRIN E1910</w:t>
            </w:r>
            <w:r w:rsidR="00557AD1">
              <w:rPr>
                <w:rFonts w:eastAsia="Calibri" w:cs="Arial"/>
                <w:iCs/>
                <w:lang w:val="en-GB" w:eastAsia="it-IT" w:bidi="it-IT"/>
              </w:rPr>
              <w:t>*</w:t>
            </w:r>
          </w:p>
        </w:tc>
      </w:tr>
      <w:tr w:rsidR="00811425" w:rsidRPr="002E1D08" w14:paraId="66CA8E56" w14:textId="77777777" w:rsidTr="001D38A2">
        <w:trPr>
          <w:trHeight w:val="20"/>
        </w:trPr>
        <w:tc>
          <w:tcPr>
            <w:tcW w:w="4470" w:type="dxa"/>
            <w:noWrap/>
            <w:vAlign w:val="center"/>
          </w:tcPr>
          <w:p w14:paraId="2493904E" w14:textId="36F85B96" w:rsidR="00682115" w:rsidRPr="00E24C4B" w:rsidRDefault="00682115" w:rsidP="001007F0">
            <w:pPr>
              <w:spacing w:line="276" w:lineRule="auto"/>
              <w:rPr>
                <w:rFonts w:cs="Arial"/>
                <w:lang w:val="en-GB"/>
              </w:rPr>
            </w:pPr>
            <w:r w:rsidRPr="00E24C4B">
              <w:rPr>
                <w:rFonts w:cs="Arial"/>
                <w:lang w:val="en-GB"/>
              </w:rPr>
              <w:t>Hypotension</w:t>
            </w:r>
          </w:p>
        </w:tc>
        <w:tc>
          <w:tcPr>
            <w:tcW w:w="2755" w:type="dxa"/>
            <w:tcBorders>
              <w:top w:val="nil"/>
              <w:left w:val="single" w:sz="4" w:space="0" w:color="auto"/>
              <w:bottom w:val="single" w:sz="4" w:space="0" w:color="auto"/>
              <w:right w:val="single" w:sz="4" w:space="0" w:color="auto"/>
            </w:tcBorders>
            <w:noWrap/>
            <w:vAlign w:val="center"/>
          </w:tcPr>
          <w:p w14:paraId="4C13D408" w14:textId="0F30999A" w:rsidR="00682115" w:rsidRPr="00E24C4B" w:rsidRDefault="00682115" w:rsidP="001007F0">
            <w:pPr>
              <w:spacing w:line="276" w:lineRule="auto"/>
              <w:jc w:val="center"/>
              <w:rPr>
                <w:rFonts w:eastAsia="Times New Roman" w:cs="Arial"/>
                <w:lang w:val="en-GB" w:eastAsia="it-IT"/>
              </w:rPr>
            </w:pPr>
            <w:r w:rsidRPr="00E24C4B">
              <w:rPr>
                <w:rFonts w:cs="Arial"/>
                <w:lang w:val="en-GB"/>
              </w:rPr>
              <w:t>5.41%</w:t>
            </w:r>
          </w:p>
        </w:tc>
        <w:tc>
          <w:tcPr>
            <w:tcW w:w="2409" w:type="dxa"/>
            <w:noWrap/>
          </w:tcPr>
          <w:p w14:paraId="0F83282D" w14:textId="0B9C2454" w:rsidR="00682115" w:rsidRPr="00E24C4B" w:rsidRDefault="00682115" w:rsidP="001007F0">
            <w:pPr>
              <w:spacing w:line="276" w:lineRule="auto"/>
              <w:jc w:val="center"/>
              <w:rPr>
                <w:rFonts w:cs="Arial"/>
                <w:lang w:val="en-GB"/>
              </w:rPr>
            </w:pPr>
            <w:r w:rsidRPr="00E24C4B">
              <w:rPr>
                <w:rFonts w:cs="Arial"/>
                <w:lang w:val="en-GB"/>
              </w:rPr>
              <w:t>Beta</w:t>
            </w:r>
          </w:p>
        </w:tc>
        <w:tc>
          <w:tcPr>
            <w:tcW w:w="2410" w:type="dxa"/>
            <w:tcBorders>
              <w:top w:val="nil"/>
              <w:left w:val="single" w:sz="4" w:space="0" w:color="auto"/>
              <w:bottom w:val="single" w:sz="4" w:space="0" w:color="auto"/>
              <w:right w:val="single" w:sz="4" w:space="0" w:color="auto"/>
            </w:tcBorders>
            <w:vAlign w:val="center"/>
          </w:tcPr>
          <w:p w14:paraId="35A8F5DA" w14:textId="5F30B58D" w:rsidR="00682115" w:rsidRPr="00E24C4B" w:rsidRDefault="00682115" w:rsidP="001007F0">
            <w:pPr>
              <w:spacing w:line="276" w:lineRule="auto"/>
              <w:jc w:val="center"/>
              <w:rPr>
                <w:rFonts w:cs="Arial"/>
                <w:lang w:val="en-GB"/>
              </w:rPr>
            </w:pPr>
            <w:r w:rsidRPr="00E24C4B">
              <w:rPr>
                <w:rFonts w:cs="Arial"/>
                <w:lang w:val="en-GB"/>
              </w:rPr>
              <w:t>2.03% to 10.29%</w:t>
            </w:r>
          </w:p>
        </w:tc>
        <w:tc>
          <w:tcPr>
            <w:tcW w:w="2552" w:type="dxa"/>
            <w:noWrap/>
            <w:vAlign w:val="center"/>
          </w:tcPr>
          <w:p w14:paraId="2DEC8C2E" w14:textId="366DD9C8" w:rsidR="00682115" w:rsidRPr="00E24C4B" w:rsidRDefault="00682115" w:rsidP="001007F0">
            <w:pPr>
              <w:spacing w:line="276" w:lineRule="auto"/>
              <w:rPr>
                <w:rFonts w:cs="Arial"/>
                <w:highlight w:val="yellow"/>
                <w:lang w:val="en-GB"/>
              </w:rPr>
            </w:pPr>
            <w:r w:rsidRPr="00E24C4B">
              <w:rPr>
                <w:rFonts w:eastAsia="Calibri" w:cs="Arial"/>
                <w:iCs/>
                <w:lang w:val="en-GB" w:eastAsia="it-IT" w:bidi="it-IT"/>
              </w:rPr>
              <w:t>ECOG-ACRIN E1910</w:t>
            </w:r>
            <w:r w:rsidR="00557AD1">
              <w:rPr>
                <w:rFonts w:eastAsia="Calibri" w:cs="Arial"/>
                <w:iCs/>
                <w:lang w:val="en-GB" w:eastAsia="it-IT" w:bidi="it-IT"/>
              </w:rPr>
              <w:t>*</w:t>
            </w:r>
          </w:p>
        </w:tc>
      </w:tr>
      <w:tr w:rsidR="00811425" w:rsidRPr="002E1D08" w14:paraId="74CA5FE2" w14:textId="77777777" w:rsidTr="001D38A2">
        <w:trPr>
          <w:trHeight w:val="20"/>
        </w:trPr>
        <w:tc>
          <w:tcPr>
            <w:tcW w:w="4470" w:type="dxa"/>
            <w:noWrap/>
            <w:vAlign w:val="center"/>
          </w:tcPr>
          <w:p w14:paraId="6135712C" w14:textId="70DE48F4" w:rsidR="00682115" w:rsidRPr="00E24C4B" w:rsidRDefault="00682115" w:rsidP="001007F0">
            <w:pPr>
              <w:spacing w:line="276" w:lineRule="auto"/>
              <w:rPr>
                <w:rFonts w:cs="Arial"/>
                <w:lang w:val="en-GB"/>
              </w:rPr>
            </w:pPr>
            <w:r w:rsidRPr="00E24C4B">
              <w:rPr>
                <w:rFonts w:cs="Arial"/>
                <w:lang w:val="en-GB"/>
              </w:rPr>
              <w:t>Lymphocyte count decreased</w:t>
            </w:r>
          </w:p>
        </w:tc>
        <w:tc>
          <w:tcPr>
            <w:tcW w:w="2755" w:type="dxa"/>
            <w:tcBorders>
              <w:top w:val="nil"/>
              <w:left w:val="single" w:sz="4" w:space="0" w:color="auto"/>
              <w:bottom w:val="single" w:sz="4" w:space="0" w:color="auto"/>
              <w:right w:val="single" w:sz="4" w:space="0" w:color="auto"/>
            </w:tcBorders>
            <w:noWrap/>
            <w:vAlign w:val="center"/>
          </w:tcPr>
          <w:p w14:paraId="5A439B38" w14:textId="3D3BFBF7" w:rsidR="00682115" w:rsidRPr="00E24C4B" w:rsidRDefault="00682115" w:rsidP="001007F0">
            <w:pPr>
              <w:spacing w:line="276" w:lineRule="auto"/>
              <w:jc w:val="center"/>
              <w:rPr>
                <w:rFonts w:eastAsia="Times New Roman" w:cs="Arial"/>
                <w:lang w:val="en-GB" w:eastAsia="it-IT"/>
              </w:rPr>
            </w:pPr>
            <w:r w:rsidRPr="00E24C4B">
              <w:rPr>
                <w:rFonts w:cs="Arial"/>
                <w:lang w:val="en-GB"/>
              </w:rPr>
              <w:t>34.23%</w:t>
            </w:r>
          </w:p>
        </w:tc>
        <w:tc>
          <w:tcPr>
            <w:tcW w:w="2409" w:type="dxa"/>
            <w:noWrap/>
          </w:tcPr>
          <w:p w14:paraId="0A20AC1B" w14:textId="002A50BC" w:rsidR="00682115" w:rsidRPr="00E24C4B" w:rsidRDefault="00682115" w:rsidP="001007F0">
            <w:pPr>
              <w:spacing w:line="276" w:lineRule="auto"/>
              <w:jc w:val="center"/>
              <w:rPr>
                <w:rFonts w:cs="Arial"/>
                <w:lang w:val="en-GB"/>
              </w:rPr>
            </w:pPr>
            <w:r w:rsidRPr="00E24C4B">
              <w:rPr>
                <w:rFonts w:cs="Arial"/>
                <w:lang w:val="en-GB"/>
              </w:rPr>
              <w:t>Beta</w:t>
            </w:r>
          </w:p>
        </w:tc>
        <w:tc>
          <w:tcPr>
            <w:tcW w:w="2410" w:type="dxa"/>
            <w:tcBorders>
              <w:top w:val="nil"/>
              <w:left w:val="single" w:sz="4" w:space="0" w:color="auto"/>
              <w:bottom w:val="single" w:sz="4" w:space="0" w:color="auto"/>
              <w:right w:val="single" w:sz="4" w:space="0" w:color="auto"/>
            </w:tcBorders>
            <w:vAlign w:val="center"/>
          </w:tcPr>
          <w:p w14:paraId="22774A92" w14:textId="57517AD0" w:rsidR="00682115" w:rsidRPr="00E24C4B" w:rsidRDefault="00682115" w:rsidP="001007F0">
            <w:pPr>
              <w:spacing w:line="276" w:lineRule="auto"/>
              <w:jc w:val="center"/>
              <w:rPr>
                <w:rFonts w:cs="Arial"/>
                <w:lang w:val="en-GB"/>
              </w:rPr>
            </w:pPr>
            <w:r w:rsidRPr="00E24C4B">
              <w:rPr>
                <w:rFonts w:cs="Arial"/>
                <w:lang w:val="en-GB"/>
              </w:rPr>
              <w:t>25.74% to 43.27%</w:t>
            </w:r>
          </w:p>
        </w:tc>
        <w:tc>
          <w:tcPr>
            <w:tcW w:w="2552" w:type="dxa"/>
            <w:noWrap/>
            <w:vAlign w:val="center"/>
          </w:tcPr>
          <w:p w14:paraId="557496CF" w14:textId="2F48A121" w:rsidR="00682115" w:rsidRPr="00E24C4B" w:rsidRDefault="00682115" w:rsidP="001007F0">
            <w:pPr>
              <w:spacing w:line="276" w:lineRule="auto"/>
              <w:rPr>
                <w:rFonts w:cs="Arial"/>
                <w:highlight w:val="yellow"/>
                <w:lang w:val="en-GB"/>
              </w:rPr>
            </w:pPr>
            <w:r w:rsidRPr="00E24C4B">
              <w:rPr>
                <w:rFonts w:eastAsia="Calibri" w:cs="Arial"/>
                <w:iCs/>
                <w:lang w:val="en-GB" w:eastAsia="it-IT" w:bidi="it-IT"/>
              </w:rPr>
              <w:t>ECOG-ACRIN E1910</w:t>
            </w:r>
            <w:r w:rsidR="00557AD1">
              <w:rPr>
                <w:rFonts w:eastAsia="Calibri" w:cs="Arial"/>
                <w:iCs/>
                <w:lang w:val="en-GB" w:eastAsia="it-IT" w:bidi="it-IT"/>
              </w:rPr>
              <w:t>*</w:t>
            </w:r>
          </w:p>
        </w:tc>
      </w:tr>
      <w:tr w:rsidR="00811425" w:rsidRPr="002E1D08" w14:paraId="23E64C74" w14:textId="77777777" w:rsidTr="001D38A2">
        <w:trPr>
          <w:trHeight w:val="20"/>
        </w:trPr>
        <w:tc>
          <w:tcPr>
            <w:tcW w:w="4470" w:type="dxa"/>
            <w:noWrap/>
            <w:vAlign w:val="center"/>
          </w:tcPr>
          <w:p w14:paraId="2E2D77B9" w14:textId="1AA1B313" w:rsidR="00682115" w:rsidRPr="00E24C4B" w:rsidRDefault="00682115" w:rsidP="001007F0">
            <w:pPr>
              <w:spacing w:line="276" w:lineRule="auto"/>
              <w:rPr>
                <w:rFonts w:cs="Arial"/>
                <w:lang w:val="en-GB"/>
              </w:rPr>
            </w:pPr>
            <w:r w:rsidRPr="00E24C4B">
              <w:rPr>
                <w:rFonts w:cs="Arial"/>
                <w:lang w:val="en-GB"/>
              </w:rPr>
              <w:t>Nausea</w:t>
            </w:r>
          </w:p>
        </w:tc>
        <w:tc>
          <w:tcPr>
            <w:tcW w:w="2755" w:type="dxa"/>
            <w:tcBorders>
              <w:top w:val="nil"/>
              <w:left w:val="single" w:sz="4" w:space="0" w:color="auto"/>
              <w:bottom w:val="single" w:sz="4" w:space="0" w:color="auto"/>
              <w:right w:val="single" w:sz="4" w:space="0" w:color="auto"/>
            </w:tcBorders>
            <w:noWrap/>
            <w:vAlign w:val="center"/>
          </w:tcPr>
          <w:p w14:paraId="2156BF5D" w14:textId="03F97447" w:rsidR="00682115" w:rsidRPr="00E24C4B" w:rsidRDefault="00682115" w:rsidP="001007F0">
            <w:pPr>
              <w:spacing w:line="276" w:lineRule="auto"/>
              <w:jc w:val="center"/>
              <w:rPr>
                <w:rFonts w:eastAsia="Times New Roman" w:cs="Arial"/>
                <w:lang w:val="en-GB" w:eastAsia="it-IT"/>
              </w:rPr>
            </w:pPr>
            <w:r w:rsidRPr="00E24C4B">
              <w:rPr>
                <w:rFonts w:cs="Arial"/>
                <w:lang w:val="en-GB"/>
              </w:rPr>
              <w:t>5.41%</w:t>
            </w:r>
          </w:p>
        </w:tc>
        <w:tc>
          <w:tcPr>
            <w:tcW w:w="2409" w:type="dxa"/>
            <w:noWrap/>
          </w:tcPr>
          <w:p w14:paraId="22261DBA" w14:textId="7267E1D5" w:rsidR="00682115" w:rsidRPr="00E24C4B" w:rsidRDefault="00682115" w:rsidP="001007F0">
            <w:pPr>
              <w:spacing w:line="276" w:lineRule="auto"/>
              <w:jc w:val="center"/>
              <w:rPr>
                <w:rFonts w:cs="Arial"/>
                <w:lang w:val="en-GB"/>
              </w:rPr>
            </w:pPr>
            <w:r w:rsidRPr="00E24C4B">
              <w:rPr>
                <w:rFonts w:cs="Arial"/>
                <w:lang w:val="en-GB"/>
              </w:rPr>
              <w:t>Beta</w:t>
            </w:r>
          </w:p>
        </w:tc>
        <w:tc>
          <w:tcPr>
            <w:tcW w:w="2410" w:type="dxa"/>
            <w:tcBorders>
              <w:top w:val="nil"/>
              <w:left w:val="single" w:sz="4" w:space="0" w:color="auto"/>
              <w:bottom w:val="single" w:sz="4" w:space="0" w:color="auto"/>
              <w:right w:val="single" w:sz="4" w:space="0" w:color="auto"/>
            </w:tcBorders>
            <w:vAlign w:val="center"/>
          </w:tcPr>
          <w:p w14:paraId="2B4F3A18" w14:textId="557C1D75" w:rsidR="00682115" w:rsidRPr="00E24C4B" w:rsidRDefault="00682115" w:rsidP="001007F0">
            <w:pPr>
              <w:spacing w:line="276" w:lineRule="auto"/>
              <w:jc w:val="center"/>
              <w:rPr>
                <w:rFonts w:cs="Arial"/>
                <w:lang w:val="en-GB"/>
              </w:rPr>
            </w:pPr>
            <w:r w:rsidRPr="00E24C4B">
              <w:rPr>
                <w:rFonts w:cs="Arial"/>
                <w:lang w:val="en-GB"/>
              </w:rPr>
              <w:t>2.03% to 10.29%</w:t>
            </w:r>
          </w:p>
        </w:tc>
        <w:tc>
          <w:tcPr>
            <w:tcW w:w="2552" w:type="dxa"/>
            <w:noWrap/>
            <w:vAlign w:val="center"/>
          </w:tcPr>
          <w:p w14:paraId="1974762D" w14:textId="105A2FCE" w:rsidR="00682115" w:rsidRPr="00E24C4B" w:rsidRDefault="00682115" w:rsidP="001007F0">
            <w:pPr>
              <w:spacing w:line="276" w:lineRule="auto"/>
              <w:rPr>
                <w:rFonts w:cs="Arial"/>
                <w:highlight w:val="yellow"/>
                <w:lang w:val="en-GB"/>
              </w:rPr>
            </w:pPr>
            <w:r w:rsidRPr="00E24C4B">
              <w:rPr>
                <w:rFonts w:eastAsia="Calibri" w:cs="Arial"/>
                <w:iCs/>
                <w:lang w:val="en-GB" w:eastAsia="it-IT" w:bidi="it-IT"/>
              </w:rPr>
              <w:t>ECOG-ACRIN E1910</w:t>
            </w:r>
            <w:r w:rsidR="00557AD1">
              <w:rPr>
                <w:rFonts w:eastAsia="Calibri" w:cs="Arial"/>
                <w:iCs/>
                <w:lang w:val="en-GB" w:eastAsia="it-IT" w:bidi="it-IT"/>
              </w:rPr>
              <w:t>*</w:t>
            </w:r>
          </w:p>
        </w:tc>
      </w:tr>
      <w:tr w:rsidR="00811425" w:rsidRPr="002E1D08" w14:paraId="3229618C" w14:textId="77777777" w:rsidTr="001D38A2">
        <w:trPr>
          <w:trHeight w:val="20"/>
        </w:trPr>
        <w:tc>
          <w:tcPr>
            <w:tcW w:w="4470" w:type="dxa"/>
            <w:noWrap/>
            <w:vAlign w:val="center"/>
          </w:tcPr>
          <w:p w14:paraId="214CABD2" w14:textId="485FB240" w:rsidR="00682115" w:rsidRPr="00E24C4B" w:rsidRDefault="00682115" w:rsidP="001007F0">
            <w:pPr>
              <w:spacing w:line="276" w:lineRule="auto"/>
              <w:rPr>
                <w:rFonts w:cs="Arial"/>
                <w:lang w:val="en-GB"/>
              </w:rPr>
            </w:pPr>
            <w:r w:rsidRPr="00E24C4B">
              <w:rPr>
                <w:rFonts w:cs="Arial"/>
                <w:lang w:val="en-GB"/>
              </w:rPr>
              <w:t>Neutrophil count decreased</w:t>
            </w:r>
          </w:p>
        </w:tc>
        <w:tc>
          <w:tcPr>
            <w:tcW w:w="2755" w:type="dxa"/>
            <w:tcBorders>
              <w:top w:val="nil"/>
              <w:left w:val="single" w:sz="4" w:space="0" w:color="auto"/>
              <w:bottom w:val="single" w:sz="4" w:space="0" w:color="auto"/>
              <w:right w:val="single" w:sz="4" w:space="0" w:color="auto"/>
            </w:tcBorders>
            <w:noWrap/>
            <w:vAlign w:val="center"/>
          </w:tcPr>
          <w:p w14:paraId="1568581B" w14:textId="3CBA11BC" w:rsidR="00682115" w:rsidRPr="00E24C4B" w:rsidRDefault="00682115" w:rsidP="001007F0">
            <w:pPr>
              <w:spacing w:line="276" w:lineRule="auto"/>
              <w:jc w:val="center"/>
              <w:rPr>
                <w:rFonts w:eastAsia="Times New Roman" w:cs="Arial"/>
                <w:lang w:val="en-GB" w:eastAsia="it-IT"/>
              </w:rPr>
            </w:pPr>
            <w:r w:rsidRPr="00E24C4B">
              <w:rPr>
                <w:rFonts w:cs="Arial"/>
                <w:lang w:val="en-GB"/>
              </w:rPr>
              <w:t>87.39%</w:t>
            </w:r>
          </w:p>
        </w:tc>
        <w:tc>
          <w:tcPr>
            <w:tcW w:w="2409" w:type="dxa"/>
            <w:noWrap/>
          </w:tcPr>
          <w:p w14:paraId="6D1B954D" w14:textId="164FA8A9" w:rsidR="00682115" w:rsidRPr="00E24C4B" w:rsidRDefault="00682115" w:rsidP="001007F0">
            <w:pPr>
              <w:spacing w:line="276" w:lineRule="auto"/>
              <w:jc w:val="center"/>
              <w:rPr>
                <w:rFonts w:cs="Arial"/>
                <w:lang w:val="en-GB"/>
              </w:rPr>
            </w:pPr>
            <w:r w:rsidRPr="00E24C4B">
              <w:rPr>
                <w:rFonts w:cs="Arial"/>
                <w:lang w:val="en-GB"/>
              </w:rPr>
              <w:t>Beta</w:t>
            </w:r>
          </w:p>
        </w:tc>
        <w:tc>
          <w:tcPr>
            <w:tcW w:w="2410" w:type="dxa"/>
            <w:tcBorders>
              <w:top w:val="nil"/>
              <w:left w:val="single" w:sz="4" w:space="0" w:color="auto"/>
              <w:bottom w:val="single" w:sz="4" w:space="0" w:color="auto"/>
              <w:right w:val="single" w:sz="4" w:space="0" w:color="auto"/>
            </w:tcBorders>
            <w:vAlign w:val="center"/>
          </w:tcPr>
          <w:p w14:paraId="563B9585" w14:textId="4A59E1F5" w:rsidR="00682115" w:rsidRPr="00E24C4B" w:rsidRDefault="00682115" w:rsidP="001007F0">
            <w:pPr>
              <w:spacing w:line="276" w:lineRule="auto"/>
              <w:jc w:val="center"/>
              <w:rPr>
                <w:rFonts w:cs="Arial"/>
                <w:lang w:val="en-GB"/>
              </w:rPr>
            </w:pPr>
            <w:r w:rsidRPr="00E24C4B">
              <w:rPr>
                <w:rFonts w:cs="Arial"/>
                <w:lang w:val="en-GB"/>
              </w:rPr>
              <w:t>80.64% to 92.86%</w:t>
            </w:r>
          </w:p>
        </w:tc>
        <w:tc>
          <w:tcPr>
            <w:tcW w:w="2552" w:type="dxa"/>
            <w:noWrap/>
            <w:vAlign w:val="center"/>
          </w:tcPr>
          <w:p w14:paraId="46E3F48B" w14:textId="6EE8A9E1" w:rsidR="00682115" w:rsidRPr="00E24C4B" w:rsidRDefault="00682115" w:rsidP="001007F0">
            <w:pPr>
              <w:spacing w:line="276" w:lineRule="auto"/>
              <w:rPr>
                <w:rFonts w:cs="Arial"/>
                <w:highlight w:val="yellow"/>
                <w:lang w:val="en-GB"/>
              </w:rPr>
            </w:pPr>
            <w:r w:rsidRPr="00E24C4B">
              <w:rPr>
                <w:rFonts w:eastAsia="Calibri" w:cs="Arial"/>
                <w:iCs/>
                <w:lang w:val="en-GB" w:eastAsia="it-IT" w:bidi="it-IT"/>
              </w:rPr>
              <w:t>ECOG-ACRIN E1910</w:t>
            </w:r>
            <w:r w:rsidR="00557AD1">
              <w:rPr>
                <w:rFonts w:eastAsia="Calibri" w:cs="Arial"/>
                <w:iCs/>
                <w:lang w:val="en-GB" w:eastAsia="it-IT" w:bidi="it-IT"/>
              </w:rPr>
              <w:t>*</w:t>
            </w:r>
          </w:p>
        </w:tc>
      </w:tr>
      <w:tr w:rsidR="00811425" w:rsidRPr="002E1D08" w14:paraId="718D30D5" w14:textId="77777777" w:rsidTr="001D38A2">
        <w:trPr>
          <w:trHeight w:val="20"/>
        </w:trPr>
        <w:tc>
          <w:tcPr>
            <w:tcW w:w="4470" w:type="dxa"/>
            <w:noWrap/>
            <w:vAlign w:val="center"/>
          </w:tcPr>
          <w:p w14:paraId="44897E5E" w14:textId="1A460CA1" w:rsidR="00682115" w:rsidRPr="00E24C4B" w:rsidRDefault="00682115" w:rsidP="001007F0">
            <w:pPr>
              <w:spacing w:line="276" w:lineRule="auto"/>
              <w:rPr>
                <w:rFonts w:cs="Arial"/>
                <w:lang w:val="en-GB"/>
              </w:rPr>
            </w:pPr>
            <w:r w:rsidRPr="00E24C4B">
              <w:rPr>
                <w:rFonts w:cs="Arial"/>
                <w:lang w:val="en-GB"/>
              </w:rPr>
              <w:t>Platelet count decreased</w:t>
            </w:r>
          </w:p>
        </w:tc>
        <w:tc>
          <w:tcPr>
            <w:tcW w:w="2755" w:type="dxa"/>
            <w:tcBorders>
              <w:top w:val="nil"/>
              <w:left w:val="single" w:sz="4" w:space="0" w:color="auto"/>
              <w:bottom w:val="single" w:sz="4" w:space="0" w:color="auto"/>
              <w:right w:val="single" w:sz="4" w:space="0" w:color="auto"/>
            </w:tcBorders>
            <w:noWrap/>
            <w:vAlign w:val="center"/>
          </w:tcPr>
          <w:p w14:paraId="69C1AF18" w14:textId="49179331" w:rsidR="00682115" w:rsidRPr="00E24C4B" w:rsidRDefault="00682115" w:rsidP="001007F0">
            <w:pPr>
              <w:spacing w:line="276" w:lineRule="auto"/>
              <w:jc w:val="center"/>
              <w:rPr>
                <w:rFonts w:eastAsia="Times New Roman" w:cs="Arial"/>
                <w:lang w:val="en-GB" w:eastAsia="it-IT"/>
              </w:rPr>
            </w:pPr>
            <w:r w:rsidRPr="00E24C4B">
              <w:rPr>
                <w:rFonts w:cs="Arial"/>
                <w:lang w:val="en-GB"/>
              </w:rPr>
              <w:t>70.27%</w:t>
            </w:r>
          </w:p>
        </w:tc>
        <w:tc>
          <w:tcPr>
            <w:tcW w:w="2409" w:type="dxa"/>
            <w:noWrap/>
          </w:tcPr>
          <w:p w14:paraId="79BD2B93" w14:textId="09061C10" w:rsidR="00682115" w:rsidRPr="00E24C4B" w:rsidRDefault="00682115" w:rsidP="001007F0">
            <w:pPr>
              <w:spacing w:line="276" w:lineRule="auto"/>
              <w:jc w:val="center"/>
              <w:rPr>
                <w:rFonts w:cs="Arial"/>
                <w:lang w:val="en-GB"/>
              </w:rPr>
            </w:pPr>
            <w:r w:rsidRPr="00E24C4B">
              <w:rPr>
                <w:rFonts w:cs="Arial"/>
                <w:lang w:val="en-GB"/>
              </w:rPr>
              <w:t>Beta</w:t>
            </w:r>
          </w:p>
        </w:tc>
        <w:tc>
          <w:tcPr>
            <w:tcW w:w="2410" w:type="dxa"/>
            <w:tcBorders>
              <w:top w:val="nil"/>
              <w:left w:val="single" w:sz="4" w:space="0" w:color="auto"/>
              <w:bottom w:val="single" w:sz="4" w:space="0" w:color="auto"/>
              <w:right w:val="single" w:sz="4" w:space="0" w:color="auto"/>
            </w:tcBorders>
            <w:vAlign w:val="center"/>
          </w:tcPr>
          <w:p w14:paraId="693D9EE3" w14:textId="45218789" w:rsidR="00682115" w:rsidRPr="00E24C4B" w:rsidRDefault="00682115" w:rsidP="001007F0">
            <w:pPr>
              <w:spacing w:line="276" w:lineRule="auto"/>
              <w:jc w:val="center"/>
              <w:rPr>
                <w:rFonts w:cs="Arial"/>
                <w:lang w:val="en-GB"/>
              </w:rPr>
            </w:pPr>
            <w:r w:rsidRPr="00E24C4B">
              <w:rPr>
                <w:rFonts w:cs="Arial"/>
                <w:lang w:val="en-GB"/>
              </w:rPr>
              <w:t>61.48% to 78.37%</w:t>
            </w:r>
          </w:p>
        </w:tc>
        <w:tc>
          <w:tcPr>
            <w:tcW w:w="2552" w:type="dxa"/>
            <w:noWrap/>
            <w:vAlign w:val="center"/>
          </w:tcPr>
          <w:p w14:paraId="7C05474C" w14:textId="6ECA17D8" w:rsidR="00682115" w:rsidRPr="00E24C4B" w:rsidRDefault="00682115" w:rsidP="001007F0">
            <w:pPr>
              <w:spacing w:line="276" w:lineRule="auto"/>
              <w:rPr>
                <w:rFonts w:cs="Arial"/>
                <w:highlight w:val="yellow"/>
                <w:lang w:val="en-GB"/>
              </w:rPr>
            </w:pPr>
            <w:r w:rsidRPr="00E24C4B">
              <w:rPr>
                <w:rFonts w:eastAsia="Calibri" w:cs="Arial"/>
                <w:iCs/>
                <w:lang w:val="en-GB" w:eastAsia="it-IT" w:bidi="it-IT"/>
              </w:rPr>
              <w:t>ECOG-ACRIN E1910</w:t>
            </w:r>
            <w:r w:rsidR="00557AD1">
              <w:rPr>
                <w:rFonts w:eastAsia="Calibri" w:cs="Arial"/>
                <w:iCs/>
                <w:lang w:val="en-GB" w:eastAsia="it-IT" w:bidi="it-IT"/>
              </w:rPr>
              <w:t>*</w:t>
            </w:r>
          </w:p>
        </w:tc>
      </w:tr>
      <w:tr w:rsidR="00811425" w:rsidRPr="002E1D08" w14:paraId="3F9C4D0A" w14:textId="77777777" w:rsidTr="001D38A2">
        <w:trPr>
          <w:trHeight w:val="20"/>
        </w:trPr>
        <w:tc>
          <w:tcPr>
            <w:tcW w:w="4470" w:type="dxa"/>
            <w:noWrap/>
            <w:vAlign w:val="center"/>
          </w:tcPr>
          <w:p w14:paraId="27BFB967" w14:textId="0C5F4BFE" w:rsidR="00682115" w:rsidRPr="00E24C4B" w:rsidRDefault="00682115" w:rsidP="001007F0">
            <w:pPr>
              <w:spacing w:line="276" w:lineRule="auto"/>
              <w:rPr>
                <w:rFonts w:cs="Arial"/>
                <w:lang w:val="en-GB"/>
              </w:rPr>
            </w:pPr>
            <w:r w:rsidRPr="00E24C4B">
              <w:rPr>
                <w:rFonts w:cs="Arial"/>
                <w:lang w:val="en-GB"/>
              </w:rPr>
              <w:t>Sepsis</w:t>
            </w:r>
          </w:p>
        </w:tc>
        <w:tc>
          <w:tcPr>
            <w:tcW w:w="2755" w:type="dxa"/>
            <w:tcBorders>
              <w:top w:val="nil"/>
              <w:left w:val="single" w:sz="4" w:space="0" w:color="auto"/>
              <w:bottom w:val="single" w:sz="4" w:space="0" w:color="auto"/>
              <w:right w:val="single" w:sz="4" w:space="0" w:color="auto"/>
            </w:tcBorders>
            <w:noWrap/>
            <w:vAlign w:val="center"/>
          </w:tcPr>
          <w:p w14:paraId="013860D0" w14:textId="694637B0" w:rsidR="00682115" w:rsidRPr="00E24C4B" w:rsidRDefault="00682115" w:rsidP="001007F0">
            <w:pPr>
              <w:spacing w:line="276" w:lineRule="auto"/>
              <w:jc w:val="center"/>
              <w:rPr>
                <w:rFonts w:eastAsia="Times New Roman" w:cs="Arial"/>
                <w:lang w:val="en-GB" w:eastAsia="it-IT"/>
              </w:rPr>
            </w:pPr>
            <w:r w:rsidRPr="00E24C4B">
              <w:rPr>
                <w:rFonts w:cs="Arial"/>
                <w:lang w:val="en-GB"/>
              </w:rPr>
              <w:t>13.51%</w:t>
            </w:r>
          </w:p>
        </w:tc>
        <w:tc>
          <w:tcPr>
            <w:tcW w:w="2409" w:type="dxa"/>
            <w:noWrap/>
          </w:tcPr>
          <w:p w14:paraId="338BD9AA" w14:textId="4A6F3BEC" w:rsidR="00682115" w:rsidRPr="00E24C4B" w:rsidRDefault="00682115" w:rsidP="001007F0">
            <w:pPr>
              <w:spacing w:line="276" w:lineRule="auto"/>
              <w:jc w:val="center"/>
              <w:rPr>
                <w:rFonts w:cs="Arial"/>
                <w:lang w:val="en-GB"/>
              </w:rPr>
            </w:pPr>
            <w:r w:rsidRPr="00E24C4B">
              <w:rPr>
                <w:rFonts w:cs="Arial"/>
                <w:lang w:val="en-GB"/>
              </w:rPr>
              <w:t>Beta</w:t>
            </w:r>
          </w:p>
        </w:tc>
        <w:tc>
          <w:tcPr>
            <w:tcW w:w="2410" w:type="dxa"/>
            <w:tcBorders>
              <w:top w:val="nil"/>
              <w:left w:val="single" w:sz="4" w:space="0" w:color="auto"/>
              <w:bottom w:val="single" w:sz="4" w:space="0" w:color="auto"/>
              <w:right w:val="single" w:sz="4" w:space="0" w:color="auto"/>
            </w:tcBorders>
            <w:vAlign w:val="center"/>
          </w:tcPr>
          <w:p w14:paraId="172A2EBE" w14:textId="4662BD46" w:rsidR="00682115" w:rsidRPr="00E24C4B" w:rsidRDefault="00682115" w:rsidP="001007F0">
            <w:pPr>
              <w:spacing w:line="276" w:lineRule="auto"/>
              <w:jc w:val="center"/>
              <w:rPr>
                <w:rFonts w:cs="Arial"/>
                <w:lang w:val="en-GB"/>
              </w:rPr>
            </w:pPr>
            <w:r w:rsidRPr="00E24C4B">
              <w:rPr>
                <w:rFonts w:cs="Arial"/>
                <w:lang w:val="en-GB"/>
              </w:rPr>
              <w:t>7.84% to 20.43%</w:t>
            </w:r>
          </w:p>
        </w:tc>
        <w:tc>
          <w:tcPr>
            <w:tcW w:w="2552" w:type="dxa"/>
            <w:noWrap/>
            <w:vAlign w:val="center"/>
          </w:tcPr>
          <w:p w14:paraId="484FFCA6" w14:textId="5A01A417" w:rsidR="00682115" w:rsidRPr="00E24C4B" w:rsidRDefault="00682115" w:rsidP="001007F0">
            <w:pPr>
              <w:spacing w:line="276" w:lineRule="auto"/>
              <w:rPr>
                <w:rFonts w:cs="Arial"/>
                <w:highlight w:val="yellow"/>
                <w:lang w:val="en-GB"/>
              </w:rPr>
            </w:pPr>
            <w:r w:rsidRPr="00E24C4B">
              <w:rPr>
                <w:rFonts w:eastAsia="Calibri" w:cs="Arial"/>
                <w:iCs/>
                <w:lang w:val="en-GB" w:eastAsia="it-IT" w:bidi="it-IT"/>
              </w:rPr>
              <w:t>ECOG-ACRIN E1910</w:t>
            </w:r>
            <w:r w:rsidR="00557AD1">
              <w:rPr>
                <w:rFonts w:eastAsia="Calibri" w:cs="Arial"/>
                <w:iCs/>
                <w:lang w:val="en-GB" w:eastAsia="it-IT" w:bidi="it-IT"/>
              </w:rPr>
              <w:t>*</w:t>
            </w:r>
          </w:p>
        </w:tc>
      </w:tr>
      <w:tr w:rsidR="00811425" w:rsidRPr="002E1D08" w14:paraId="62648916" w14:textId="77777777" w:rsidTr="001D38A2">
        <w:trPr>
          <w:trHeight w:val="20"/>
        </w:trPr>
        <w:tc>
          <w:tcPr>
            <w:tcW w:w="4470" w:type="dxa"/>
            <w:noWrap/>
            <w:vAlign w:val="center"/>
          </w:tcPr>
          <w:p w14:paraId="4C121C55" w14:textId="3EF2F809" w:rsidR="00682115" w:rsidRPr="00E24C4B" w:rsidRDefault="00682115" w:rsidP="001007F0">
            <w:pPr>
              <w:spacing w:line="276" w:lineRule="auto"/>
              <w:rPr>
                <w:rFonts w:cs="Arial"/>
                <w:lang w:val="en-GB"/>
              </w:rPr>
            </w:pPr>
            <w:r w:rsidRPr="00E24C4B">
              <w:rPr>
                <w:rFonts w:cs="Arial"/>
                <w:lang w:val="en-GB"/>
              </w:rPr>
              <w:lastRenderedPageBreak/>
              <w:t>White blood cell count decreased</w:t>
            </w:r>
          </w:p>
        </w:tc>
        <w:tc>
          <w:tcPr>
            <w:tcW w:w="2755" w:type="dxa"/>
            <w:tcBorders>
              <w:top w:val="nil"/>
              <w:left w:val="single" w:sz="4" w:space="0" w:color="auto"/>
              <w:bottom w:val="single" w:sz="4" w:space="0" w:color="auto"/>
              <w:right w:val="single" w:sz="4" w:space="0" w:color="auto"/>
            </w:tcBorders>
            <w:noWrap/>
            <w:vAlign w:val="center"/>
          </w:tcPr>
          <w:p w14:paraId="6DD5C87C" w14:textId="54BBCF85" w:rsidR="00682115" w:rsidRPr="00E24C4B" w:rsidRDefault="00682115" w:rsidP="001007F0">
            <w:pPr>
              <w:spacing w:line="276" w:lineRule="auto"/>
              <w:jc w:val="center"/>
              <w:rPr>
                <w:rFonts w:eastAsia="Times New Roman" w:cs="Arial"/>
                <w:lang w:val="en-GB" w:eastAsia="it-IT"/>
              </w:rPr>
            </w:pPr>
            <w:r w:rsidRPr="00E24C4B">
              <w:rPr>
                <w:rFonts w:cs="Arial"/>
                <w:lang w:val="en-GB"/>
              </w:rPr>
              <w:t>54.05%</w:t>
            </w:r>
          </w:p>
        </w:tc>
        <w:tc>
          <w:tcPr>
            <w:tcW w:w="2409" w:type="dxa"/>
            <w:noWrap/>
          </w:tcPr>
          <w:p w14:paraId="6DE220FF" w14:textId="285AA9B9" w:rsidR="00682115" w:rsidRPr="00E24C4B" w:rsidRDefault="00682115" w:rsidP="001007F0">
            <w:pPr>
              <w:spacing w:line="276" w:lineRule="auto"/>
              <w:jc w:val="center"/>
              <w:rPr>
                <w:rFonts w:cs="Arial"/>
                <w:lang w:val="en-GB"/>
              </w:rPr>
            </w:pPr>
            <w:r w:rsidRPr="00E24C4B">
              <w:rPr>
                <w:rFonts w:cs="Arial"/>
                <w:lang w:val="en-GB"/>
              </w:rPr>
              <w:t>Beta</w:t>
            </w:r>
          </w:p>
        </w:tc>
        <w:tc>
          <w:tcPr>
            <w:tcW w:w="2410" w:type="dxa"/>
            <w:tcBorders>
              <w:top w:val="nil"/>
              <w:left w:val="single" w:sz="4" w:space="0" w:color="auto"/>
              <w:bottom w:val="single" w:sz="4" w:space="0" w:color="auto"/>
              <w:right w:val="single" w:sz="4" w:space="0" w:color="auto"/>
            </w:tcBorders>
            <w:vAlign w:val="center"/>
          </w:tcPr>
          <w:p w14:paraId="1718C8AE" w14:textId="460C0F89" w:rsidR="00682115" w:rsidRPr="00E24C4B" w:rsidRDefault="00682115" w:rsidP="001007F0">
            <w:pPr>
              <w:spacing w:line="276" w:lineRule="auto"/>
              <w:jc w:val="center"/>
              <w:rPr>
                <w:rFonts w:cs="Arial"/>
                <w:lang w:val="en-GB"/>
              </w:rPr>
            </w:pPr>
            <w:r w:rsidRPr="00E24C4B">
              <w:rPr>
                <w:rFonts w:cs="Arial"/>
                <w:lang w:val="en-GB"/>
              </w:rPr>
              <w:t>44.77% to 63.20%</w:t>
            </w:r>
          </w:p>
        </w:tc>
        <w:tc>
          <w:tcPr>
            <w:tcW w:w="2552" w:type="dxa"/>
            <w:noWrap/>
            <w:vAlign w:val="center"/>
          </w:tcPr>
          <w:p w14:paraId="2CD7805F" w14:textId="0C00F27B" w:rsidR="00682115" w:rsidRPr="00E24C4B" w:rsidRDefault="00682115" w:rsidP="001007F0">
            <w:pPr>
              <w:spacing w:line="276" w:lineRule="auto"/>
              <w:rPr>
                <w:rFonts w:cs="Arial"/>
                <w:highlight w:val="yellow"/>
                <w:lang w:val="en-GB"/>
              </w:rPr>
            </w:pPr>
            <w:r w:rsidRPr="00E24C4B">
              <w:rPr>
                <w:rFonts w:eastAsia="Calibri" w:cs="Arial"/>
                <w:iCs/>
                <w:lang w:val="en-GB" w:eastAsia="it-IT" w:bidi="it-IT"/>
              </w:rPr>
              <w:t>ECOG-ACRIN E1910</w:t>
            </w:r>
            <w:r w:rsidR="00557AD1">
              <w:rPr>
                <w:rFonts w:eastAsia="Calibri" w:cs="Arial"/>
                <w:iCs/>
                <w:lang w:val="en-GB" w:eastAsia="it-IT" w:bidi="it-IT"/>
              </w:rPr>
              <w:t>*</w:t>
            </w:r>
          </w:p>
        </w:tc>
      </w:tr>
      <w:tr w:rsidR="00811425" w:rsidRPr="008849A6" w14:paraId="3DC0EC72" w14:textId="77777777" w:rsidTr="001007F0">
        <w:trPr>
          <w:trHeight w:val="20"/>
        </w:trPr>
        <w:tc>
          <w:tcPr>
            <w:tcW w:w="14596" w:type="dxa"/>
            <w:gridSpan w:val="5"/>
            <w:shd w:val="clear" w:color="auto" w:fill="F2F2F2" w:themeFill="background1" w:themeFillShade="F2"/>
            <w:noWrap/>
            <w:vAlign w:val="center"/>
          </w:tcPr>
          <w:p w14:paraId="3EAAE932" w14:textId="2E9A2BFB" w:rsidR="001007F0" w:rsidRPr="00E24C4B" w:rsidRDefault="001007F0" w:rsidP="001007F0">
            <w:pPr>
              <w:spacing w:line="276" w:lineRule="auto"/>
              <w:rPr>
                <w:rFonts w:cs="Arial"/>
                <w:lang w:val="en-GB"/>
              </w:rPr>
            </w:pPr>
            <w:r w:rsidRPr="00E24C4B">
              <w:rPr>
                <w:rFonts w:cs="Arial"/>
                <w:b/>
                <w:bCs/>
                <w:i/>
                <w:iCs/>
                <w:lang w:val="en-GB"/>
              </w:rPr>
              <w:t>Frequency of AEs (SoC) - Grade ≥3 treatment-emergent AEs that occurred in ≥ 5%</w:t>
            </w:r>
          </w:p>
        </w:tc>
      </w:tr>
      <w:tr w:rsidR="00811425" w:rsidRPr="002E1D08" w14:paraId="29405BCB" w14:textId="77777777" w:rsidTr="001D38A2">
        <w:trPr>
          <w:trHeight w:val="20"/>
        </w:trPr>
        <w:tc>
          <w:tcPr>
            <w:tcW w:w="4470" w:type="dxa"/>
            <w:noWrap/>
            <w:vAlign w:val="center"/>
          </w:tcPr>
          <w:p w14:paraId="7866006E" w14:textId="1E70FCAD" w:rsidR="00682115" w:rsidRPr="00E24C4B" w:rsidRDefault="00682115" w:rsidP="001007F0">
            <w:pPr>
              <w:spacing w:line="276" w:lineRule="auto"/>
              <w:rPr>
                <w:rFonts w:cs="Arial"/>
                <w:lang w:val="en-GB"/>
              </w:rPr>
            </w:pPr>
            <w:r w:rsidRPr="00E24C4B">
              <w:rPr>
                <w:rFonts w:cs="Arial"/>
                <w:lang w:val="en-GB"/>
              </w:rPr>
              <w:t>Alanine aminotransferase increased</w:t>
            </w:r>
          </w:p>
        </w:tc>
        <w:tc>
          <w:tcPr>
            <w:tcW w:w="2755" w:type="dxa"/>
            <w:tcBorders>
              <w:top w:val="single" w:sz="4" w:space="0" w:color="auto"/>
              <w:left w:val="single" w:sz="4" w:space="0" w:color="auto"/>
              <w:bottom w:val="single" w:sz="4" w:space="0" w:color="auto"/>
              <w:right w:val="single" w:sz="4" w:space="0" w:color="auto"/>
            </w:tcBorders>
            <w:noWrap/>
            <w:vAlign w:val="center"/>
          </w:tcPr>
          <w:p w14:paraId="7C2B7F28" w14:textId="77E4F1CE" w:rsidR="00682115" w:rsidRPr="00E24C4B" w:rsidRDefault="00682115" w:rsidP="001007F0">
            <w:pPr>
              <w:spacing w:line="276" w:lineRule="auto"/>
              <w:jc w:val="center"/>
              <w:rPr>
                <w:rFonts w:eastAsia="Times New Roman" w:cs="Arial"/>
                <w:lang w:val="en-GB" w:eastAsia="it-IT"/>
              </w:rPr>
            </w:pPr>
            <w:bookmarkStart w:id="9" w:name="RANGE!AB164:AB183"/>
            <w:bookmarkStart w:id="10" w:name="RANGE!AB164:AB173"/>
            <w:bookmarkEnd w:id="9"/>
            <w:r w:rsidRPr="00E24C4B">
              <w:rPr>
                <w:rFonts w:cs="Arial"/>
                <w:lang w:val="en-GB"/>
              </w:rPr>
              <w:t>7.14%</w:t>
            </w:r>
            <w:bookmarkEnd w:id="10"/>
          </w:p>
        </w:tc>
        <w:tc>
          <w:tcPr>
            <w:tcW w:w="2409" w:type="dxa"/>
            <w:noWrap/>
          </w:tcPr>
          <w:p w14:paraId="1EFD776D" w14:textId="30363CB3" w:rsidR="00682115" w:rsidRPr="00E24C4B" w:rsidRDefault="00682115" w:rsidP="001007F0">
            <w:pPr>
              <w:spacing w:line="276" w:lineRule="auto"/>
              <w:jc w:val="center"/>
              <w:rPr>
                <w:rFonts w:cs="Arial"/>
                <w:lang w:val="en-GB"/>
              </w:rPr>
            </w:pPr>
            <w:r w:rsidRPr="00E24C4B">
              <w:rPr>
                <w:rFonts w:cs="Arial"/>
                <w:lang w:val="en-GB"/>
              </w:rPr>
              <w:t>Beta</w:t>
            </w:r>
          </w:p>
        </w:tc>
        <w:tc>
          <w:tcPr>
            <w:tcW w:w="2410" w:type="dxa"/>
            <w:tcBorders>
              <w:top w:val="single" w:sz="4" w:space="0" w:color="auto"/>
              <w:left w:val="single" w:sz="4" w:space="0" w:color="auto"/>
              <w:bottom w:val="single" w:sz="4" w:space="0" w:color="auto"/>
              <w:right w:val="single" w:sz="4" w:space="0" w:color="auto"/>
            </w:tcBorders>
            <w:vAlign w:val="center"/>
          </w:tcPr>
          <w:p w14:paraId="7CDB4A4A" w14:textId="5F1E166E" w:rsidR="00682115" w:rsidRPr="00E24C4B" w:rsidRDefault="00682115" w:rsidP="001007F0">
            <w:pPr>
              <w:spacing w:line="276" w:lineRule="auto"/>
              <w:jc w:val="center"/>
              <w:rPr>
                <w:rFonts w:cs="Arial"/>
                <w:lang w:val="en-GB"/>
              </w:rPr>
            </w:pPr>
            <w:r w:rsidRPr="00E24C4B">
              <w:rPr>
                <w:rFonts w:cs="Arial"/>
                <w:lang w:val="en-GB"/>
              </w:rPr>
              <w:t>3.16% to 12.56%</w:t>
            </w:r>
          </w:p>
        </w:tc>
        <w:tc>
          <w:tcPr>
            <w:tcW w:w="2552" w:type="dxa"/>
            <w:noWrap/>
            <w:vAlign w:val="center"/>
          </w:tcPr>
          <w:p w14:paraId="03BDF3D8" w14:textId="1B631048" w:rsidR="00682115" w:rsidRPr="00E24C4B" w:rsidRDefault="00682115" w:rsidP="001007F0">
            <w:pPr>
              <w:spacing w:line="276" w:lineRule="auto"/>
              <w:rPr>
                <w:rFonts w:cs="Arial"/>
                <w:highlight w:val="yellow"/>
                <w:lang w:val="en-GB"/>
              </w:rPr>
            </w:pPr>
            <w:r w:rsidRPr="00E24C4B">
              <w:rPr>
                <w:rFonts w:eastAsia="Calibri" w:cs="Arial"/>
                <w:iCs/>
                <w:lang w:val="en-GB" w:eastAsia="it-IT" w:bidi="it-IT"/>
              </w:rPr>
              <w:t>ECOG-ACRIN E1910</w:t>
            </w:r>
            <w:r w:rsidR="00557AD1">
              <w:rPr>
                <w:rFonts w:eastAsia="Calibri" w:cs="Arial"/>
                <w:iCs/>
                <w:lang w:val="en-GB" w:eastAsia="it-IT" w:bidi="it-IT"/>
              </w:rPr>
              <w:t>*</w:t>
            </w:r>
          </w:p>
        </w:tc>
      </w:tr>
      <w:tr w:rsidR="00811425" w:rsidRPr="002E1D08" w14:paraId="13DBDFBA" w14:textId="77777777" w:rsidTr="001D38A2">
        <w:trPr>
          <w:trHeight w:val="20"/>
        </w:trPr>
        <w:tc>
          <w:tcPr>
            <w:tcW w:w="4470" w:type="dxa"/>
            <w:noWrap/>
            <w:vAlign w:val="center"/>
          </w:tcPr>
          <w:p w14:paraId="48F6BC7D" w14:textId="6F9A3503" w:rsidR="00682115" w:rsidRPr="00E24C4B" w:rsidRDefault="00682115" w:rsidP="001007F0">
            <w:pPr>
              <w:spacing w:line="276" w:lineRule="auto"/>
              <w:rPr>
                <w:rFonts w:cs="Arial"/>
                <w:lang w:val="en-GB"/>
              </w:rPr>
            </w:pPr>
            <w:r w:rsidRPr="00E24C4B">
              <w:rPr>
                <w:rFonts w:cs="Arial"/>
                <w:lang w:val="en-GB"/>
              </w:rPr>
              <w:t>Anaemia</w:t>
            </w:r>
          </w:p>
        </w:tc>
        <w:tc>
          <w:tcPr>
            <w:tcW w:w="2755" w:type="dxa"/>
            <w:tcBorders>
              <w:top w:val="nil"/>
              <w:left w:val="single" w:sz="4" w:space="0" w:color="auto"/>
              <w:bottom w:val="single" w:sz="4" w:space="0" w:color="auto"/>
              <w:right w:val="single" w:sz="4" w:space="0" w:color="auto"/>
            </w:tcBorders>
            <w:noWrap/>
            <w:vAlign w:val="center"/>
          </w:tcPr>
          <w:p w14:paraId="3CA9EDB0" w14:textId="76675A8D" w:rsidR="00682115" w:rsidRPr="00E24C4B" w:rsidRDefault="00682115" w:rsidP="001007F0">
            <w:pPr>
              <w:spacing w:line="276" w:lineRule="auto"/>
              <w:jc w:val="center"/>
              <w:rPr>
                <w:rFonts w:eastAsia="Times New Roman" w:cs="Arial"/>
                <w:lang w:val="en-GB" w:eastAsia="it-IT"/>
              </w:rPr>
            </w:pPr>
            <w:r w:rsidRPr="00E24C4B">
              <w:rPr>
                <w:rFonts w:cs="Arial"/>
                <w:lang w:val="en-GB"/>
              </w:rPr>
              <w:t>41.07%</w:t>
            </w:r>
          </w:p>
        </w:tc>
        <w:tc>
          <w:tcPr>
            <w:tcW w:w="2409" w:type="dxa"/>
            <w:noWrap/>
          </w:tcPr>
          <w:p w14:paraId="32EB51FA" w14:textId="2BC37CFD" w:rsidR="00682115" w:rsidRPr="00E24C4B" w:rsidRDefault="00682115" w:rsidP="001007F0">
            <w:pPr>
              <w:spacing w:line="276" w:lineRule="auto"/>
              <w:jc w:val="center"/>
              <w:rPr>
                <w:rFonts w:cs="Arial"/>
                <w:lang w:val="en-GB"/>
              </w:rPr>
            </w:pPr>
            <w:r w:rsidRPr="00E24C4B">
              <w:rPr>
                <w:rFonts w:cs="Arial"/>
                <w:lang w:val="en-GB"/>
              </w:rPr>
              <w:t>Beta</w:t>
            </w:r>
          </w:p>
        </w:tc>
        <w:tc>
          <w:tcPr>
            <w:tcW w:w="2410" w:type="dxa"/>
            <w:tcBorders>
              <w:top w:val="nil"/>
              <w:left w:val="single" w:sz="4" w:space="0" w:color="auto"/>
              <w:bottom w:val="single" w:sz="4" w:space="0" w:color="auto"/>
              <w:right w:val="single" w:sz="4" w:space="0" w:color="auto"/>
            </w:tcBorders>
            <w:vAlign w:val="center"/>
          </w:tcPr>
          <w:p w14:paraId="08B4A383" w14:textId="1AFE001C" w:rsidR="00682115" w:rsidRPr="00E24C4B" w:rsidRDefault="00682115" w:rsidP="001007F0">
            <w:pPr>
              <w:spacing w:line="276" w:lineRule="auto"/>
              <w:jc w:val="center"/>
              <w:rPr>
                <w:rFonts w:cs="Arial"/>
                <w:lang w:val="en-GB"/>
              </w:rPr>
            </w:pPr>
            <w:r w:rsidRPr="00E24C4B">
              <w:rPr>
                <w:rFonts w:cs="Arial"/>
                <w:lang w:val="en-GB"/>
              </w:rPr>
              <w:t>32.17% to 50.27%</w:t>
            </w:r>
          </w:p>
        </w:tc>
        <w:tc>
          <w:tcPr>
            <w:tcW w:w="2552" w:type="dxa"/>
            <w:noWrap/>
            <w:vAlign w:val="center"/>
          </w:tcPr>
          <w:p w14:paraId="14F19B34" w14:textId="42746B74" w:rsidR="00682115" w:rsidRPr="00E24C4B" w:rsidRDefault="00682115" w:rsidP="001007F0">
            <w:pPr>
              <w:spacing w:line="276" w:lineRule="auto"/>
              <w:rPr>
                <w:rFonts w:cs="Arial"/>
                <w:highlight w:val="yellow"/>
                <w:lang w:val="en-GB"/>
              </w:rPr>
            </w:pPr>
            <w:r w:rsidRPr="00E24C4B">
              <w:rPr>
                <w:rFonts w:eastAsia="Calibri" w:cs="Arial"/>
                <w:iCs/>
                <w:lang w:val="en-GB" w:eastAsia="it-IT" w:bidi="it-IT"/>
              </w:rPr>
              <w:t>ECOG-ACRIN E1910</w:t>
            </w:r>
            <w:r w:rsidR="00557AD1">
              <w:rPr>
                <w:rFonts w:eastAsia="Calibri" w:cs="Arial"/>
                <w:iCs/>
                <w:lang w:val="en-GB" w:eastAsia="it-IT" w:bidi="it-IT"/>
              </w:rPr>
              <w:t>*</w:t>
            </w:r>
          </w:p>
        </w:tc>
      </w:tr>
      <w:tr w:rsidR="00811425" w:rsidRPr="002E1D08" w14:paraId="66571913" w14:textId="77777777" w:rsidTr="001D38A2">
        <w:trPr>
          <w:trHeight w:val="20"/>
        </w:trPr>
        <w:tc>
          <w:tcPr>
            <w:tcW w:w="4470" w:type="dxa"/>
            <w:noWrap/>
            <w:vAlign w:val="center"/>
          </w:tcPr>
          <w:p w14:paraId="4B0315EB" w14:textId="09F0AED3" w:rsidR="00682115" w:rsidRPr="00E24C4B" w:rsidRDefault="00682115" w:rsidP="001007F0">
            <w:pPr>
              <w:spacing w:line="276" w:lineRule="auto"/>
              <w:rPr>
                <w:rFonts w:cs="Arial"/>
                <w:lang w:val="en-GB"/>
              </w:rPr>
            </w:pPr>
            <w:r w:rsidRPr="00E24C4B">
              <w:rPr>
                <w:rFonts w:cs="Arial"/>
                <w:lang w:val="en-GB"/>
              </w:rPr>
              <w:t>Aphasia</w:t>
            </w:r>
          </w:p>
        </w:tc>
        <w:tc>
          <w:tcPr>
            <w:tcW w:w="2755" w:type="dxa"/>
            <w:tcBorders>
              <w:top w:val="nil"/>
              <w:left w:val="single" w:sz="4" w:space="0" w:color="auto"/>
              <w:bottom w:val="single" w:sz="4" w:space="0" w:color="auto"/>
              <w:right w:val="single" w:sz="4" w:space="0" w:color="auto"/>
            </w:tcBorders>
            <w:noWrap/>
            <w:vAlign w:val="center"/>
          </w:tcPr>
          <w:p w14:paraId="506CA4B9" w14:textId="6E9F9558" w:rsidR="00682115" w:rsidRPr="00E24C4B" w:rsidRDefault="00682115" w:rsidP="001007F0">
            <w:pPr>
              <w:spacing w:line="276" w:lineRule="auto"/>
              <w:jc w:val="center"/>
              <w:rPr>
                <w:rFonts w:eastAsia="Times New Roman" w:cs="Arial"/>
                <w:lang w:val="en-GB" w:eastAsia="it-IT"/>
              </w:rPr>
            </w:pPr>
            <w:r w:rsidRPr="00E24C4B">
              <w:rPr>
                <w:rFonts w:cs="Arial"/>
                <w:lang w:val="en-GB"/>
              </w:rPr>
              <w:t>0.00%</w:t>
            </w:r>
          </w:p>
        </w:tc>
        <w:tc>
          <w:tcPr>
            <w:tcW w:w="2409" w:type="dxa"/>
            <w:noWrap/>
            <w:vAlign w:val="center"/>
          </w:tcPr>
          <w:p w14:paraId="373DAF2B" w14:textId="4788101C" w:rsidR="00682115" w:rsidRPr="00E24C4B" w:rsidRDefault="00682115" w:rsidP="001007F0">
            <w:pPr>
              <w:spacing w:line="276" w:lineRule="auto"/>
              <w:jc w:val="center"/>
              <w:rPr>
                <w:rFonts w:cs="Arial"/>
                <w:lang w:val="en-GB"/>
              </w:rPr>
            </w:pPr>
            <w:r w:rsidRPr="00E24C4B">
              <w:rPr>
                <w:rFonts w:cs="Arial"/>
                <w:lang w:val="en-GB"/>
              </w:rPr>
              <w:t>Constant</w:t>
            </w:r>
          </w:p>
        </w:tc>
        <w:tc>
          <w:tcPr>
            <w:tcW w:w="2410" w:type="dxa"/>
            <w:tcBorders>
              <w:top w:val="nil"/>
              <w:left w:val="single" w:sz="4" w:space="0" w:color="auto"/>
              <w:bottom w:val="single" w:sz="4" w:space="0" w:color="auto"/>
              <w:right w:val="single" w:sz="4" w:space="0" w:color="auto"/>
            </w:tcBorders>
            <w:vAlign w:val="center"/>
          </w:tcPr>
          <w:p w14:paraId="5475CB94" w14:textId="08883B40" w:rsidR="00682115" w:rsidRPr="00E24C4B" w:rsidRDefault="00682115" w:rsidP="001007F0">
            <w:pPr>
              <w:spacing w:line="276" w:lineRule="auto"/>
              <w:jc w:val="center"/>
              <w:rPr>
                <w:rFonts w:cs="Arial"/>
                <w:lang w:val="en-GB"/>
              </w:rPr>
            </w:pPr>
            <w:r w:rsidRPr="00E24C4B">
              <w:rPr>
                <w:rFonts w:eastAsia="Times New Roman" w:cs="Arial"/>
                <w:lang w:val="en-GB" w:eastAsia="it-IT"/>
              </w:rPr>
              <w:t>-</w:t>
            </w:r>
          </w:p>
        </w:tc>
        <w:tc>
          <w:tcPr>
            <w:tcW w:w="2552" w:type="dxa"/>
            <w:noWrap/>
            <w:vAlign w:val="center"/>
          </w:tcPr>
          <w:p w14:paraId="460FC721" w14:textId="074B1E0E" w:rsidR="00682115" w:rsidRPr="00E24C4B" w:rsidRDefault="00682115" w:rsidP="001007F0">
            <w:pPr>
              <w:spacing w:line="276" w:lineRule="auto"/>
              <w:rPr>
                <w:rFonts w:cs="Arial"/>
                <w:highlight w:val="yellow"/>
                <w:lang w:val="en-GB"/>
              </w:rPr>
            </w:pPr>
            <w:r w:rsidRPr="00E24C4B">
              <w:rPr>
                <w:rFonts w:eastAsia="Calibri" w:cs="Arial"/>
                <w:iCs/>
                <w:lang w:val="en-GB" w:eastAsia="it-IT" w:bidi="it-IT"/>
              </w:rPr>
              <w:t>ECOG-ACRIN E1910</w:t>
            </w:r>
            <w:r w:rsidR="00557AD1">
              <w:rPr>
                <w:rFonts w:eastAsia="Calibri" w:cs="Arial"/>
                <w:iCs/>
                <w:lang w:val="en-GB" w:eastAsia="it-IT" w:bidi="it-IT"/>
              </w:rPr>
              <w:t>*</w:t>
            </w:r>
          </w:p>
        </w:tc>
      </w:tr>
      <w:tr w:rsidR="00811425" w:rsidRPr="002E1D08" w14:paraId="4D22E238" w14:textId="77777777" w:rsidTr="001D38A2">
        <w:trPr>
          <w:trHeight w:val="20"/>
        </w:trPr>
        <w:tc>
          <w:tcPr>
            <w:tcW w:w="4470" w:type="dxa"/>
            <w:noWrap/>
            <w:vAlign w:val="center"/>
          </w:tcPr>
          <w:p w14:paraId="12BF386A" w14:textId="716F9C82" w:rsidR="00682115" w:rsidRPr="00E24C4B" w:rsidRDefault="00682115" w:rsidP="001007F0">
            <w:pPr>
              <w:spacing w:line="276" w:lineRule="auto"/>
              <w:rPr>
                <w:rFonts w:cs="Arial"/>
                <w:lang w:val="en-GB"/>
              </w:rPr>
            </w:pPr>
            <w:r w:rsidRPr="00E24C4B">
              <w:rPr>
                <w:rFonts w:cs="Arial"/>
                <w:lang w:val="en-GB"/>
              </w:rPr>
              <w:t>Aspartate aminotransferase increased</w:t>
            </w:r>
          </w:p>
        </w:tc>
        <w:tc>
          <w:tcPr>
            <w:tcW w:w="2755" w:type="dxa"/>
            <w:tcBorders>
              <w:top w:val="nil"/>
              <w:left w:val="single" w:sz="4" w:space="0" w:color="auto"/>
              <w:bottom w:val="single" w:sz="4" w:space="0" w:color="auto"/>
              <w:right w:val="single" w:sz="4" w:space="0" w:color="auto"/>
            </w:tcBorders>
            <w:noWrap/>
            <w:vAlign w:val="center"/>
          </w:tcPr>
          <w:p w14:paraId="4CE3FD1E" w14:textId="2C37EB6D" w:rsidR="00682115" w:rsidRPr="00E24C4B" w:rsidRDefault="00682115" w:rsidP="001007F0">
            <w:pPr>
              <w:spacing w:line="276" w:lineRule="auto"/>
              <w:jc w:val="center"/>
              <w:rPr>
                <w:rFonts w:eastAsia="Times New Roman" w:cs="Arial"/>
                <w:lang w:val="en-GB" w:eastAsia="it-IT"/>
              </w:rPr>
            </w:pPr>
            <w:r w:rsidRPr="00E24C4B">
              <w:rPr>
                <w:rFonts w:cs="Arial"/>
                <w:lang w:val="en-GB"/>
              </w:rPr>
              <w:t>2.68%</w:t>
            </w:r>
          </w:p>
        </w:tc>
        <w:tc>
          <w:tcPr>
            <w:tcW w:w="2409" w:type="dxa"/>
            <w:noWrap/>
          </w:tcPr>
          <w:p w14:paraId="7A1101A5" w14:textId="374D192A" w:rsidR="00682115" w:rsidRPr="00E24C4B" w:rsidRDefault="00682115" w:rsidP="001007F0">
            <w:pPr>
              <w:spacing w:line="276" w:lineRule="auto"/>
              <w:jc w:val="center"/>
              <w:rPr>
                <w:rFonts w:cs="Arial"/>
                <w:lang w:val="en-GB"/>
              </w:rPr>
            </w:pPr>
            <w:r w:rsidRPr="00E24C4B">
              <w:rPr>
                <w:rFonts w:cs="Arial"/>
                <w:lang w:val="en-GB"/>
              </w:rPr>
              <w:t>Beta</w:t>
            </w:r>
          </w:p>
        </w:tc>
        <w:tc>
          <w:tcPr>
            <w:tcW w:w="2410" w:type="dxa"/>
            <w:tcBorders>
              <w:top w:val="nil"/>
              <w:left w:val="single" w:sz="4" w:space="0" w:color="auto"/>
              <w:bottom w:val="single" w:sz="4" w:space="0" w:color="auto"/>
              <w:right w:val="single" w:sz="4" w:space="0" w:color="auto"/>
            </w:tcBorders>
            <w:vAlign w:val="center"/>
          </w:tcPr>
          <w:p w14:paraId="79790A7A" w14:textId="3B41C7FE" w:rsidR="00682115" w:rsidRPr="00E24C4B" w:rsidRDefault="00682115" w:rsidP="001007F0">
            <w:pPr>
              <w:spacing w:line="276" w:lineRule="auto"/>
              <w:jc w:val="center"/>
              <w:rPr>
                <w:rFonts w:cs="Arial"/>
                <w:lang w:val="en-GB"/>
              </w:rPr>
            </w:pPr>
            <w:r w:rsidRPr="00E24C4B">
              <w:rPr>
                <w:rFonts w:cs="Arial"/>
                <w:lang w:val="en-GB"/>
              </w:rPr>
              <w:t>0.56% to 6.36%</w:t>
            </w:r>
          </w:p>
        </w:tc>
        <w:tc>
          <w:tcPr>
            <w:tcW w:w="2552" w:type="dxa"/>
            <w:noWrap/>
            <w:vAlign w:val="center"/>
          </w:tcPr>
          <w:p w14:paraId="3393EE1F" w14:textId="67CCBB8D" w:rsidR="00682115" w:rsidRPr="00E24C4B" w:rsidRDefault="00682115" w:rsidP="001007F0">
            <w:pPr>
              <w:spacing w:line="276" w:lineRule="auto"/>
              <w:rPr>
                <w:rFonts w:cs="Arial"/>
                <w:highlight w:val="yellow"/>
                <w:lang w:val="en-GB"/>
              </w:rPr>
            </w:pPr>
            <w:r w:rsidRPr="00E24C4B">
              <w:rPr>
                <w:rFonts w:eastAsia="Calibri" w:cs="Arial"/>
                <w:iCs/>
                <w:lang w:val="en-GB" w:eastAsia="it-IT" w:bidi="it-IT"/>
              </w:rPr>
              <w:t>ECOG-ACRIN E1910</w:t>
            </w:r>
            <w:r w:rsidR="00557AD1">
              <w:rPr>
                <w:rFonts w:eastAsia="Calibri" w:cs="Arial"/>
                <w:iCs/>
                <w:lang w:val="en-GB" w:eastAsia="it-IT" w:bidi="it-IT"/>
              </w:rPr>
              <w:t>*</w:t>
            </w:r>
          </w:p>
        </w:tc>
      </w:tr>
      <w:tr w:rsidR="00811425" w:rsidRPr="002E1D08" w14:paraId="31368D01" w14:textId="77777777" w:rsidTr="001D38A2">
        <w:trPr>
          <w:trHeight w:val="20"/>
        </w:trPr>
        <w:tc>
          <w:tcPr>
            <w:tcW w:w="4470" w:type="dxa"/>
            <w:noWrap/>
            <w:vAlign w:val="center"/>
          </w:tcPr>
          <w:p w14:paraId="18B95E07" w14:textId="72570413" w:rsidR="00682115" w:rsidRPr="00E24C4B" w:rsidRDefault="00682115" w:rsidP="001007F0">
            <w:pPr>
              <w:spacing w:line="276" w:lineRule="auto"/>
              <w:rPr>
                <w:rFonts w:cs="Arial"/>
                <w:lang w:val="en-GB"/>
              </w:rPr>
            </w:pPr>
            <w:r w:rsidRPr="00E24C4B">
              <w:rPr>
                <w:rFonts w:cs="Arial"/>
                <w:lang w:val="en-GB"/>
              </w:rPr>
              <w:t xml:space="preserve">Cytokine </w:t>
            </w:r>
            <w:r w:rsidR="001007F0" w:rsidRPr="00E24C4B">
              <w:rPr>
                <w:rFonts w:cs="Arial"/>
                <w:lang w:val="en-GB"/>
              </w:rPr>
              <w:t>release</w:t>
            </w:r>
            <w:r w:rsidRPr="00E24C4B">
              <w:rPr>
                <w:rFonts w:cs="Arial"/>
                <w:lang w:val="en-GB"/>
              </w:rPr>
              <w:t xml:space="preserve"> syndrome</w:t>
            </w:r>
          </w:p>
        </w:tc>
        <w:tc>
          <w:tcPr>
            <w:tcW w:w="2755" w:type="dxa"/>
            <w:tcBorders>
              <w:top w:val="nil"/>
              <w:left w:val="single" w:sz="4" w:space="0" w:color="auto"/>
              <w:bottom w:val="single" w:sz="4" w:space="0" w:color="auto"/>
              <w:right w:val="single" w:sz="4" w:space="0" w:color="auto"/>
            </w:tcBorders>
            <w:noWrap/>
            <w:vAlign w:val="center"/>
          </w:tcPr>
          <w:p w14:paraId="1A58FCF3" w14:textId="1B695AC8" w:rsidR="00682115" w:rsidRPr="00E24C4B" w:rsidRDefault="00682115" w:rsidP="001007F0">
            <w:pPr>
              <w:spacing w:line="276" w:lineRule="auto"/>
              <w:jc w:val="center"/>
              <w:rPr>
                <w:rFonts w:eastAsia="Times New Roman" w:cs="Arial"/>
                <w:lang w:val="en-GB" w:eastAsia="it-IT"/>
              </w:rPr>
            </w:pPr>
            <w:r w:rsidRPr="00E24C4B">
              <w:rPr>
                <w:rFonts w:cs="Arial"/>
                <w:lang w:val="en-GB"/>
              </w:rPr>
              <w:t>0.00%</w:t>
            </w:r>
          </w:p>
        </w:tc>
        <w:tc>
          <w:tcPr>
            <w:tcW w:w="2409" w:type="dxa"/>
            <w:noWrap/>
            <w:vAlign w:val="center"/>
          </w:tcPr>
          <w:p w14:paraId="2E586A58" w14:textId="4454BDC6" w:rsidR="00682115" w:rsidRPr="00E24C4B" w:rsidRDefault="00682115" w:rsidP="001007F0">
            <w:pPr>
              <w:spacing w:line="276" w:lineRule="auto"/>
              <w:jc w:val="center"/>
              <w:rPr>
                <w:rFonts w:cs="Arial"/>
                <w:lang w:val="en-GB"/>
              </w:rPr>
            </w:pPr>
            <w:r w:rsidRPr="00E24C4B">
              <w:rPr>
                <w:rFonts w:cs="Arial"/>
                <w:lang w:val="en-GB"/>
              </w:rPr>
              <w:t>Constant</w:t>
            </w:r>
          </w:p>
        </w:tc>
        <w:tc>
          <w:tcPr>
            <w:tcW w:w="2410" w:type="dxa"/>
            <w:tcBorders>
              <w:top w:val="nil"/>
              <w:left w:val="single" w:sz="4" w:space="0" w:color="auto"/>
              <w:bottom w:val="single" w:sz="4" w:space="0" w:color="auto"/>
              <w:right w:val="single" w:sz="4" w:space="0" w:color="auto"/>
            </w:tcBorders>
            <w:vAlign w:val="center"/>
          </w:tcPr>
          <w:p w14:paraId="10F47FBF" w14:textId="0271CCFC" w:rsidR="00682115" w:rsidRPr="00E24C4B" w:rsidRDefault="00682115" w:rsidP="001007F0">
            <w:pPr>
              <w:spacing w:line="276" w:lineRule="auto"/>
              <w:jc w:val="center"/>
              <w:rPr>
                <w:rFonts w:cs="Arial"/>
                <w:lang w:val="en-GB"/>
              </w:rPr>
            </w:pPr>
            <w:r w:rsidRPr="00E24C4B">
              <w:rPr>
                <w:rFonts w:eastAsia="Times New Roman" w:cs="Arial"/>
                <w:lang w:val="en-GB" w:eastAsia="it-IT"/>
              </w:rPr>
              <w:t>-</w:t>
            </w:r>
          </w:p>
        </w:tc>
        <w:tc>
          <w:tcPr>
            <w:tcW w:w="2552" w:type="dxa"/>
            <w:noWrap/>
            <w:vAlign w:val="center"/>
          </w:tcPr>
          <w:p w14:paraId="0ED58AB2" w14:textId="34440077" w:rsidR="00682115" w:rsidRPr="00E24C4B" w:rsidRDefault="00682115" w:rsidP="001007F0">
            <w:pPr>
              <w:spacing w:line="276" w:lineRule="auto"/>
              <w:rPr>
                <w:rFonts w:cs="Arial"/>
                <w:highlight w:val="yellow"/>
                <w:lang w:val="en-GB"/>
              </w:rPr>
            </w:pPr>
            <w:r w:rsidRPr="00E24C4B">
              <w:rPr>
                <w:rFonts w:eastAsia="Calibri" w:cs="Arial"/>
                <w:iCs/>
                <w:lang w:val="en-GB" w:eastAsia="it-IT" w:bidi="it-IT"/>
              </w:rPr>
              <w:t>ECOG-ACRIN E1910</w:t>
            </w:r>
            <w:r w:rsidR="00557AD1">
              <w:rPr>
                <w:rFonts w:eastAsia="Calibri" w:cs="Arial"/>
                <w:iCs/>
                <w:lang w:val="en-GB" w:eastAsia="it-IT" w:bidi="it-IT"/>
              </w:rPr>
              <w:t>*</w:t>
            </w:r>
          </w:p>
        </w:tc>
      </w:tr>
      <w:tr w:rsidR="00811425" w:rsidRPr="002E1D08" w14:paraId="211E8FF9" w14:textId="77777777" w:rsidTr="001D38A2">
        <w:trPr>
          <w:trHeight w:val="20"/>
        </w:trPr>
        <w:tc>
          <w:tcPr>
            <w:tcW w:w="4470" w:type="dxa"/>
            <w:noWrap/>
            <w:vAlign w:val="center"/>
          </w:tcPr>
          <w:p w14:paraId="1831F475" w14:textId="1E564E32" w:rsidR="00682115" w:rsidRPr="00E24C4B" w:rsidRDefault="00682115" w:rsidP="001007F0">
            <w:pPr>
              <w:spacing w:line="276" w:lineRule="auto"/>
              <w:rPr>
                <w:rFonts w:cs="Arial"/>
                <w:lang w:val="en-GB"/>
              </w:rPr>
            </w:pPr>
            <w:r w:rsidRPr="00E24C4B">
              <w:rPr>
                <w:rFonts w:cs="Arial"/>
                <w:lang w:val="en-GB"/>
              </w:rPr>
              <w:t>Device related infection</w:t>
            </w:r>
          </w:p>
        </w:tc>
        <w:tc>
          <w:tcPr>
            <w:tcW w:w="2755" w:type="dxa"/>
            <w:tcBorders>
              <w:top w:val="nil"/>
              <w:left w:val="single" w:sz="4" w:space="0" w:color="auto"/>
              <w:bottom w:val="single" w:sz="4" w:space="0" w:color="auto"/>
              <w:right w:val="single" w:sz="4" w:space="0" w:color="auto"/>
            </w:tcBorders>
            <w:noWrap/>
            <w:vAlign w:val="center"/>
          </w:tcPr>
          <w:p w14:paraId="4F7BE11A" w14:textId="43918106" w:rsidR="00682115" w:rsidRPr="00E24C4B" w:rsidRDefault="00682115" w:rsidP="001007F0">
            <w:pPr>
              <w:spacing w:line="276" w:lineRule="auto"/>
              <w:jc w:val="center"/>
              <w:rPr>
                <w:rFonts w:eastAsia="Times New Roman" w:cs="Arial"/>
                <w:lang w:val="en-GB" w:eastAsia="it-IT"/>
              </w:rPr>
            </w:pPr>
            <w:r w:rsidRPr="00E24C4B">
              <w:rPr>
                <w:rFonts w:cs="Arial"/>
                <w:lang w:val="en-GB"/>
              </w:rPr>
              <w:t>5.36%</w:t>
            </w:r>
          </w:p>
        </w:tc>
        <w:tc>
          <w:tcPr>
            <w:tcW w:w="2409" w:type="dxa"/>
            <w:noWrap/>
          </w:tcPr>
          <w:p w14:paraId="2BD8EC4F" w14:textId="47D9933C" w:rsidR="00682115" w:rsidRPr="00E24C4B" w:rsidRDefault="00682115" w:rsidP="001007F0">
            <w:pPr>
              <w:spacing w:line="276" w:lineRule="auto"/>
              <w:jc w:val="center"/>
              <w:rPr>
                <w:rFonts w:cs="Arial"/>
                <w:lang w:val="en-GB"/>
              </w:rPr>
            </w:pPr>
            <w:r w:rsidRPr="00E24C4B">
              <w:rPr>
                <w:rFonts w:cs="Arial"/>
                <w:lang w:val="en-GB"/>
              </w:rPr>
              <w:t>Beta</w:t>
            </w:r>
          </w:p>
        </w:tc>
        <w:tc>
          <w:tcPr>
            <w:tcW w:w="2410" w:type="dxa"/>
            <w:tcBorders>
              <w:top w:val="nil"/>
              <w:left w:val="single" w:sz="4" w:space="0" w:color="auto"/>
              <w:bottom w:val="single" w:sz="4" w:space="0" w:color="auto"/>
              <w:right w:val="single" w:sz="4" w:space="0" w:color="auto"/>
            </w:tcBorders>
            <w:vAlign w:val="center"/>
          </w:tcPr>
          <w:p w14:paraId="3BEE668B" w14:textId="3DDCA033" w:rsidR="00682115" w:rsidRPr="00E24C4B" w:rsidRDefault="00682115" w:rsidP="001007F0">
            <w:pPr>
              <w:spacing w:line="276" w:lineRule="auto"/>
              <w:jc w:val="center"/>
              <w:rPr>
                <w:rFonts w:cs="Arial"/>
                <w:lang w:val="en-GB"/>
              </w:rPr>
            </w:pPr>
            <w:r w:rsidRPr="00E24C4B">
              <w:rPr>
                <w:rFonts w:cs="Arial"/>
                <w:lang w:val="en-GB"/>
              </w:rPr>
              <w:t>2.01% to 10.20%</w:t>
            </w:r>
          </w:p>
        </w:tc>
        <w:tc>
          <w:tcPr>
            <w:tcW w:w="2552" w:type="dxa"/>
            <w:noWrap/>
            <w:vAlign w:val="center"/>
          </w:tcPr>
          <w:p w14:paraId="43E0C627" w14:textId="2FD2B2D1" w:rsidR="00682115" w:rsidRPr="00E24C4B" w:rsidRDefault="00682115" w:rsidP="001007F0">
            <w:pPr>
              <w:spacing w:line="276" w:lineRule="auto"/>
              <w:rPr>
                <w:rFonts w:cs="Arial"/>
                <w:highlight w:val="yellow"/>
                <w:lang w:val="en-GB"/>
              </w:rPr>
            </w:pPr>
            <w:r w:rsidRPr="00E24C4B">
              <w:rPr>
                <w:rFonts w:eastAsia="Calibri" w:cs="Arial"/>
                <w:iCs/>
                <w:lang w:val="en-GB" w:eastAsia="it-IT" w:bidi="it-IT"/>
              </w:rPr>
              <w:t>ECOG-ACRIN E1910</w:t>
            </w:r>
            <w:r w:rsidR="00557AD1">
              <w:rPr>
                <w:rFonts w:eastAsia="Calibri" w:cs="Arial"/>
                <w:iCs/>
                <w:lang w:val="en-GB" w:eastAsia="it-IT" w:bidi="it-IT"/>
              </w:rPr>
              <w:t>*</w:t>
            </w:r>
          </w:p>
        </w:tc>
      </w:tr>
      <w:tr w:rsidR="00811425" w:rsidRPr="002E1D08" w14:paraId="27E76CD4" w14:textId="77777777" w:rsidTr="001D38A2">
        <w:trPr>
          <w:trHeight w:val="20"/>
        </w:trPr>
        <w:tc>
          <w:tcPr>
            <w:tcW w:w="4470" w:type="dxa"/>
            <w:noWrap/>
            <w:vAlign w:val="center"/>
          </w:tcPr>
          <w:p w14:paraId="06A64983" w14:textId="7002A323" w:rsidR="00682115" w:rsidRPr="00E24C4B" w:rsidRDefault="00682115" w:rsidP="001007F0">
            <w:pPr>
              <w:spacing w:line="276" w:lineRule="auto"/>
              <w:rPr>
                <w:rFonts w:cs="Arial"/>
                <w:lang w:val="en-GB"/>
              </w:rPr>
            </w:pPr>
            <w:r w:rsidRPr="00E24C4B">
              <w:rPr>
                <w:rFonts w:cs="Arial"/>
                <w:lang w:val="en-GB"/>
              </w:rPr>
              <w:t>Diarrhoea</w:t>
            </w:r>
          </w:p>
        </w:tc>
        <w:tc>
          <w:tcPr>
            <w:tcW w:w="2755" w:type="dxa"/>
            <w:tcBorders>
              <w:top w:val="nil"/>
              <w:left w:val="single" w:sz="4" w:space="0" w:color="auto"/>
              <w:bottom w:val="single" w:sz="4" w:space="0" w:color="auto"/>
              <w:right w:val="single" w:sz="4" w:space="0" w:color="auto"/>
            </w:tcBorders>
            <w:noWrap/>
            <w:vAlign w:val="center"/>
          </w:tcPr>
          <w:p w14:paraId="345ED532" w14:textId="2F4FF9C9" w:rsidR="00682115" w:rsidRPr="00E24C4B" w:rsidRDefault="00682115" w:rsidP="001007F0">
            <w:pPr>
              <w:spacing w:line="276" w:lineRule="auto"/>
              <w:jc w:val="center"/>
              <w:rPr>
                <w:rFonts w:eastAsia="Times New Roman" w:cs="Arial"/>
                <w:lang w:val="en-GB" w:eastAsia="it-IT"/>
              </w:rPr>
            </w:pPr>
            <w:r w:rsidRPr="00E24C4B">
              <w:rPr>
                <w:rFonts w:cs="Arial"/>
                <w:lang w:val="en-GB"/>
              </w:rPr>
              <w:t>5.36%</w:t>
            </w:r>
          </w:p>
        </w:tc>
        <w:tc>
          <w:tcPr>
            <w:tcW w:w="2409" w:type="dxa"/>
            <w:noWrap/>
          </w:tcPr>
          <w:p w14:paraId="031A6E55" w14:textId="00F24263" w:rsidR="00682115" w:rsidRPr="00E24C4B" w:rsidRDefault="00682115" w:rsidP="001007F0">
            <w:pPr>
              <w:spacing w:line="276" w:lineRule="auto"/>
              <w:jc w:val="center"/>
              <w:rPr>
                <w:rFonts w:cs="Arial"/>
                <w:lang w:val="en-GB"/>
              </w:rPr>
            </w:pPr>
            <w:r w:rsidRPr="00E24C4B">
              <w:rPr>
                <w:rFonts w:cs="Arial"/>
                <w:lang w:val="en-GB"/>
              </w:rPr>
              <w:t>Beta</w:t>
            </w:r>
          </w:p>
        </w:tc>
        <w:tc>
          <w:tcPr>
            <w:tcW w:w="2410" w:type="dxa"/>
            <w:tcBorders>
              <w:top w:val="nil"/>
              <w:left w:val="single" w:sz="4" w:space="0" w:color="auto"/>
              <w:bottom w:val="single" w:sz="4" w:space="0" w:color="auto"/>
              <w:right w:val="single" w:sz="4" w:space="0" w:color="auto"/>
            </w:tcBorders>
            <w:vAlign w:val="center"/>
          </w:tcPr>
          <w:p w14:paraId="280768C1" w14:textId="430572E3" w:rsidR="00682115" w:rsidRPr="00E24C4B" w:rsidRDefault="00682115" w:rsidP="001007F0">
            <w:pPr>
              <w:spacing w:line="276" w:lineRule="auto"/>
              <w:jc w:val="center"/>
              <w:rPr>
                <w:rFonts w:cs="Arial"/>
                <w:lang w:val="en-GB"/>
              </w:rPr>
            </w:pPr>
            <w:r w:rsidRPr="00E24C4B">
              <w:rPr>
                <w:rFonts w:cs="Arial"/>
                <w:lang w:val="en-GB"/>
              </w:rPr>
              <w:t>2.01% to 10.20%</w:t>
            </w:r>
          </w:p>
        </w:tc>
        <w:tc>
          <w:tcPr>
            <w:tcW w:w="2552" w:type="dxa"/>
            <w:noWrap/>
            <w:vAlign w:val="center"/>
          </w:tcPr>
          <w:p w14:paraId="3F4A7E98" w14:textId="4122D0BF" w:rsidR="00682115" w:rsidRPr="00E24C4B" w:rsidRDefault="00682115" w:rsidP="001007F0">
            <w:pPr>
              <w:spacing w:line="276" w:lineRule="auto"/>
              <w:rPr>
                <w:rFonts w:cs="Arial"/>
                <w:highlight w:val="yellow"/>
                <w:lang w:val="en-GB"/>
              </w:rPr>
            </w:pPr>
            <w:r w:rsidRPr="00E24C4B">
              <w:rPr>
                <w:rFonts w:eastAsia="Calibri" w:cs="Arial"/>
                <w:iCs/>
                <w:lang w:val="en-GB" w:eastAsia="it-IT" w:bidi="it-IT"/>
              </w:rPr>
              <w:t>ECOG-ACRIN E1910</w:t>
            </w:r>
            <w:r w:rsidR="00557AD1">
              <w:rPr>
                <w:rFonts w:eastAsia="Calibri" w:cs="Arial"/>
                <w:iCs/>
                <w:lang w:val="en-GB" w:eastAsia="it-IT" w:bidi="it-IT"/>
              </w:rPr>
              <w:t>*</w:t>
            </w:r>
          </w:p>
        </w:tc>
      </w:tr>
      <w:tr w:rsidR="00811425" w:rsidRPr="002E1D08" w14:paraId="12402487" w14:textId="77777777" w:rsidTr="001D38A2">
        <w:trPr>
          <w:trHeight w:val="20"/>
        </w:trPr>
        <w:tc>
          <w:tcPr>
            <w:tcW w:w="4470" w:type="dxa"/>
            <w:noWrap/>
            <w:vAlign w:val="center"/>
          </w:tcPr>
          <w:p w14:paraId="36741FC7" w14:textId="303960CA" w:rsidR="00682115" w:rsidRPr="00E24C4B" w:rsidRDefault="00682115" w:rsidP="001007F0">
            <w:pPr>
              <w:spacing w:line="276" w:lineRule="auto"/>
              <w:rPr>
                <w:rFonts w:cs="Arial"/>
                <w:lang w:val="en-GB"/>
              </w:rPr>
            </w:pPr>
            <w:r w:rsidRPr="00E24C4B">
              <w:rPr>
                <w:rFonts w:cs="Arial"/>
                <w:lang w:val="en-GB"/>
              </w:rPr>
              <w:t>Fatigue</w:t>
            </w:r>
          </w:p>
        </w:tc>
        <w:tc>
          <w:tcPr>
            <w:tcW w:w="2755" w:type="dxa"/>
            <w:tcBorders>
              <w:top w:val="nil"/>
              <w:left w:val="single" w:sz="4" w:space="0" w:color="auto"/>
              <w:bottom w:val="single" w:sz="4" w:space="0" w:color="auto"/>
              <w:right w:val="single" w:sz="4" w:space="0" w:color="auto"/>
            </w:tcBorders>
            <w:noWrap/>
            <w:vAlign w:val="center"/>
          </w:tcPr>
          <w:p w14:paraId="1FF3DBE1" w14:textId="522263A1" w:rsidR="00682115" w:rsidRPr="00E24C4B" w:rsidRDefault="00682115" w:rsidP="001007F0">
            <w:pPr>
              <w:spacing w:line="276" w:lineRule="auto"/>
              <w:jc w:val="center"/>
              <w:rPr>
                <w:rFonts w:eastAsia="Times New Roman" w:cs="Arial"/>
                <w:lang w:val="en-GB" w:eastAsia="it-IT"/>
              </w:rPr>
            </w:pPr>
            <w:r w:rsidRPr="00E24C4B">
              <w:rPr>
                <w:rFonts w:cs="Arial"/>
                <w:lang w:val="en-GB"/>
              </w:rPr>
              <w:t>3.57%</w:t>
            </w:r>
          </w:p>
        </w:tc>
        <w:tc>
          <w:tcPr>
            <w:tcW w:w="2409" w:type="dxa"/>
            <w:noWrap/>
          </w:tcPr>
          <w:p w14:paraId="63951AAB" w14:textId="68E97E6B" w:rsidR="00682115" w:rsidRPr="00E24C4B" w:rsidRDefault="00682115" w:rsidP="001007F0">
            <w:pPr>
              <w:spacing w:line="276" w:lineRule="auto"/>
              <w:jc w:val="center"/>
              <w:rPr>
                <w:rFonts w:cs="Arial"/>
                <w:lang w:val="en-GB"/>
              </w:rPr>
            </w:pPr>
            <w:r w:rsidRPr="00E24C4B">
              <w:rPr>
                <w:rFonts w:cs="Arial"/>
                <w:lang w:val="en-GB"/>
              </w:rPr>
              <w:t>Beta</w:t>
            </w:r>
          </w:p>
        </w:tc>
        <w:tc>
          <w:tcPr>
            <w:tcW w:w="2410" w:type="dxa"/>
            <w:tcBorders>
              <w:top w:val="nil"/>
              <w:left w:val="single" w:sz="4" w:space="0" w:color="auto"/>
              <w:bottom w:val="single" w:sz="4" w:space="0" w:color="auto"/>
              <w:right w:val="single" w:sz="4" w:space="0" w:color="auto"/>
            </w:tcBorders>
            <w:vAlign w:val="center"/>
          </w:tcPr>
          <w:p w14:paraId="6A2CF327" w14:textId="4A2B18D0" w:rsidR="00682115" w:rsidRPr="00E24C4B" w:rsidRDefault="00682115" w:rsidP="001007F0">
            <w:pPr>
              <w:spacing w:line="276" w:lineRule="auto"/>
              <w:jc w:val="center"/>
              <w:rPr>
                <w:rFonts w:cs="Arial"/>
                <w:lang w:val="en-GB"/>
              </w:rPr>
            </w:pPr>
            <w:r w:rsidRPr="00E24C4B">
              <w:rPr>
                <w:rFonts w:cs="Arial"/>
                <w:lang w:val="en-GB"/>
              </w:rPr>
              <w:t>0.99% to 7.70%</w:t>
            </w:r>
          </w:p>
        </w:tc>
        <w:tc>
          <w:tcPr>
            <w:tcW w:w="2552" w:type="dxa"/>
            <w:noWrap/>
            <w:vAlign w:val="center"/>
          </w:tcPr>
          <w:p w14:paraId="5979019F" w14:textId="6FAEFA8A" w:rsidR="00682115" w:rsidRPr="00E24C4B" w:rsidRDefault="00682115" w:rsidP="001007F0">
            <w:pPr>
              <w:spacing w:line="276" w:lineRule="auto"/>
              <w:rPr>
                <w:rFonts w:cs="Arial"/>
                <w:highlight w:val="yellow"/>
                <w:lang w:val="en-GB"/>
              </w:rPr>
            </w:pPr>
            <w:r w:rsidRPr="00E24C4B">
              <w:rPr>
                <w:rFonts w:eastAsia="Calibri" w:cs="Arial"/>
                <w:iCs/>
                <w:lang w:val="en-GB" w:eastAsia="it-IT" w:bidi="it-IT"/>
              </w:rPr>
              <w:t>ECOG-ACRIN E1910</w:t>
            </w:r>
            <w:r w:rsidR="00557AD1">
              <w:rPr>
                <w:rFonts w:eastAsia="Calibri" w:cs="Arial"/>
                <w:iCs/>
                <w:lang w:val="en-GB" w:eastAsia="it-IT" w:bidi="it-IT"/>
              </w:rPr>
              <w:t>*</w:t>
            </w:r>
          </w:p>
        </w:tc>
      </w:tr>
      <w:tr w:rsidR="00811425" w:rsidRPr="002E1D08" w14:paraId="57A19A27" w14:textId="77777777" w:rsidTr="001D38A2">
        <w:trPr>
          <w:trHeight w:val="20"/>
        </w:trPr>
        <w:tc>
          <w:tcPr>
            <w:tcW w:w="4470" w:type="dxa"/>
            <w:noWrap/>
            <w:vAlign w:val="center"/>
          </w:tcPr>
          <w:p w14:paraId="3B43E2DF" w14:textId="2442EE97" w:rsidR="00682115" w:rsidRPr="00E24C4B" w:rsidRDefault="00682115" w:rsidP="001007F0">
            <w:pPr>
              <w:spacing w:line="276" w:lineRule="auto"/>
              <w:rPr>
                <w:rFonts w:cs="Arial"/>
                <w:lang w:val="en-GB"/>
              </w:rPr>
            </w:pPr>
            <w:r w:rsidRPr="00E24C4B">
              <w:rPr>
                <w:rFonts w:cs="Arial"/>
                <w:lang w:val="en-GB"/>
              </w:rPr>
              <w:t>Febrile neutropenia</w:t>
            </w:r>
          </w:p>
        </w:tc>
        <w:tc>
          <w:tcPr>
            <w:tcW w:w="2755" w:type="dxa"/>
            <w:tcBorders>
              <w:top w:val="nil"/>
              <w:left w:val="single" w:sz="4" w:space="0" w:color="auto"/>
              <w:bottom w:val="single" w:sz="4" w:space="0" w:color="auto"/>
              <w:right w:val="single" w:sz="4" w:space="0" w:color="auto"/>
            </w:tcBorders>
            <w:noWrap/>
            <w:vAlign w:val="center"/>
          </w:tcPr>
          <w:p w14:paraId="3663582F" w14:textId="30DABF47" w:rsidR="00682115" w:rsidRPr="00E24C4B" w:rsidRDefault="00682115" w:rsidP="001007F0">
            <w:pPr>
              <w:spacing w:line="276" w:lineRule="auto"/>
              <w:jc w:val="center"/>
              <w:rPr>
                <w:rFonts w:eastAsia="Times New Roman" w:cs="Arial"/>
                <w:lang w:val="en-GB" w:eastAsia="it-IT"/>
              </w:rPr>
            </w:pPr>
            <w:r w:rsidRPr="00E24C4B">
              <w:rPr>
                <w:rFonts w:cs="Arial"/>
                <w:lang w:val="en-GB"/>
              </w:rPr>
              <w:t>28.57%</w:t>
            </w:r>
          </w:p>
        </w:tc>
        <w:tc>
          <w:tcPr>
            <w:tcW w:w="2409" w:type="dxa"/>
            <w:noWrap/>
          </w:tcPr>
          <w:p w14:paraId="170C27C6" w14:textId="60A3C063" w:rsidR="00682115" w:rsidRPr="00E24C4B" w:rsidRDefault="00682115" w:rsidP="001007F0">
            <w:pPr>
              <w:spacing w:line="276" w:lineRule="auto"/>
              <w:jc w:val="center"/>
              <w:rPr>
                <w:rFonts w:cs="Arial"/>
                <w:lang w:val="en-GB"/>
              </w:rPr>
            </w:pPr>
            <w:r w:rsidRPr="00E24C4B">
              <w:rPr>
                <w:rFonts w:cs="Arial"/>
                <w:lang w:val="en-GB"/>
              </w:rPr>
              <w:t>Beta</w:t>
            </w:r>
          </w:p>
        </w:tc>
        <w:tc>
          <w:tcPr>
            <w:tcW w:w="2410" w:type="dxa"/>
            <w:tcBorders>
              <w:top w:val="nil"/>
              <w:left w:val="single" w:sz="4" w:space="0" w:color="auto"/>
              <w:bottom w:val="single" w:sz="4" w:space="0" w:color="auto"/>
              <w:right w:val="single" w:sz="4" w:space="0" w:color="auto"/>
            </w:tcBorders>
            <w:vAlign w:val="center"/>
          </w:tcPr>
          <w:p w14:paraId="485E83D0" w14:textId="3968184F" w:rsidR="00682115" w:rsidRPr="00E24C4B" w:rsidRDefault="00682115" w:rsidP="001007F0">
            <w:pPr>
              <w:spacing w:line="276" w:lineRule="auto"/>
              <w:jc w:val="center"/>
              <w:rPr>
                <w:rFonts w:cs="Arial"/>
                <w:lang w:val="en-GB"/>
              </w:rPr>
            </w:pPr>
            <w:r w:rsidRPr="00E24C4B">
              <w:rPr>
                <w:rFonts w:cs="Arial"/>
                <w:lang w:val="en-GB"/>
              </w:rPr>
              <w:t>20.63% to 37.24%</w:t>
            </w:r>
          </w:p>
        </w:tc>
        <w:tc>
          <w:tcPr>
            <w:tcW w:w="2552" w:type="dxa"/>
            <w:noWrap/>
            <w:vAlign w:val="center"/>
          </w:tcPr>
          <w:p w14:paraId="6CF394D5" w14:textId="26CE6118" w:rsidR="00682115" w:rsidRPr="00E24C4B" w:rsidRDefault="00682115" w:rsidP="001007F0">
            <w:pPr>
              <w:spacing w:line="276" w:lineRule="auto"/>
              <w:rPr>
                <w:rFonts w:cs="Arial"/>
                <w:highlight w:val="yellow"/>
                <w:lang w:val="en-GB"/>
              </w:rPr>
            </w:pPr>
            <w:r w:rsidRPr="00E24C4B">
              <w:rPr>
                <w:rFonts w:eastAsia="Calibri" w:cs="Arial"/>
                <w:iCs/>
                <w:lang w:val="en-GB" w:eastAsia="it-IT" w:bidi="it-IT"/>
              </w:rPr>
              <w:t>ECOG-ACRIN E1910</w:t>
            </w:r>
            <w:r w:rsidR="00557AD1">
              <w:rPr>
                <w:rFonts w:eastAsia="Calibri" w:cs="Arial"/>
                <w:iCs/>
                <w:lang w:val="en-GB" w:eastAsia="it-IT" w:bidi="it-IT"/>
              </w:rPr>
              <w:t>*</w:t>
            </w:r>
          </w:p>
        </w:tc>
      </w:tr>
      <w:tr w:rsidR="00811425" w:rsidRPr="002E1D08" w14:paraId="2A8290A7" w14:textId="77777777" w:rsidTr="001D38A2">
        <w:trPr>
          <w:trHeight w:val="20"/>
        </w:trPr>
        <w:tc>
          <w:tcPr>
            <w:tcW w:w="4470" w:type="dxa"/>
            <w:noWrap/>
            <w:vAlign w:val="center"/>
          </w:tcPr>
          <w:p w14:paraId="54763ECF" w14:textId="36C7DC17" w:rsidR="00682115" w:rsidRPr="00E24C4B" w:rsidRDefault="00682115" w:rsidP="001007F0">
            <w:pPr>
              <w:spacing w:line="276" w:lineRule="auto"/>
              <w:rPr>
                <w:rFonts w:cs="Arial"/>
                <w:lang w:val="en-GB"/>
              </w:rPr>
            </w:pPr>
            <w:r w:rsidRPr="00E24C4B">
              <w:rPr>
                <w:rFonts w:cs="Arial"/>
                <w:lang w:val="en-GB"/>
              </w:rPr>
              <w:t>Headache</w:t>
            </w:r>
          </w:p>
        </w:tc>
        <w:tc>
          <w:tcPr>
            <w:tcW w:w="2755" w:type="dxa"/>
            <w:tcBorders>
              <w:top w:val="nil"/>
              <w:left w:val="single" w:sz="4" w:space="0" w:color="auto"/>
              <w:bottom w:val="single" w:sz="4" w:space="0" w:color="auto"/>
              <w:right w:val="single" w:sz="4" w:space="0" w:color="auto"/>
            </w:tcBorders>
            <w:noWrap/>
            <w:vAlign w:val="center"/>
          </w:tcPr>
          <w:p w14:paraId="57547D9D" w14:textId="475B226D" w:rsidR="00682115" w:rsidRPr="00E24C4B" w:rsidRDefault="00682115" w:rsidP="001007F0">
            <w:pPr>
              <w:spacing w:line="276" w:lineRule="auto"/>
              <w:jc w:val="center"/>
              <w:rPr>
                <w:rFonts w:eastAsia="Times New Roman" w:cs="Arial"/>
                <w:lang w:val="en-GB" w:eastAsia="it-IT"/>
              </w:rPr>
            </w:pPr>
            <w:r w:rsidRPr="00E24C4B">
              <w:rPr>
                <w:rFonts w:cs="Arial"/>
                <w:lang w:val="en-GB"/>
              </w:rPr>
              <w:t>6.25%</w:t>
            </w:r>
          </w:p>
        </w:tc>
        <w:tc>
          <w:tcPr>
            <w:tcW w:w="2409" w:type="dxa"/>
            <w:noWrap/>
          </w:tcPr>
          <w:p w14:paraId="145DEFDE" w14:textId="05188264" w:rsidR="00682115" w:rsidRPr="00E24C4B" w:rsidRDefault="00682115" w:rsidP="001007F0">
            <w:pPr>
              <w:spacing w:line="276" w:lineRule="auto"/>
              <w:jc w:val="center"/>
              <w:rPr>
                <w:rFonts w:cs="Arial"/>
                <w:lang w:val="en-GB"/>
              </w:rPr>
            </w:pPr>
            <w:r w:rsidRPr="00E24C4B">
              <w:rPr>
                <w:rFonts w:cs="Arial"/>
                <w:lang w:val="en-GB"/>
              </w:rPr>
              <w:t>Beta</w:t>
            </w:r>
          </w:p>
        </w:tc>
        <w:tc>
          <w:tcPr>
            <w:tcW w:w="2410" w:type="dxa"/>
            <w:tcBorders>
              <w:top w:val="nil"/>
              <w:left w:val="single" w:sz="4" w:space="0" w:color="auto"/>
              <w:bottom w:val="single" w:sz="4" w:space="0" w:color="auto"/>
              <w:right w:val="single" w:sz="4" w:space="0" w:color="auto"/>
            </w:tcBorders>
            <w:vAlign w:val="center"/>
          </w:tcPr>
          <w:p w14:paraId="72C7C74D" w14:textId="7126CA05" w:rsidR="00682115" w:rsidRPr="00E24C4B" w:rsidRDefault="00682115" w:rsidP="001007F0">
            <w:pPr>
              <w:spacing w:line="276" w:lineRule="auto"/>
              <w:jc w:val="center"/>
              <w:rPr>
                <w:rFonts w:cs="Arial"/>
                <w:lang w:val="en-GB"/>
              </w:rPr>
            </w:pPr>
            <w:r w:rsidRPr="00E24C4B">
              <w:rPr>
                <w:rFonts w:cs="Arial"/>
                <w:lang w:val="en-GB"/>
              </w:rPr>
              <w:t>2.57% to 11.39%</w:t>
            </w:r>
          </w:p>
        </w:tc>
        <w:tc>
          <w:tcPr>
            <w:tcW w:w="2552" w:type="dxa"/>
            <w:noWrap/>
            <w:vAlign w:val="center"/>
          </w:tcPr>
          <w:p w14:paraId="7535C2E4" w14:textId="566F8AFE" w:rsidR="00682115" w:rsidRPr="00E24C4B" w:rsidRDefault="00682115" w:rsidP="001007F0">
            <w:pPr>
              <w:spacing w:line="276" w:lineRule="auto"/>
              <w:rPr>
                <w:rFonts w:cs="Arial"/>
                <w:highlight w:val="yellow"/>
                <w:lang w:val="en-GB"/>
              </w:rPr>
            </w:pPr>
            <w:r w:rsidRPr="00E24C4B">
              <w:rPr>
                <w:rFonts w:eastAsia="Calibri" w:cs="Arial"/>
                <w:iCs/>
                <w:lang w:val="en-GB" w:eastAsia="it-IT" w:bidi="it-IT"/>
              </w:rPr>
              <w:t>ECOG-ACRIN E1910</w:t>
            </w:r>
            <w:r w:rsidR="00557AD1">
              <w:rPr>
                <w:rFonts w:eastAsia="Calibri" w:cs="Arial"/>
                <w:iCs/>
                <w:lang w:val="en-GB" w:eastAsia="it-IT" w:bidi="it-IT"/>
              </w:rPr>
              <w:t>*</w:t>
            </w:r>
          </w:p>
        </w:tc>
      </w:tr>
      <w:tr w:rsidR="00811425" w:rsidRPr="002E1D08" w14:paraId="1CC7BDE9" w14:textId="77777777" w:rsidTr="001D38A2">
        <w:trPr>
          <w:trHeight w:val="20"/>
        </w:trPr>
        <w:tc>
          <w:tcPr>
            <w:tcW w:w="4470" w:type="dxa"/>
            <w:noWrap/>
            <w:vAlign w:val="center"/>
          </w:tcPr>
          <w:p w14:paraId="3EB02F5D" w14:textId="2C5331E7" w:rsidR="00682115" w:rsidRPr="00E24C4B" w:rsidRDefault="00682115" w:rsidP="001007F0">
            <w:pPr>
              <w:spacing w:line="276" w:lineRule="auto"/>
              <w:rPr>
                <w:rFonts w:cs="Arial"/>
                <w:lang w:val="en-GB"/>
              </w:rPr>
            </w:pPr>
            <w:r w:rsidRPr="00E24C4B">
              <w:rPr>
                <w:rFonts w:cs="Arial"/>
                <w:lang w:val="en-GB"/>
              </w:rPr>
              <w:t>Hyperglycaemia</w:t>
            </w:r>
          </w:p>
        </w:tc>
        <w:tc>
          <w:tcPr>
            <w:tcW w:w="2755" w:type="dxa"/>
            <w:tcBorders>
              <w:top w:val="nil"/>
              <w:left w:val="single" w:sz="4" w:space="0" w:color="auto"/>
              <w:bottom w:val="single" w:sz="4" w:space="0" w:color="auto"/>
              <w:right w:val="single" w:sz="4" w:space="0" w:color="auto"/>
            </w:tcBorders>
            <w:noWrap/>
            <w:vAlign w:val="center"/>
          </w:tcPr>
          <w:p w14:paraId="0815DB34" w14:textId="7528AD11" w:rsidR="00682115" w:rsidRPr="00E24C4B" w:rsidRDefault="00682115" w:rsidP="001007F0">
            <w:pPr>
              <w:spacing w:line="276" w:lineRule="auto"/>
              <w:jc w:val="center"/>
              <w:rPr>
                <w:rFonts w:eastAsia="Times New Roman" w:cs="Arial"/>
                <w:lang w:val="en-GB" w:eastAsia="it-IT"/>
              </w:rPr>
            </w:pPr>
            <w:r w:rsidRPr="00E24C4B">
              <w:rPr>
                <w:rFonts w:cs="Arial"/>
                <w:lang w:val="en-GB"/>
              </w:rPr>
              <w:t>8.04%</w:t>
            </w:r>
          </w:p>
        </w:tc>
        <w:tc>
          <w:tcPr>
            <w:tcW w:w="2409" w:type="dxa"/>
            <w:noWrap/>
          </w:tcPr>
          <w:p w14:paraId="5F070A93" w14:textId="184EE370" w:rsidR="00682115" w:rsidRPr="00E24C4B" w:rsidRDefault="00682115" w:rsidP="001007F0">
            <w:pPr>
              <w:spacing w:line="276" w:lineRule="auto"/>
              <w:jc w:val="center"/>
              <w:rPr>
                <w:rFonts w:cs="Arial"/>
                <w:lang w:val="en-GB"/>
              </w:rPr>
            </w:pPr>
            <w:r w:rsidRPr="00E24C4B">
              <w:rPr>
                <w:rFonts w:cs="Arial"/>
                <w:lang w:val="en-GB"/>
              </w:rPr>
              <w:t>Beta</w:t>
            </w:r>
          </w:p>
        </w:tc>
        <w:tc>
          <w:tcPr>
            <w:tcW w:w="2410" w:type="dxa"/>
            <w:tcBorders>
              <w:top w:val="nil"/>
              <w:left w:val="single" w:sz="4" w:space="0" w:color="auto"/>
              <w:bottom w:val="single" w:sz="4" w:space="0" w:color="auto"/>
              <w:right w:val="single" w:sz="4" w:space="0" w:color="auto"/>
            </w:tcBorders>
            <w:vAlign w:val="center"/>
          </w:tcPr>
          <w:p w14:paraId="2C2D96E0" w14:textId="52C4507E" w:rsidR="00682115" w:rsidRPr="00E24C4B" w:rsidRDefault="00682115" w:rsidP="001007F0">
            <w:pPr>
              <w:spacing w:line="276" w:lineRule="auto"/>
              <w:jc w:val="center"/>
              <w:rPr>
                <w:rFonts w:cs="Arial"/>
                <w:lang w:val="en-GB"/>
              </w:rPr>
            </w:pPr>
            <w:r w:rsidRPr="00E24C4B">
              <w:rPr>
                <w:rFonts w:cs="Arial"/>
                <w:lang w:val="en-GB"/>
              </w:rPr>
              <w:t>3.77% to 13.71%</w:t>
            </w:r>
          </w:p>
        </w:tc>
        <w:tc>
          <w:tcPr>
            <w:tcW w:w="2552" w:type="dxa"/>
            <w:noWrap/>
            <w:vAlign w:val="center"/>
          </w:tcPr>
          <w:p w14:paraId="6C01D14F" w14:textId="103411BC" w:rsidR="00682115" w:rsidRPr="00E24C4B" w:rsidRDefault="00682115" w:rsidP="001007F0">
            <w:pPr>
              <w:spacing w:line="276" w:lineRule="auto"/>
              <w:rPr>
                <w:rFonts w:cs="Arial"/>
                <w:highlight w:val="yellow"/>
                <w:lang w:val="en-GB"/>
              </w:rPr>
            </w:pPr>
            <w:r w:rsidRPr="00E24C4B">
              <w:rPr>
                <w:rFonts w:eastAsia="Calibri" w:cs="Arial"/>
                <w:iCs/>
                <w:lang w:val="en-GB" w:eastAsia="it-IT" w:bidi="it-IT"/>
              </w:rPr>
              <w:t>ECOG-ACRIN E1910</w:t>
            </w:r>
            <w:r w:rsidR="00557AD1">
              <w:rPr>
                <w:rFonts w:eastAsia="Calibri" w:cs="Arial"/>
                <w:iCs/>
                <w:lang w:val="en-GB" w:eastAsia="it-IT" w:bidi="it-IT"/>
              </w:rPr>
              <w:t>*</w:t>
            </w:r>
          </w:p>
        </w:tc>
      </w:tr>
      <w:tr w:rsidR="00811425" w:rsidRPr="002E1D08" w14:paraId="08D8EE3A" w14:textId="77777777" w:rsidTr="001D38A2">
        <w:trPr>
          <w:trHeight w:val="20"/>
        </w:trPr>
        <w:tc>
          <w:tcPr>
            <w:tcW w:w="4470" w:type="dxa"/>
            <w:noWrap/>
            <w:vAlign w:val="center"/>
          </w:tcPr>
          <w:p w14:paraId="367AA1DA" w14:textId="0EAE32B4" w:rsidR="00682115" w:rsidRPr="00E24C4B" w:rsidRDefault="00682115" w:rsidP="001007F0">
            <w:pPr>
              <w:spacing w:line="276" w:lineRule="auto"/>
              <w:rPr>
                <w:rFonts w:cs="Arial"/>
                <w:lang w:val="en-GB"/>
              </w:rPr>
            </w:pPr>
            <w:r w:rsidRPr="00E24C4B">
              <w:rPr>
                <w:rFonts w:cs="Arial"/>
                <w:lang w:val="en-GB"/>
              </w:rPr>
              <w:t>Hypertension</w:t>
            </w:r>
          </w:p>
        </w:tc>
        <w:tc>
          <w:tcPr>
            <w:tcW w:w="2755" w:type="dxa"/>
            <w:tcBorders>
              <w:top w:val="nil"/>
              <w:left w:val="single" w:sz="4" w:space="0" w:color="auto"/>
              <w:bottom w:val="single" w:sz="4" w:space="0" w:color="auto"/>
              <w:right w:val="single" w:sz="4" w:space="0" w:color="auto"/>
            </w:tcBorders>
            <w:noWrap/>
            <w:vAlign w:val="center"/>
          </w:tcPr>
          <w:p w14:paraId="199FEE1B" w14:textId="529A355E" w:rsidR="00682115" w:rsidRPr="00E24C4B" w:rsidRDefault="00682115" w:rsidP="001007F0">
            <w:pPr>
              <w:spacing w:line="276" w:lineRule="auto"/>
              <w:jc w:val="center"/>
              <w:rPr>
                <w:rFonts w:eastAsia="Times New Roman" w:cs="Arial"/>
                <w:lang w:val="en-GB" w:eastAsia="it-IT"/>
              </w:rPr>
            </w:pPr>
            <w:r w:rsidRPr="00E24C4B">
              <w:rPr>
                <w:rFonts w:cs="Arial"/>
                <w:lang w:val="en-GB"/>
              </w:rPr>
              <w:t>2.68%</w:t>
            </w:r>
          </w:p>
        </w:tc>
        <w:tc>
          <w:tcPr>
            <w:tcW w:w="2409" w:type="dxa"/>
            <w:noWrap/>
          </w:tcPr>
          <w:p w14:paraId="3283C406" w14:textId="25780081" w:rsidR="00682115" w:rsidRPr="00E24C4B" w:rsidRDefault="00682115" w:rsidP="001007F0">
            <w:pPr>
              <w:spacing w:line="276" w:lineRule="auto"/>
              <w:jc w:val="center"/>
              <w:rPr>
                <w:rFonts w:cs="Arial"/>
                <w:lang w:val="en-GB"/>
              </w:rPr>
            </w:pPr>
            <w:r w:rsidRPr="00E24C4B">
              <w:rPr>
                <w:rFonts w:cs="Arial"/>
                <w:lang w:val="en-GB"/>
              </w:rPr>
              <w:t>Beta</w:t>
            </w:r>
          </w:p>
        </w:tc>
        <w:tc>
          <w:tcPr>
            <w:tcW w:w="2410" w:type="dxa"/>
            <w:tcBorders>
              <w:top w:val="nil"/>
              <w:left w:val="single" w:sz="4" w:space="0" w:color="auto"/>
              <w:bottom w:val="single" w:sz="4" w:space="0" w:color="auto"/>
              <w:right w:val="single" w:sz="4" w:space="0" w:color="auto"/>
            </w:tcBorders>
            <w:vAlign w:val="center"/>
          </w:tcPr>
          <w:p w14:paraId="0403F7D8" w14:textId="3EE0FDDD" w:rsidR="00682115" w:rsidRPr="00E24C4B" w:rsidRDefault="00682115" w:rsidP="001007F0">
            <w:pPr>
              <w:spacing w:line="276" w:lineRule="auto"/>
              <w:jc w:val="center"/>
              <w:rPr>
                <w:rFonts w:cs="Arial"/>
                <w:lang w:val="en-GB"/>
              </w:rPr>
            </w:pPr>
            <w:r w:rsidRPr="00E24C4B">
              <w:rPr>
                <w:rFonts w:cs="Arial"/>
                <w:lang w:val="en-GB"/>
              </w:rPr>
              <w:t>0.56% to 6.36%</w:t>
            </w:r>
          </w:p>
        </w:tc>
        <w:tc>
          <w:tcPr>
            <w:tcW w:w="2552" w:type="dxa"/>
            <w:noWrap/>
            <w:vAlign w:val="center"/>
          </w:tcPr>
          <w:p w14:paraId="2747CEE5" w14:textId="38991C82" w:rsidR="00682115" w:rsidRPr="00E24C4B" w:rsidRDefault="00682115" w:rsidP="001007F0">
            <w:pPr>
              <w:spacing w:line="276" w:lineRule="auto"/>
              <w:rPr>
                <w:rFonts w:cs="Arial"/>
                <w:highlight w:val="yellow"/>
                <w:lang w:val="en-GB"/>
              </w:rPr>
            </w:pPr>
            <w:r w:rsidRPr="00E24C4B">
              <w:rPr>
                <w:rFonts w:eastAsia="Calibri" w:cs="Arial"/>
                <w:iCs/>
                <w:lang w:val="en-GB" w:eastAsia="it-IT" w:bidi="it-IT"/>
              </w:rPr>
              <w:t>ECOG-ACRIN E1910</w:t>
            </w:r>
            <w:r w:rsidR="00557AD1">
              <w:rPr>
                <w:rFonts w:eastAsia="Calibri" w:cs="Arial"/>
                <w:iCs/>
                <w:lang w:val="en-GB" w:eastAsia="it-IT" w:bidi="it-IT"/>
              </w:rPr>
              <w:t>*</w:t>
            </w:r>
          </w:p>
        </w:tc>
      </w:tr>
      <w:tr w:rsidR="00811425" w:rsidRPr="002E1D08" w14:paraId="3B0656F0" w14:textId="77777777" w:rsidTr="001D38A2">
        <w:trPr>
          <w:trHeight w:val="20"/>
        </w:trPr>
        <w:tc>
          <w:tcPr>
            <w:tcW w:w="4470" w:type="dxa"/>
            <w:noWrap/>
            <w:vAlign w:val="center"/>
          </w:tcPr>
          <w:p w14:paraId="17AC5F3E" w14:textId="4BDBD751" w:rsidR="00682115" w:rsidRPr="00E24C4B" w:rsidRDefault="00682115" w:rsidP="001007F0">
            <w:pPr>
              <w:spacing w:line="276" w:lineRule="auto"/>
              <w:rPr>
                <w:rFonts w:cs="Arial"/>
                <w:lang w:val="en-GB"/>
              </w:rPr>
            </w:pPr>
            <w:r w:rsidRPr="00E24C4B">
              <w:rPr>
                <w:rFonts w:cs="Arial"/>
                <w:lang w:val="en-GB"/>
              </w:rPr>
              <w:t>Hypertriglyceridaemia</w:t>
            </w:r>
          </w:p>
        </w:tc>
        <w:tc>
          <w:tcPr>
            <w:tcW w:w="2755" w:type="dxa"/>
            <w:tcBorders>
              <w:top w:val="nil"/>
              <w:left w:val="single" w:sz="4" w:space="0" w:color="auto"/>
              <w:bottom w:val="single" w:sz="4" w:space="0" w:color="auto"/>
              <w:right w:val="single" w:sz="4" w:space="0" w:color="auto"/>
            </w:tcBorders>
            <w:noWrap/>
            <w:vAlign w:val="center"/>
          </w:tcPr>
          <w:p w14:paraId="4ACE91C8" w14:textId="35CC2780" w:rsidR="00682115" w:rsidRPr="00E24C4B" w:rsidRDefault="00682115" w:rsidP="001007F0">
            <w:pPr>
              <w:spacing w:line="276" w:lineRule="auto"/>
              <w:jc w:val="center"/>
              <w:rPr>
                <w:rFonts w:eastAsia="Times New Roman" w:cs="Arial"/>
                <w:lang w:val="en-GB" w:eastAsia="it-IT"/>
              </w:rPr>
            </w:pPr>
            <w:r w:rsidRPr="00E24C4B">
              <w:rPr>
                <w:rFonts w:cs="Arial"/>
                <w:lang w:val="en-GB"/>
              </w:rPr>
              <w:t>5.36%</w:t>
            </w:r>
          </w:p>
        </w:tc>
        <w:tc>
          <w:tcPr>
            <w:tcW w:w="2409" w:type="dxa"/>
            <w:noWrap/>
          </w:tcPr>
          <w:p w14:paraId="43D17D62" w14:textId="07B80CEA" w:rsidR="00682115" w:rsidRPr="00E24C4B" w:rsidRDefault="00682115" w:rsidP="001007F0">
            <w:pPr>
              <w:spacing w:line="276" w:lineRule="auto"/>
              <w:jc w:val="center"/>
              <w:rPr>
                <w:rFonts w:cs="Arial"/>
                <w:lang w:val="en-GB"/>
              </w:rPr>
            </w:pPr>
            <w:r w:rsidRPr="00E24C4B">
              <w:rPr>
                <w:rFonts w:cs="Arial"/>
                <w:lang w:val="en-GB"/>
              </w:rPr>
              <w:t>Beta</w:t>
            </w:r>
          </w:p>
        </w:tc>
        <w:tc>
          <w:tcPr>
            <w:tcW w:w="2410" w:type="dxa"/>
            <w:tcBorders>
              <w:top w:val="nil"/>
              <w:left w:val="single" w:sz="4" w:space="0" w:color="auto"/>
              <w:bottom w:val="single" w:sz="4" w:space="0" w:color="auto"/>
              <w:right w:val="single" w:sz="4" w:space="0" w:color="auto"/>
            </w:tcBorders>
            <w:vAlign w:val="center"/>
          </w:tcPr>
          <w:p w14:paraId="56C3EE18" w14:textId="61F6BAA3" w:rsidR="00682115" w:rsidRPr="00E24C4B" w:rsidRDefault="00682115" w:rsidP="001007F0">
            <w:pPr>
              <w:spacing w:line="276" w:lineRule="auto"/>
              <w:jc w:val="center"/>
              <w:rPr>
                <w:rFonts w:cs="Arial"/>
                <w:lang w:val="en-GB"/>
              </w:rPr>
            </w:pPr>
            <w:r w:rsidRPr="00E24C4B">
              <w:rPr>
                <w:rFonts w:cs="Arial"/>
                <w:lang w:val="en-GB"/>
              </w:rPr>
              <w:t>2.01% to 10.20%</w:t>
            </w:r>
          </w:p>
        </w:tc>
        <w:tc>
          <w:tcPr>
            <w:tcW w:w="2552" w:type="dxa"/>
            <w:noWrap/>
            <w:vAlign w:val="center"/>
          </w:tcPr>
          <w:p w14:paraId="3591F239" w14:textId="64E77E71" w:rsidR="00682115" w:rsidRPr="00E24C4B" w:rsidRDefault="00682115" w:rsidP="001007F0">
            <w:pPr>
              <w:spacing w:line="276" w:lineRule="auto"/>
              <w:rPr>
                <w:rFonts w:cs="Arial"/>
                <w:highlight w:val="yellow"/>
                <w:lang w:val="en-GB"/>
              </w:rPr>
            </w:pPr>
            <w:r w:rsidRPr="00E24C4B">
              <w:rPr>
                <w:rFonts w:eastAsia="Calibri" w:cs="Arial"/>
                <w:iCs/>
                <w:lang w:val="en-GB" w:eastAsia="it-IT" w:bidi="it-IT"/>
              </w:rPr>
              <w:t>ECOG-ACRIN E1910</w:t>
            </w:r>
            <w:r w:rsidR="00557AD1">
              <w:rPr>
                <w:rFonts w:eastAsia="Calibri" w:cs="Arial"/>
                <w:iCs/>
                <w:lang w:val="en-GB" w:eastAsia="it-IT" w:bidi="it-IT"/>
              </w:rPr>
              <w:t>*</w:t>
            </w:r>
          </w:p>
        </w:tc>
      </w:tr>
      <w:tr w:rsidR="00811425" w:rsidRPr="002E1D08" w14:paraId="60D5495F" w14:textId="77777777" w:rsidTr="001D38A2">
        <w:trPr>
          <w:trHeight w:val="20"/>
        </w:trPr>
        <w:tc>
          <w:tcPr>
            <w:tcW w:w="4470" w:type="dxa"/>
            <w:noWrap/>
            <w:vAlign w:val="center"/>
          </w:tcPr>
          <w:p w14:paraId="46A06422" w14:textId="4BE0138B" w:rsidR="00682115" w:rsidRPr="00E24C4B" w:rsidRDefault="00682115" w:rsidP="001007F0">
            <w:pPr>
              <w:spacing w:line="276" w:lineRule="auto"/>
              <w:rPr>
                <w:rFonts w:cs="Arial"/>
                <w:lang w:val="en-GB"/>
              </w:rPr>
            </w:pPr>
            <w:r w:rsidRPr="00E24C4B">
              <w:rPr>
                <w:rFonts w:cs="Arial"/>
                <w:lang w:val="en-GB"/>
              </w:rPr>
              <w:t>Hypotension</w:t>
            </w:r>
          </w:p>
        </w:tc>
        <w:tc>
          <w:tcPr>
            <w:tcW w:w="2755" w:type="dxa"/>
            <w:tcBorders>
              <w:top w:val="nil"/>
              <w:left w:val="single" w:sz="4" w:space="0" w:color="auto"/>
              <w:bottom w:val="single" w:sz="4" w:space="0" w:color="auto"/>
              <w:right w:val="single" w:sz="4" w:space="0" w:color="auto"/>
            </w:tcBorders>
            <w:noWrap/>
            <w:vAlign w:val="center"/>
          </w:tcPr>
          <w:p w14:paraId="122E4897" w14:textId="461C4C94" w:rsidR="00682115" w:rsidRPr="00E24C4B" w:rsidRDefault="00682115" w:rsidP="001007F0">
            <w:pPr>
              <w:spacing w:line="276" w:lineRule="auto"/>
              <w:jc w:val="center"/>
              <w:rPr>
                <w:rFonts w:eastAsia="Times New Roman" w:cs="Arial"/>
                <w:lang w:val="en-GB" w:eastAsia="it-IT"/>
              </w:rPr>
            </w:pPr>
            <w:r w:rsidRPr="00E24C4B">
              <w:rPr>
                <w:rFonts w:cs="Arial"/>
                <w:lang w:val="en-GB"/>
              </w:rPr>
              <w:t>2.68%</w:t>
            </w:r>
          </w:p>
        </w:tc>
        <w:tc>
          <w:tcPr>
            <w:tcW w:w="2409" w:type="dxa"/>
            <w:noWrap/>
          </w:tcPr>
          <w:p w14:paraId="625812D9" w14:textId="3AD41B64" w:rsidR="00682115" w:rsidRPr="00E24C4B" w:rsidRDefault="00682115" w:rsidP="001007F0">
            <w:pPr>
              <w:spacing w:line="276" w:lineRule="auto"/>
              <w:jc w:val="center"/>
              <w:rPr>
                <w:rFonts w:cs="Arial"/>
                <w:lang w:val="en-GB"/>
              </w:rPr>
            </w:pPr>
            <w:r w:rsidRPr="00E24C4B">
              <w:rPr>
                <w:rFonts w:cs="Arial"/>
                <w:lang w:val="en-GB"/>
              </w:rPr>
              <w:t>Beta</w:t>
            </w:r>
          </w:p>
        </w:tc>
        <w:tc>
          <w:tcPr>
            <w:tcW w:w="2410" w:type="dxa"/>
            <w:tcBorders>
              <w:top w:val="nil"/>
              <w:left w:val="single" w:sz="4" w:space="0" w:color="auto"/>
              <w:bottom w:val="single" w:sz="4" w:space="0" w:color="auto"/>
              <w:right w:val="single" w:sz="4" w:space="0" w:color="auto"/>
            </w:tcBorders>
            <w:vAlign w:val="center"/>
          </w:tcPr>
          <w:p w14:paraId="67D7E90B" w14:textId="71C533BA" w:rsidR="00682115" w:rsidRPr="00E24C4B" w:rsidRDefault="00682115" w:rsidP="001007F0">
            <w:pPr>
              <w:spacing w:line="276" w:lineRule="auto"/>
              <w:jc w:val="center"/>
              <w:rPr>
                <w:rFonts w:cs="Arial"/>
                <w:lang w:val="en-GB"/>
              </w:rPr>
            </w:pPr>
            <w:r w:rsidRPr="00E24C4B">
              <w:rPr>
                <w:rFonts w:cs="Arial"/>
                <w:lang w:val="en-GB"/>
              </w:rPr>
              <w:t>0.56% to 6.36%</w:t>
            </w:r>
          </w:p>
        </w:tc>
        <w:tc>
          <w:tcPr>
            <w:tcW w:w="2552" w:type="dxa"/>
            <w:noWrap/>
            <w:vAlign w:val="center"/>
          </w:tcPr>
          <w:p w14:paraId="61143F82" w14:textId="1FEA9F60" w:rsidR="00682115" w:rsidRPr="00E24C4B" w:rsidRDefault="00682115" w:rsidP="001007F0">
            <w:pPr>
              <w:spacing w:line="276" w:lineRule="auto"/>
              <w:rPr>
                <w:rFonts w:cs="Arial"/>
                <w:highlight w:val="yellow"/>
                <w:lang w:val="en-GB"/>
              </w:rPr>
            </w:pPr>
            <w:r w:rsidRPr="00E24C4B">
              <w:rPr>
                <w:rFonts w:eastAsia="Calibri" w:cs="Arial"/>
                <w:iCs/>
                <w:lang w:val="en-GB" w:eastAsia="it-IT" w:bidi="it-IT"/>
              </w:rPr>
              <w:t>ECOG-ACRIN E1910</w:t>
            </w:r>
            <w:r w:rsidR="00557AD1">
              <w:rPr>
                <w:rFonts w:eastAsia="Calibri" w:cs="Arial"/>
                <w:iCs/>
                <w:lang w:val="en-GB" w:eastAsia="it-IT" w:bidi="it-IT"/>
              </w:rPr>
              <w:t>*</w:t>
            </w:r>
          </w:p>
        </w:tc>
      </w:tr>
      <w:tr w:rsidR="00811425" w:rsidRPr="002E1D08" w14:paraId="107707F8" w14:textId="77777777" w:rsidTr="001D38A2">
        <w:trPr>
          <w:trHeight w:val="20"/>
        </w:trPr>
        <w:tc>
          <w:tcPr>
            <w:tcW w:w="4470" w:type="dxa"/>
            <w:noWrap/>
            <w:vAlign w:val="center"/>
          </w:tcPr>
          <w:p w14:paraId="0CA9A952" w14:textId="6E5AA285" w:rsidR="00682115" w:rsidRPr="00E24C4B" w:rsidRDefault="00682115" w:rsidP="001007F0">
            <w:pPr>
              <w:spacing w:line="276" w:lineRule="auto"/>
              <w:rPr>
                <w:rFonts w:cs="Arial"/>
                <w:lang w:val="en-GB"/>
              </w:rPr>
            </w:pPr>
            <w:r w:rsidRPr="00E24C4B">
              <w:rPr>
                <w:rFonts w:cs="Arial"/>
                <w:lang w:val="en-GB"/>
              </w:rPr>
              <w:t>Lymphocyte count decreased</w:t>
            </w:r>
          </w:p>
        </w:tc>
        <w:tc>
          <w:tcPr>
            <w:tcW w:w="2755" w:type="dxa"/>
            <w:tcBorders>
              <w:top w:val="nil"/>
              <w:left w:val="single" w:sz="4" w:space="0" w:color="auto"/>
              <w:bottom w:val="single" w:sz="4" w:space="0" w:color="auto"/>
              <w:right w:val="single" w:sz="4" w:space="0" w:color="auto"/>
            </w:tcBorders>
            <w:noWrap/>
            <w:vAlign w:val="center"/>
          </w:tcPr>
          <w:p w14:paraId="63D15647" w14:textId="4D274F65" w:rsidR="00682115" w:rsidRPr="00E24C4B" w:rsidRDefault="00682115" w:rsidP="001007F0">
            <w:pPr>
              <w:spacing w:line="276" w:lineRule="auto"/>
              <w:jc w:val="center"/>
              <w:rPr>
                <w:rFonts w:eastAsia="Times New Roman" w:cs="Arial"/>
                <w:lang w:val="en-GB" w:eastAsia="it-IT"/>
              </w:rPr>
            </w:pPr>
            <w:r w:rsidRPr="00E24C4B">
              <w:rPr>
                <w:rFonts w:cs="Arial"/>
                <w:lang w:val="en-GB"/>
              </w:rPr>
              <w:t>27.68%</w:t>
            </w:r>
          </w:p>
        </w:tc>
        <w:tc>
          <w:tcPr>
            <w:tcW w:w="2409" w:type="dxa"/>
            <w:noWrap/>
          </w:tcPr>
          <w:p w14:paraId="0539F5E0" w14:textId="762B8F83" w:rsidR="00682115" w:rsidRPr="00E24C4B" w:rsidRDefault="00682115" w:rsidP="001007F0">
            <w:pPr>
              <w:spacing w:line="276" w:lineRule="auto"/>
              <w:jc w:val="center"/>
              <w:rPr>
                <w:rFonts w:cs="Arial"/>
                <w:lang w:val="en-GB"/>
              </w:rPr>
            </w:pPr>
            <w:r w:rsidRPr="00E24C4B">
              <w:rPr>
                <w:rFonts w:cs="Arial"/>
                <w:lang w:val="en-GB"/>
              </w:rPr>
              <w:t>Beta</w:t>
            </w:r>
          </w:p>
        </w:tc>
        <w:tc>
          <w:tcPr>
            <w:tcW w:w="2410" w:type="dxa"/>
            <w:tcBorders>
              <w:top w:val="nil"/>
              <w:left w:val="single" w:sz="4" w:space="0" w:color="auto"/>
              <w:bottom w:val="single" w:sz="4" w:space="0" w:color="auto"/>
              <w:right w:val="single" w:sz="4" w:space="0" w:color="auto"/>
            </w:tcBorders>
            <w:vAlign w:val="center"/>
          </w:tcPr>
          <w:p w14:paraId="1B9A34C5" w14:textId="5585B69E" w:rsidR="00682115" w:rsidRPr="00E24C4B" w:rsidRDefault="00682115" w:rsidP="001007F0">
            <w:pPr>
              <w:spacing w:line="276" w:lineRule="auto"/>
              <w:jc w:val="center"/>
              <w:rPr>
                <w:rFonts w:cs="Arial"/>
                <w:lang w:val="en-GB"/>
              </w:rPr>
            </w:pPr>
            <w:r w:rsidRPr="00E24C4B">
              <w:rPr>
                <w:rFonts w:cs="Arial"/>
                <w:lang w:val="en-GB"/>
              </w:rPr>
              <w:t>19.83% to 36.28%</w:t>
            </w:r>
          </w:p>
        </w:tc>
        <w:tc>
          <w:tcPr>
            <w:tcW w:w="2552" w:type="dxa"/>
            <w:noWrap/>
            <w:vAlign w:val="center"/>
          </w:tcPr>
          <w:p w14:paraId="05E72B5B" w14:textId="06F0F60D" w:rsidR="00682115" w:rsidRPr="00E24C4B" w:rsidRDefault="00682115" w:rsidP="001007F0">
            <w:pPr>
              <w:spacing w:line="276" w:lineRule="auto"/>
              <w:rPr>
                <w:rFonts w:cs="Arial"/>
                <w:highlight w:val="yellow"/>
                <w:lang w:val="en-GB"/>
              </w:rPr>
            </w:pPr>
            <w:r w:rsidRPr="00E24C4B">
              <w:rPr>
                <w:rFonts w:eastAsia="Calibri" w:cs="Arial"/>
                <w:iCs/>
                <w:lang w:val="en-GB" w:eastAsia="it-IT" w:bidi="it-IT"/>
              </w:rPr>
              <w:t>ECOG-ACRIN E1910</w:t>
            </w:r>
            <w:r w:rsidR="00557AD1">
              <w:rPr>
                <w:rFonts w:eastAsia="Calibri" w:cs="Arial"/>
                <w:iCs/>
                <w:lang w:val="en-GB" w:eastAsia="it-IT" w:bidi="it-IT"/>
              </w:rPr>
              <w:t>*</w:t>
            </w:r>
          </w:p>
        </w:tc>
      </w:tr>
      <w:tr w:rsidR="00811425" w:rsidRPr="002E1D08" w14:paraId="7204D9E9" w14:textId="77777777" w:rsidTr="001D38A2">
        <w:trPr>
          <w:trHeight w:val="20"/>
        </w:trPr>
        <w:tc>
          <w:tcPr>
            <w:tcW w:w="4470" w:type="dxa"/>
            <w:noWrap/>
            <w:vAlign w:val="center"/>
          </w:tcPr>
          <w:p w14:paraId="7F807376" w14:textId="2619BF28" w:rsidR="00682115" w:rsidRPr="00E24C4B" w:rsidRDefault="00682115" w:rsidP="001007F0">
            <w:pPr>
              <w:spacing w:line="276" w:lineRule="auto"/>
              <w:rPr>
                <w:rFonts w:cs="Arial"/>
                <w:lang w:val="en-GB"/>
              </w:rPr>
            </w:pPr>
            <w:r w:rsidRPr="00E24C4B">
              <w:rPr>
                <w:rFonts w:cs="Arial"/>
                <w:lang w:val="en-GB"/>
              </w:rPr>
              <w:t>Nausea</w:t>
            </w:r>
          </w:p>
        </w:tc>
        <w:tc>
          <w:tcPr>
            <w:tcW w:w="2755" w:type="dxa"/>
            <w:tcBorders>
              <w:top w:val="nil"/>
              <w:left w:val="single" w:sz="4" w:space="0" w:color="auto"/>
              <w:bottom w:val="single" w:sz="4" w:space="0" w:color="auto"/>
              <w:right w:val="single" w:sz="4" w:space="0" w:color="auto"/>
            </w:tcBorders>
            <w:noWrap/>
            <w:vAlign w:val="center"/>
          </w:tcPr>
          <w:p w14:paraId="7DDA7D09" w14:textId="279E722A" w:rsidR="00682115" w:rsidRPr="00E24C4B" w:rsidRDefault="00682115" w:rsidP="001007F0">
            <w:pPr>
              <w:spacing w:line="276" w:lineRule="auto"/>
              <w:jc w:val="center"/>
              <w:rPr>
                <w:rFonts w:eastAsia="Times New Roman" w:cs="Arial"/>
                <w:lang w:val="en-GB" w:eastAsia="it-IT"/>
              </w:rPr>
            </w:pPr>
            <w:r w:rsidRPr="00E24C4B">
              <w:rPr>
                <w:rFonts w:cs="Arial"/>
                <w:lang w:val="en-GB"/>
              </w:rPr>
              <w:t>0.89%</w:t>
            </w:r>
          </w:p>
        </w:tc>
        <w:tc>
          <w:tcPr>
            <w:tcW w:w="2409" w:type="dxa"/>
            <w:noWrap/>
          </w:tcPr>
          <w:p w14:paraId="708902E9" w14:textId="002D79AC" w:rsidR="00682115" w:rsidRPr="00E24C4B" w:rsidRDefault="00682115" w:rsidP="001007F0">
            <w:pPr>
              <w:spacing w:line="276" w:lineRule="auto"/>
              <w:jc w:val="center"/>
              <w:rPr>
                <w:rFonts w:cs="Arial"/>
                <w:lang w:val="en-GB"/>
              </w:rPr>
            </w:pPr>
            <w:r w:rsidRPr="00E24C4B">
              <w:rPr>
                <w:rFonts w:cs="Arial"/>
                <w:lang w:val="en-GB"/>
              </w:rPr>
              <w:t>Beta</w:t>
            </w:r>
          </w:p>
        </w:tc>
        <w:tc>
          <w:tcPr>
            <w:tcW w:w="2410" w:type="dxa"/>
            <w:tcBorders>
              <w:top w:val="nil"/>
              <w:left w:val="single" w:sz="4" w:space="0" w:color="auto"/>
              <w:bottom w:val="single" w:sz="4" w:space="0" w:color="auto"/>
              <w:right w:val="single" w:sz="4" w:space="0" w:color="auto"/>
            </w:tcBorders>
            <w:vAlign w:val="center"/>
          </w:tcPr>
          <w:p w14:paraId="53419CAE" w14:textId="0D7B39D1" w:rsidR="00682115" w:rsidRPr="00E24C4B" w:rsidRDefault="00682115" w:rsidP="001007F0">
            <w:pPr>
              <w:spacing w:line="276" w:lineRule="auto"/>
              <w:jc w:val="center"/>
              <w:rPr>
                <w:rFonts w:cs="Arial"/>
                <w:lang w:val="en-GB"/>
              </w:rPr>
            </w:pPr>
            <w:r w:rsidRPr="00E24C4B">
              <w:rPr>
                <w:rFonts w:cs="Arial"/>
                <w:lang w:val="en-GB"/>
              </w:rPr>
              <w:t>0,02%</w:t>
            </w:r>
            <w:r w:rsidRPr="00E24C4B">
              <w:rPr>
                <w:rFonts w:cs="Arial"/>
                <w:lang w:val="en-GB"/>
              </w:rPr>
              <w:tab/>
              <w:t>3,27%</w:t>
            </w:r>
          </w:p>
        </w:tc>
        <w:tc>
          <w:tcPr>
            <w:tcW w:w="2552" w:type="dxa"/>
            <w:noWrap/>
            <w:vAlign w:val="center"/>
          </w:tcPr>
          <w:p w14:paraId="172498C1" w14:textId="651C11D5" w:rsidR="00682115" w:rsidRPr="00E24C4B" w:rsidRDefault="00682115" w:rsidP="001007F0">
            <w:pPr>
              <w:spacing w:line="276" w:lineRule="auto"/>
              <w:rPr>
                <w:rFonts w:cs="Arial"/>
                <w:highlight w:val="yellow"/>
                <w:lang w:val="en-GB"/>
              </w:rPr>
            </w:pPr>
            <w:r w:rsidRPr="00E24C4B">
              <w:rPr>
                <w:rFonts w:eastAsia="Calibri" w:cs="Arial"/>
                <w:iCs/>
                <w:lang w:val="en-GB" w:eastAsia="it-IT" w:bidi="it-IT"/>
              </w:rPr>
              <w:t>ECOG-ACRIN E1910</w:t>
            </w:r>
            <w:r w:rsidR="00557AD1">
              <w:rPr>
                <w:rFonts w:eastAsia="Calibri" w:cs="Arial"/>
                <w:iCs/>
                <w:lang w:val="en-GB" w:eastAsia="it-IT" w:bidi="it-IT"/>
              </w:rPr>
              <w:t>*</w:t>
            </w:r>
          </w:p>
        </w:tc>
      </w:tr>
      <w:tr w:rsidR="00811425" w:rsidRPr="002E1D08" w14:paraId="29C5922E" w14:textId="77777777" w:rsidTr="001D38A2">
        <w:trPr>
          <w:trHeight w:val="20"/>
        </w:trPr>
        <w:tc>
          <w:tcPr>
            <w:tcW w:w="4470" w:type="dxa"/>
            <w:noWrap/>
            <w:vAlign w:val="center"/>
          </w:tcPr>
          <w:p w14:paraId="18425ECF" w14:textId="44C7184E" w:rsidR="00682115" w:rsidRPr="00E24C4B" w:rsidRDefault="00682115" w:rsidP="001007F0">
            <w:pPr>
              <w:spacing w:line="276" w:lineRule="auto"/>
              <w:rPr>
                <w:rFonts w:cs="Arial"/>
                <w:lang w:val="en-GB"/>
              </w:rPr>
            </w:pPr>
            <w:r w:rsidRPr="00E24C4B">
              <w:rPr>
                <w:rFonts w:cs="Arial"/>
                <w:lang w:val="en-GB"/>
              </w:rPr>
              <w:t>Neutrophil count decreased</w:t>
            </w:r>
          </w:p>
        </w:tc>
        <w:tc>
          <w:tcPr>
            <w:tcW w:w="2755" w:type="dxa"/>
            <w:tcBorders>
              <w:top w:val="nil"/>
              <w:left w:val="single" w:sz="4" w:space="0" w:color="auto"/>
              <w:bottom w:val="single" w:sz="4" w:space="0" w:color="auto"/>
              <w:right w:val="single" w:sz="4" w:space="0" w:color="auto"/>
            </w:tcBorders>
            <w:noWrap/>
            <w:vAlign w:val="center"/>
          </w:tcPr>
          <w:p w14:paraId="453BF048" w14:textId="68E4287B" w:rsidR="00682115" w:rsidRPr="00E24C4B" w:rsidRDefault="00682115" w:rsidP="001007F0">
            <w:pPr>
              <w:spacing w:line="276" w:lineRule="auto"/>
              <w:jc w:val="center"/>
              <w:rPr>
                <w:rFonts w:eastAsia="Times New Roman" w:cs="Arial"/>
                <w:lang w:val="en-GB" w:eastAsia="it-IT"/>
              </w:rPr>
            </w:pPr>
            <w:r w:rsidRPr="00E24C4B">
              <w:rPr>
                <w:rFonts w:cs="Arial"/>
                <w:lang w:val="en-GB"/>
              </w:rPr>
              <w:t>94.64%</w:t>
            </w:r>
          </w:p>
        </w:tc>
        <w:tc>
          <w:tcPr>
            <w:tcW w:w="2409" w:type="dxa"/>
            <w:noWrap/>
          </w:tcPr>
          <w:p w14:paraId="23F25004" w14:textId="6BA1704E" w:rsidR="00682115" w:rsidRPr="00E24C4B" w:rsidRDefault="00682115" w:rsidP="001007F0">
            <w:pPr>
              <w:spacing w:line="276" w:lineRule="auto"/>
              <w:jc w:val="center"/>
              <w:rPr>
                <w:rFonts w:cs="Arial"/>
                <w:lang w:val="en-GB"/>
              </w:rPr>
            </w:pPr>
            <w:r w:rsidRPr="00E24C4B">
              <w:rPr>
                <w:rFonts w:cs="Arial"/>
                <w:lang w:val="en-GB"/>
              </w:rPr>
              <w:t>Beta</w:t>
            </w:r>
          </w:p>
        </w:tc>
        <w:tc>
          <w:tcPr>
            <w:tcW w:w="2410" w:type="dxa"/>
            <w:tcBorders>
              <w:top w:val="nil"/>
              <w:left w:val="single" w:sz="4" w:space="0" w:color="auto"/>
              <w:bottom w:val="single" w:sz="4" w:space="0" w:color="auto"/>
              <w:right w:val="single" w:sz="4" w:space="0" w:color="auto"/>
            </w:tcBorders>
            <w:vAlign w:val="center"/>
          </w:tcPr>
          <w:p w14:paraId="21F45CA2" w14:textId="0074C8D4" w:rsidR="00682115" w:rsidRPr="00E24C4B" w:rsidRDefault="00682115" w:rsidP="001007F0">
            <w:pPr>
              <w:spacing w:line="276" w:lineRule="auto"/>
              <w:jc w:val="center"/>
              <w:rPr>
                <w:rFonts w:cs="Arial"/>
                <w:lang w:val="en-GB"/>
              </w:rPr>
            </w:pPr>
            <w:r w:rsidRPr="00E24C4B">
              <w:rPr>
                <w:rFonts w:cs="Arial"/>
                <w:lang w:val="en-GB"/>
              </w:rPr>
              <w:t>89.80% to 97.99%</w:t>
            </w:r>
          </w:p>
        </w:tc>
        <w:tc>
          <w:tcPr>
            <w:tcW w:w="2552" w:type="dxa"/>
            <w:noWrap/>
            <w:vAlign w:val="center"/>
          </w:tcPr>
          <w:p w14:paraId="369268A7" w14:textId="00E512AB" w:rsidR="00682115" w:rsidRPr="00E24C4B" w:rsidRDefault="00682115" w:rsidP="001007F0">
            <w:pPr>
              <w:spacing w:line="276" w:lineRule="auto"/>
              <w:rPr>
                <w:rFonts w:cs="Arial"/>
                <w:highlight w:val="yellow"/>
                <w:lang w:val="en-GB"/>
              </w:rPr>
            </w:pPr>
            <w:r w:rsidRPr="00E24C4B">
              <w:rPr>
                <w:rFonts w:eastAsia="Calibri" w:cs="Arial"/>
                <w:iCs/>
                <w:lang w:val="en-GB" w:eastAsia="it-IT" w:bidi="it-IT"/>
              </w:rPr>
              <w:t>ECOG-ACRIN E1910</w:t>
            </w:r>
            <w:r w:rsidR="00557AD1">
              <w:rPr>
                <w:rFonts w:eastAsia="Calibri" w:cs="Arial"/>
                <w:iCs/>
                <w:lang w:val="en-GB" w:eastAsia="it-IT" w:bidi="it-IT"/>
              </w:rPr>
              <w:t>*</w:t>
            </w:r>
          </w:p>
        </w:tc>
      </w:tr>
      <w:tr w:rsidR="00811425" w:rsidRPr="002E1D08" w14:paraId="4CC01CC4" w14:textId="77777777" w:rsidTr="001D38A2">
        <w:trPr>
          <w:trHeight w:val="20"/>
        </w:trPr>
        <w:tc>
          <w:tcPr>
            <w:tcW w:w="4470" w:type="dxa"/>
            <w:noWrap/>
            <w:vAlign w:val="center"/>
          </w:tcPr>
          <w:p w14:paraId="7B4A83B8" w14:textId="24FC39B6" w:rsidR="00682115" w:rsidRPr="00E24C4B" w:rsidRDefault="00682115" w:rsidP="001007F0">
            <w:pPr>
              <w:spacing w:line="276" w:lineRule="auto"/>
              <w:rPr>
                <w:rFonts w:cs="Arial"/>
                <w:lang w:val="en-GB"/>
              </w:rPr>
            </w:pPr>
            <w:r w:rsidRPr="00E24C4B">
              <w:rPr>
                <w:rFonts w:cs="Arial"/>
                <w:lang w:val="en-GB"/>
              </w:rPr>
              <w:t>Platelet count decreased</w:t>
            </w:r>
          </w:p>
        </w:tc>
        <w:tc>
          <w:tcPr>
            <w:tcW w:w="2755" w:type="dxa"/>
            <w:tcBorders>
              <w:top w:val="nil"/>
              <w:left w:val="single" w:sz="4" w:space="0" w:color="auto"/>
              <w:bottom w:val="single" w:sz="4" w:space="0" w:color="auto"/>
              <w:right w:val="single" w:sz="4" w:space="0" w:color="auto"/>
            </w:tcBorders>
            <w:noWrap/>
            <w:vAlign w:val="center"/>
          </w:tcPr>
          <w:p w14:paraId="74AC27DF" w14:textId="41B39581" w:rsidR="00682115" w:rsidRPr="00E24C4B" w:rsidRDefault="00682115" w:rsidP="001007F0">
            <w:pPr>
              <w:spacing w:line="276" w:lineRule="auto"/>
              <w:jc w:val="center"/>
              <w:rPr>
                <w:rFonts w:eastAsia="Times New Roman" w:cs="Arial"/>
                <w:lang w:val="en-GB" w:eastAsia="it-IT"/>
              </w:rPr>
            </w:pPr>
            <w:r w:rsidRPr="00E24C4B">
              <w:rPr>
                <w:rFonts w:cs="Arial"/>
                <w:lang w:val="en-GB"/>
              </w:rPr>
              <w:t>77.68%</w:t>
            </w:r>
          </w:p>
        </w:tc>
        <w:tc>
          <w:tcPr>
            <w:tcW w:w="2409" w:type="dxa"/>
            <w:noWrap/>
          </w:tcPr>
          <w:p w14:paraId="290C2D49" w14:textId="2B5E62B7" w:rsidR="00682115" w:rsidRPr="00E24C4B" w:rsidRDefault="00682115" w:rsidP="001007F0">
            <w:pPr>
              <w:spacing w:line="276" w:lineRule="auto"/>
              <w:jc w:val="center"/>
              <w:rPr>
                <w:rFonts w:cs="Arial"/>
                <w:lang w:val="en-GB"/>
              </w:rPr>
            </w:pPr>
            <w:r w:rsidRPr="00E24C4B">
              <w:rPr>
                <w:rFonts w:cs="Arial"/>
                <w:lang w:val="en-GB"/>
              </w:rPr>
              <w:t>Beta</w:t>
            </w:r>
          </w:p>
        </w:tc>
        <w:tc>
          <w:tcPr>
            <w:tcW w:w="2410" w:type="dxa"/>
            <w:tcBorders>
              <w:top w:val="nil"/>
              <w:left w:val="single" w:sz="4" w:space="0" w:color="auto"/>
              <w:bottom w:val="single" w:sz="4" w:space="0" w:color="auto"/>
              <w:right w:val="single" w:sz="4" w:space="0" w:color="auto"/>
            </w:tcBorders>
            <w:vAlign w:val="center"/>
          </w:tcPr>
          <w:p w14:paraId="53320B9B" w14:textId="46FBC5AA" w:rsidR="00682115" w:rsidRPr="00E24C4B" w:rsidRDefault="00682115" w:rsidP="001007F0">
            <w:pPr>
              <w:spacing w:line="276" w:lineRule="auto"/>
              <w:jc w:val="center"/>
              <w:rPr>
                <w:rFonts w:cs="Arial"/>
                <w:lang w:val="en-GB"/>
              </w:rPr>
            </w:pPr>
            <w:r w:rsidRPr="00E24C4B">
              <w:rPr>
                <w:rFonts w:cs="Arial"/>
                <w:lang w:val="en-GB"/>
              </w:rPr>
              <w:t>69.56% to 84.86%</w:t>
            </w:r>
          </w:p>
        </w:tc>
        <w:tc>
          <w:tcPr>
            <w:tcW w:w="2552" w:type="dxa"/>
            <w:noWrap/>
            <w:vAlign w:val="center"/>
          </w:tcPr>
          <w:p w14:paraId="41F41B17" w14:textId="49624BA9" w:rsidR="00682115" w:rsidRPr="00E24C4B" w:rsidRDefault="00682115" w:rsidP="001007F0">
            <w:pPr>
              <w:spacing w:line="276" w:lineRule="auto"/>
              <w:rPr>
                <w:rFonts w:cs="Arial"/>
                <w:highlight w:val="yellow"/>
                <w:lang w:val="en-GB"/>
              </w:rPr>
            </w:pPr>
            <w:r w:rsidRPr="00E24C4B">
              <w:rPr>
                <w:rFonts w:eastAsia="Calibri" w:cs="Arial"/>
                <w:iCs/>
                <w:lang w:val="en-GB" w:eastAsia="it-IT" w:bidi="it-IT"/>
              </w:rPr>
              <w:t>ECOG-ACRIN E1910</w:t>
            </w:r>
            <w:r w:rsidR="00557AD1">
              <w:rPr>
                <w:rFonts w:eastAsia="Calibri" w:cs="Arial"/>
                <w:iCs/>
                <w:lang w:val="en-GB" w:eastAsia="it-IT" w:bidi="it-IT"/>
              </w:rPr>
              <w:t>*</w:t>
            </w:r>
          </w:p>
        </w:tc>
      </w:tr>
      <w:tr w:rsidR="00811425" w:rsidRPr="002E1D08" w14:paraId="711D28E4" w14:textId="77777777" w:rsidTr="001D38A2">
        <w:trPr>
          <w:trHeight w:val="20"/>
        </w:trPr>
        <w:tc>
          <w:tcPr>
            <w:tcW w:w="4470" w:type="dxa"/>
            <w:noWrap/>
            <w:vAlign w:val="center"/>
          </w:tcPr>
          <w:p w14:paraId="50DE0129" w14:textId="7B3EB8A1" w:rsidR="00682115" w:rsidRPr="00E24C4B" w:rsidRDefault="00682115" w:rsidP="001007F0">
            <w:pPr>
              <w:spacing w:line="276" w:lineRule="auto"/>
              <w:rPr>
                <w:rFonts w:cs="Arial"/>
                <w:lang w:val="en-GB"/>
              </w:rPr>
            </w:pPr>
            <w:r w:rsidRPr="00E24C4B">
              <w:rPr>
                <w:rFonts w:cs="Arial"/>
                <w:lang w:val="en-GB"/>
              </w:rPr>
              <w:t>Sepsis</w:t>
            </w:r>
          </w:p>
        </w:tc>
        <w:tc>
          <w:tcPr>
            <w:tcW w:w="2755" w:type="dxa"/>
            <w:tcBorders>
              <w:top w:val="nil"/>
              <w:left w:val="single" w:sz="4" w:space="0" w:color="auto"/>
              <w:bottom w:val="single" w:sz="4" w:space="0" w:color="auto"/>
              <w:right w:val="single" w:sz="4" w:space="0" w:color="auto"/>
            </w:tcBorders>
            <w:noWrap/>
            <w:vAlign w:val="center"/>
          </w:tcPr>
          <w:p w14:paraId="6FDF7369" w14:textId="10F891B9" w:rsidR="00682115" w:rsidRPr="00E24C4B" w:rsidRDefault="00682115" w:rsidP="001007F0">
            <w:pPr>
              <w:spacing w:line="276" w:lineRule="auto"/>
              <w:jc w:val="center"/>
              <w:rPr>
                <w:rFonts w:eastAsia="Times New Roman" w:cs="Arial"/>
                <w:lang w:val="en-GB" w:eastAsia="it-IT"/>
              </w:rPr>
            </w:pPr>
            <w:r w:rsidRPr="00E24C4B">
              <w:rPr>
                <w:rFonts w:cs="Arial"/>
                <w:lang w:val="en-GB"/>
              </w:rPr>
              <w:t>9.82%</w:t>
            </w:r>
          </w:p>
        </w:tc>
        <w:tc>
          <w:tcPr>
            <w:tcW w:w="2409" w:type="dxa"/>
            <w:noWrap/>
          </w:tcPr>
          <w:p w14:paraId="4F1C1515" w14:textId="5EFDCA70" w:rsidR="00682115" w:rsidRPr="00E24C4B" w:rsidRDefault="00682115" w:rsidP="001007F0">
            <w:pPr>
              <w:spacing w:line="276" w:lineRule="auto"/>
              <w:jc w:val="center"/>
              <w:rPr>
                <w:rFonts w:cs="Arial"/>
                <w:lang w:val="en-GB"/>
              </w:rPr>
            </w:pPr>
            <w:r w:rsidRPr="00E24C4B">
              <w:rPr>
                <w:rFonts w:cs="Arial"/>
                <w:lang w:val="en-GB"/>
              </w:rPr>
              <w:t>Beta</w:t>
            </w:r>
          </w:p>
        </w:tc>
        <w:tc>
          <w:tcPr>
            <w:tcW w:w="2410" w:type="dxa"/>
            <w:tcBorders>
              <w:top w:val="nil"/>
              <w:left w:val="single" w:sz="4" w:space="0" w:color="auto"/>
              <w:bottom w:val="single" w:sz="4" w:space="0" w:color="auto"/>
              <w:right w:val="single" w:sz="4" w:space="0" w:color="auto"/>
            </w:tcBorders>
            <w:vAlign w:val="center"/>
          </w:tcPr>
          <w:p w14:paraId="0361A617" w14:textId="1A2EA503" w:rsidR="00682115" w:rsidRPr="00E24C4B" w:rsidRDefault="00682115" w:rsidP="001007F0">
            <w:pPr>
              <w:spacing w:line="276" w:lineRule="auto"/>
              <w:jc w:val="center"/>
              <w:rPr>
                <w:rFonts w:cs="Arial"/>
                <w:lang w:val="en-GB"/>
              </w:rPr>
            </w:pPr>
            <w:r w:rsidRPr="00E24C4B">
              <w:rPr>
                <w:rFonts w:cs="Arial"/>
                <w:lang w:val="en-GB"/>
              </w:rPr>
              <w:t>5.05% to 15.94%</w:t>
            </w:r>
          </w:p>
        </w:tc>
        <w:tc>
          <w:tcPr>
            <w:tcW w:w="2552" w:type="dxa"/>
            <w:noWrap/>
            <w:vAlign w:val="center"/>
          </w:tcPr>
          <w:p w14:paraId="542D8391" w14:textId="5AFD5D9F" w:rsidR="00682115" w:rsidRPr="00E24C4B" w:rsidRDefault="00682115" w:rsidP="001007F0">
            <w:pPr>
              <w:spacing w:line="276" w:lineRule="auto"/>
              <w:rPr>
                <w:rFonts w:cs="Arial"/>
                <w:highlight w:val="yellow"/>
                <w:lang w:val="en-GB"/>
              </w:rPr>
            </w:pPr>
            <w:r w:rsidRPr="00E24C4B">
              <w:rPr>
                <w:rFonts w:eastAsia="Calibri" w:cs="Arial"/>
                <w:iCs/>
                <w:lang w:val="en-GB" w:eastAsia="it-IT" w:bidi="it-IT"/>
              </w:rPr>
              <w:t>ECOG-ACRIN E1910</w:t>
            </w:r>
            <w:r w:rsidR="00557AD1">
              <w:rPr>
                <w:rFonts w:eastAsia="Calibri" w:cs="Arial"/>
                <w:iCs/>
                <w:lang w:val="en-GB" w:eastAsia="it-IT" w:bidi="it-IT"/>
              </w:rPr>
              <w:t>*</w:t>
            </w:r>
          </w:p>
        </w:tc>
      </w:tr>
      <w:tr w:rsidR="00682115" w:rsidRPr="002E1D08" w14:paraId="7AE31233" w14:textId="77777777" w:rsidTr="001D38A2">
        <w:trPr>
          <w:trHeight w:val="20"/>
        </w:trPr>
        <w:tc>
          <w:tcPr>
            <w:tcW w:w="4470" w:type="dxa"/>
            <w:noWrap/>
            <w:vAlign w:val="center"/>
          </w:tcPr>
          <w:p w14:paraId="34C03A92" w14:textId="2CCB02B7" w:rsidR="00682115" w:rsidRPr="00E24C4B" w:rsidRDefault="00682115" w:rsidP="001007F0">
            <w:pPr>
              <w:spacing w:line="276" w:lineRule="auto"/>
              <w:rPr>
                <w:rFonts w:cs="Arial"/>
                <w:lang w:val="en-GB"/>
              </w:rPr>
            </w:pPr>
            <w:r w:rsidRPr="00E24C4B">
              <w:rPr>
                <w:rFonts w:cs="Arial"/>
                <w:lang w:val="en-GB"/>
              </w:rPr>
              <w:t>White blood cell count decreased</w:t>
            </w:r>
          </w:p>
        </w:tc>
        <w:tc>
          <w:tcPr>
            <w:tcW w:w="2755" w:type="dxa"/>
            <w:tcBorders>
              <w:top w:val="nil"/>
              <w:left w:val="single" w:sz="4" w:space="0" w:color="auto"/>
              <w:bottom w:val="single" w:sz="4" w:space="0" w:color="auto"/>
              <w:right w:val="single" w:sz="4" w:space="0" w:color="auto"/>
            </w:tcBorders>
            <w:noWrap/>
            <w:vAlign w:val="center"/>
          </w:tcPr>
          <w:p w14:paraId="4D93BDBE" w14:textId="72F5FA6C" w:rsidR="00682115" w:rsidRPr="00E24C4B" w:rsidRDefault="00682115" w:rsidP="001007F0">
            <w:pPr>
              <w:spacing w:line="276" w:lineRule="auto"/>
              <w:jc w:val="center"/>
              <w:rPr>
                <w:rFonts w:cs="Arial"/>
                <w:lang w:val="en-GB"/>
              </w:rPr>
            </w:pPr>
            <w:r w:rsidRPr="00E24C4B">
              <w:rPr>
                <w:rFonts w:cs="Arial"/>
                <w:lang w:val="en-GB"/>
              </w:rPr>
              <w:t>66.07%</w:t>
            </w:r>
          </w:p>
        </w:tc>
        <w:tc>
          <w:tcPr>
            <w:tcW w:w="2409" w:type="dxa"/>
            <w:noWrap/>
          </w:tcPr>
          <w:p w14:paraId="1A71F89F" w14:textId="29E37A34" w:rsidR="00682115" w:rsidRPr="00E24C4B" w:rsidRDefault="00682115" w:rsidP="001007F0">
            <w:pPr>
              <w:spacing w:line="276" w:lineRule="auto"/>
              <w:jc w:val="center"/>
              <w:rPr>
                <w:rFonts w:cs="Arial"/>
                <w:lang w:val="en-GB"/>
              </w:rPr>
            </w:pPr>
            <w:r w:rsidRPr="00E24C4B">
              <w:rPr>
                <w:rFonts w:cs="Arial"/>
                <w:lang w:val="en-GB"/>
              </w:rPr>
              <w:t>Beta</w:t>
            </w:r>
          </w:p>
        </w:tc>
        <w:tc>
          <w:tcPr>
            <w:tcW w:w="2410" w:type="dxa"/>
            <w:tcBorders>
              <w:top w:val="nil"/>
              <w:left w:val="single" w:sz="4" w:space="0" w:color="auto"/>
              <w:bottom w:val="single" w:sz="4" w:space="0" w:color="auto"/>
              <w:right w:val="single" w:sz="4" w:space="0" w:color="auto"/>
            </w:tcBorders>
            <w:vAlign w:val="center"/>
          </w:tcPr>
          <w:p w14:paraId="215BBB0A" w14:textId="6EDC5276" w:rsidR="00682115" w:rsidRPr="00E24C4B" w:rsidRDefault="00682115" w:rsidP="001007F0">
            <w:pPr>
              <w:spacing w:line="276" w:lineRule="auto"/>
              <w:jc w:val="center"/>
              <w:rPr>
                <w:rFonts w:cs="Arial"/>
                <w:lang w:val="en-GB"/>
              </w:rPr>
            </w:pPr>
            <w:r w:rsidRPr="00E24C4B">
              <w:rPr>
                <w:rFonts w:cs="Arial"/>
                <w:lang w:val="en-GB"/>
              </w:rPr>
              <w:t>57.09% to 74.51%</w:t>
            </w:r>
          </w:p>
        </w:tc>
        <w:tc>
          <w:tcPr>
            <w:tcW w:w="2552" w:type="dxa"/>
            <w:noWrap/>
            <w:vAlign w:val="center"/>
          </w:tcPr>
          <w:p w14:paraId="572328DA" w14:textId="44FD84B0" w:rsidR="00682115" w:rsidRPr="00E24C4B" w:rsidRDefault="00682115" w:rsidP="001007F0">
            <w:pPr>
              <w:spacing w:line="276" w:lineRule="auto"/>
              <w:rPr>
                <w:rFonts w:eastAsia="Calibri" w:cs="Arial"/>
                <w:iCs/>
                <w:lang w:val="en-GB" w:eastAsia="it-IT" w:bidi="it-IT"/>
              </w:rPr>
            </w:pPr>
            <w:r w:rsidRPr="00E24C4B">
              <w:rPr>
                <w:rFonts w:eastAsia="Calibri" w:cs="Arial"/>
                <w:iCs/>
                <w:lang w:val="en-GB" w:eastAsia="it-IT" w:bidi="it-IT"/>
              </w:rPr>
              <w:t>ECOG-ACRIN E1910</w:t>
            </w:r>
            <w:r w:rsidR="00557AD1">
              <w:rPr>
                <w:rFonts w:eastAsia="Calibri" w:cs="Arial"/>
                <w:iCs/>
                <w:lang w:val="en-GB" w:eastAsia="it-IT" w:bidi="it-IT"/>
              </w:rPr>
              <w:t>*</w:t>
            </w:r>
          </w:p>
        </w:tc>
      </w:tr>
    </w:tbl>
    <w:p w14:paraId="1C02213C" w14:textId="13437985" w:rsidR="00557AD1" w:rsidRPr="00557AD1" w:rsidRDefault="00557AD1" w:rsidP="00557AD1">
      <w:pPr>
        <w:jc w:val="both"/>
        <w:rPr>
          <w:bCs/>
          <w:lang w:val="en-US"/>
        </w:rPr>
      </w:pPr>
      <w:r>
        <w:rPr>
          <w:bCs/>
          <w:lang w:val="en-US"/>
        </w:rPr>
        <w:t>*</w:t>
      </w:r>
      <w:r w:rsidRPr="00557AD1">
        <w:rPr>
          <w:lang w:val="en-US"/>
        </w:rPr>
        <w:t>Amgen, Clinical Study Report, unpublished data, 2023</w:t>
      </w:r>
    </w:p>
    <w:p w14:paraId="487A4776" w14:textId="4CD82B4E" w:rsidR="00733C21" w:rsidRPr="001F71E4" w:rsidRDefault="001F71E4" w:rsidP="00557AD1">
      <w:pPr>
        <w:jc w:val="both"/>
        <w:rPr>
          <w:rFonts w:cs="Arial"/>
          <w:szCs w:val="20"/>
          <w:lang w:val="en-GB"/>
        </w:rPr>
      </w:pPr>
      <w:r w:rsidRPr="001F71E4">
        <w:rPr>
          <w:bCs/>
          <w:lang w:val="en-US"/>
        </w:rPr>
        <w:t>Abbreviations</w:t>
      </w:r>
      <w:r w:rsidRPr="001F71E4">
        <w:rPr>
          <w:rFonts w:cs="Arial"/>
          <w:bCs/>
          <w:szCs w:val="20"/>
          <w:lang w:val="en-US"/>
        </w:rPr>
        <w:t xml:space="preserve">: </w:t>
      </w:r>
      <w:r w:rsidR="008856E5" w:rsidRPr="001F71E4">
        <w:rPr>
          <w:rFonts w:eastAsia="Times New Roman" w:cs="Arial"/>
          <w:szCs w:val="20"/>
          <w:lang w:val="en-GB" w:eastAsia="it-IT"/>
        </w:rPr>
        <w:t>AEs</w:t>
      </w:r>
      <w:r>
        <w:rPr>
          <w:rFonts w:eastAsia="Times New Roman" w:cs="Arial"/>
          <w:szCs w:val="20"/>
          <w:lang w:val="en-GB" w:eastAsia="it-IT"/>
        </w:rPr>
        <w:t>,</w:t>
      </w:r>
      <w:r w:rsidR="008856E5" w:rsidRPr="001F71E4">
        <w:rPr>
          <w:rFonts w:eastAsia="Times New Roman" w:cs="Arial"/>
          <w:szCs w:val="20"/>
          <w:lang w:val="en-GB" w:eastAsia="it-IT"/>
        </w:rPr>
        <w:t xml:space="preserve"> adverse events; </w:t>
      </w:r>
      <w:r w:rsidR="008856E5" w:rsidRPr="001F71E4">
        <w:rPr>
          <w:rFonts w:cs="Arial"/>
          <w:szCs w:val="20"/>
          <w:lang w:val="en-GB"/>
        </w:rPr>
        <w:t>HSCT</w:t>
      </w:r>
      <w:r>
        <w:rPr>
          <w:rFonts w:cs="Arial"/>
          <w:szCs w:val="20"/>
          <w:lang w:val="en-GB"/>
        </w:rPr>
        <w:t>,</w:t>
      </w:r>
      <w:r w:rsidR="008856E5" w:rsidRPr="001F71E4">
        <w:rPr>
          <w:rFonts w:cs="Arial"/>
          <w:szCs w:val="20"/>
          <w:lang w:val="en-GB"/>
        </w:rPr>
        <w:t xml:space="preserve"> </w:t>
      </w:r>
      <w:r w:rsidR="008856E5" w:rsidRPr="001F71E4">
        <w:rPr>
          <w:rFonts w:eastAsia="Times New Roman" w:cs="Arial"/>
          <w:szCs w:val="20"/>
          <w:lang w:val="en-GB" w:eastAsia="it-IT"/>
        </w:rPr>
        <w:t xml:space="preserve">haematopoietic stem cell transplantation; </w:t>
      </w:r>
      <w:r w:rsidR="008856E5" w:rsidRPr="001F71E4">
        <w:rPr>
          <w:rFonts w:cs="Arial"/>
          <w:szCs w:val="20"/>
          <w:lang w:val="en-GB"/>
        </w:rPr>
        <w:t>OS</w:t>
      </w:r>
      <w:r>
        <w:rPr>
          <w:rFonts w:cs="Arial"/>
          <w:szCs w:val="20"/>
          <w:lang w:val="en-GB"/>
        </w:rPr>
        <w:t>,</w:t>
      </w:r>
      <w:r w:rsidR="008856E5" w:rsidRPr="001F71E4">
        <w:rPr>
          <w:rFonts w:cs="Arial"/>
          <w:szCs w:val="20"/>
          <w:lang w:val="en-GB"/>
        </w:rPr>
        <w:t xml:space="preserve"> overall survival; </w:t>
      </w:r>
      <w:r w:rsidR="008856E5" w:rsidRPr="001F71E4">
        <w:rPr>
          <w:rFonts w:eastAsia="Times New Roman" w:cs="Arial"/>
          <w:szCs w:val="20"/>
          <w:lang w:val="en-GB" w:eastAsia="it-IT"/>
        </w:rPr>
        <w:t>RFS</w:t>
      </w:r>
      <w:r>
        <w:rPr>
          <w:rFonts w:eastAsia="Times New Roman" w:cs="Arial"/>
          <w:szCs w:val="20"/>
          <w:lang w:val="en-GB" w:eastAsia="it-IT"/>
        </w:rPr>
        <w:t>,</w:t>
      </w:r>
      <w:r w:rsidR="008856E5" w:rsidRPr="001F71E4">
        <w:rPr>
          <w:rFonts w:eastAsia="Times New Roman" w:cs="Arial"/>
          <w:szCs w:val="20"/>
          <w:lang w:val="en-GB" w:eastAsia="it-IT"/>
        </w:rPr>
        <w:t xml:space="preserve"> r</w:t>
      </w:r>
      <w:r w:rsidR="008856E5" w:rsidRPr="001F71E4">
        <w:rPr>
          <w:rFonts w:cs="Arial"/>
          <w:szCs w:val="20"/>
          <w:lang w:val="en-GB"/>
        </w:rPr>
        <w:t>elapse-free survival; SDO</w:t>
      </w:r>
      <w:r>
        <w:rPr>
          <w:rFonts w:cs="Arial"/>
          <w:szCs w:val="20"/>
          <w:lang w:val="en-GB"/>
        </w:rPr>
        <w:t>,</w:t>
      </w:r>
      <w:r w:rsidR="008856E5" w:rsidRPr="001F71E4">
        <w:rPr>
          <w:rFonts w:cs="Arial"/>
          <w:szCs w:val="20"/>
          <w:lang w:val="en-GB"/>
        </w:rPr>
        <w:t xml:space="preserve"> hospital discharge records; SMR</w:t>
      </w:r>
      <w:r>
        <w:rPr>
          <w:rFonts w:cs="Arial"/>
          <w:szCs w:val="20"/>
          <w:lang w:val="en-GB"/>
        </w:rPr>
        <w:t>,</w:t>
      </w:r>
      <w:r w:rsidR="008856E5" w:rsidRPr="001F71E4">
        <w:rPr>
          <w:rFonts w:cs="Arial"/>
          <w:szCs w:val="20"/>
          <w:lang w:val="en-GB"/>
        </w:rPr>
        <w:t xml:space="preserve"> standardized mortality ratio</w:t>
      </w:r>
      <w:r w:rsidR="008856E5" w:rsidRPr="001F71E4">
        <w:rPr>
          <w:rFonts w:eastAsia="Times New Roman" w:cs="Arial"/>
          <w:szCs w:val="20"/>
          <w:lang w:val="en-GB" w:eastAsia="it-IT"/>
        </w:rPr>
        <w:t xml:space="preserve">; </w:t>
      </w:r>
      <w:r w:rsidR="008856E5" w:rsidRPr="001F71E4">
        <w:rPr>
          <w:rFonts w:cs="Arial"/>
          <w:szCs w:val="20"/>
          <w:lang w:val="en-GB"/>
        </w:rPr>
        <w:t>SoC</w:t>
      </w:r>
      <w:r>
        <w:rPr>
          <w:rFonts w:cs="Arial"/>
          <w:szCs w:val="20"/>
          <w:lang w:val="en-GB"/>
        </w:rPr>
        <w:t>,</w:t>
      </w:r>
      <w:r w:rsidR="008856E5" w:rsidRPr="001F71E4">
        <w:rPr>
          <w:rFonts w:cs="Arial"/>
          <w:szCs w:val="20"/>
          <w:lang w:val="en-GB"/>
        </w:rPr>
        <w:t xml:space="preserve"> standard of care</w:t>
      </w:r>
      <w:r w:rsidR="00E24C4B">
        <w:rPr>
          <w:rFonts w:cs="Arial"/>
          <w:szCs w:val="20"/>
          <w:lang w:val="en-GB"/>
        </w:rPr>
        <w:t>.</w:t>
      </w:r>
    </w:p>
    <w:p w14:paraId="5AFD5812" w14:textId="77777777" w:rsidR="00733C21" w:rsidRPr="002E1D08" w:rsidRDefault="00733C21" w:rsidP="003C6F36">
      <w:pPr>
        <w:spacing w:after="240"/>
        <w:jc w:val="both"/>
        <w:rPr>
          <w:rFonts w:ascii="Times New Roman" w:hAnsi="Times New Roman" w:cs="Times New Roman"/>
          <w:lang w:val="en-GB"/>
        </w:rPr>
      </w:pPr>
    </w:p>
    <w:p w14:paraId="1483579D" w14:textId="77777777" w:rsidR="001007F0" w:rsidRPr="002E1D08" w:rsidRDefault="001007F0">
      <w:pPr>
        <w:spacing w:after="160" w:line="259" w:lineRule="auto"/>
        <w:rPr>
          <w:rFonts w:ascii="Times New Roman" w:hAnsi="Times New Roman" w:cs="Times New Roman"/>
          <w:sz w:val="24"/>
          <w:szCs w:val="24"/>
          <w:lang w:val="en-GB"/>
        </w:rPr>
      </w:pPr>
      <w:r w:rsidRPr="002E1D08">
        <w:rPr>
          <w:rFonts w:ascii="Times New Roman" w:hAnsi="Times New Roman" w:cs="Times New Roman"/>
          <w:sz w:val="24"/>
          <w:szCs w:val="24"/>
          <w:lang w:val="en-GB"/>
        </w:rPr>
        <w:br w:type="page"/>
      </w:r>
    </w:p>
    <w:p w14:paraId="716BE6BC" w14:textId="0E447B8D" w:rsidR="002C327F" w:rsidRPr="00102B2D" w:rsidRDefault="00A61152" w:rsidP="00753AB2">
      <w:pPr>
        <w:spacing w:after="120" w:line="276" w:lineRule="auto"/>
        <w:rPr>
          <w:rFonts w:cs="Arial"/>
          <w:szCs w:val="20"/>
          <w:lang w:val="en-GB"/>
        </w:rPr>
      </w:pPr>
      <w:r w:rsidRPr="00102B2D">
        <w:rPr>
          <w:rFonts w:cs="Arial"/>
          <w:b/>
          <w:bCs/>
          <w:szCs w:val="20"/>
          <w:lang w:val="en-GB"/>
        </w:rPr>
        <w:lastRenderedPageBreak/>
        <w:t>Supplementa</w:t>
      </w:r>
      <w:r w:rsidR="001375D9" w:rsidRPr="00102B2D">
        <w:rPr>
          <w:rFonts w:cs="Arial"/>
          <w:b/>
          <w:bCs/>
          <w:szCs w:val="20"/>
          <w:lang w:val="en-GB"/>
        </w:rPr>
        <w:t>l</w:t>
      </w:r>
      <w:r w:rsidR="002C327F" w:rsidRPr="00102B2D">
        <w:rPr>
          <w:rFonts w:cs="Arial"/>
          <w:b/>
          <w:bCs/>
          <w:szCs w:val="20"/>
          <w:lang w:val="en-GB"/>
        </w:rPr>
        <w:t xml:space="preserve"> </w:t>
      </w:r>
      <w:r w:rsidR="004F1002" w:rsidRPr="00102B2D">
        <w:rPr>
          <w:rFonts w:cs="Arial"/>
          <w:b/>
          <w:bCs/>
          <w:szCs w:val="20"/>
          <w:lang w:val="en-GB"/>
        </w:rPr>
        <w:t xml:space="preserve">Table </w:t>
      </w:r>
      <w:r w:rsidR="004F1002" w:rsidRPr="00102B2D">
        <w:rPr>
          <w:rFonts w:cs="Arial"/>
          <w:b/>
          <w:bCs/>
          <w:szCs w:val="20"/>
          <w:lang w:val="en-GB"/>
        </w:rPr>
        <w:fldChar w:fldCharType="begin"/>
      </w:r>
      <w:r w:rsidR="004F1002" w:rsidRPr="00102B2D">
        <w:rPr>
          <w:rFonts w:cs="Arial"/>
          <w:b/>
          <w:bCs/>
          <w:szCs w:val="20"/>
          <w:lang w:val="en-GB"/>
        </w:rPr>
        <w:instrText xml:space="preserve"> SEQ Table_S \* ARABIC </w:instrText>
      </w:r>
      <w:r w:rsidR="004F1002" w:rsidRPr="00102B2D">
        <w:rPr>
          <w:rFonts w:cs="Arial"/>
          <w:b/>
          <w:bCs/>
          <w:szCs w:val="20"/>
          <w:lang w:val="en-GB"/>
        </w:rPr>
        <w:fldChar w:fldCharType="separate"/>
      </w:r>
      <w:r w:rsidR="004F1002" w:rsidRPr="00102B2D">
        <w:rPr>
          <w:rFonts w:cs="Arial"/>
          <w:b/>
          <w:bCs/>
          <w:szCs w:val="20"/>
          <w:lang w:val="en-GB"/>
        </w:rPr>
        <w:t>2</w:t>
      </w:r>
      <w:r w:rsidR="004F1002" w:rsidRPr="00102B2D">
        <w:rPr>
          <w:rFonts w:cs="Arial"/>
          <w:b/>
          <w:bCs/>
          <w:szCs w:val="20"/>
          <w:lang w:val="en-GB"/>
        </w:rPr>
        <w:fldChar w:fldCharType="end"/>
      </w:r>
      <w:r w:rsidR="004F1002" w:rsidRPr="00102B2D">
        <w:rPr>
          <w:rFonts w:cs="Arial"/>
          <w:b/>
          <w:bCs/>
          <w:szCs w:val="20"/>
          <w:lang w:val="en-GB"/>
        </w:rPr>
        <w:t xml:space="preserve"> </w:t>
      </w:r>
      <w:r w:rsidR="004F1002" w:rsidRPr="00102B2D">
        <w:rPr>
          <w:rFonts w:cs="Arial"/>
          <w:szCs w:val="20"/>
          <w:lang w:val="en-GB"/>
        </w:rPr>
        <w:t>Posology for drug administration</w:t>
      </w:r>
      <w:r w:rsidR="001007F0" w:rsidRPr="00102B2D">
        <w:rPr>
          <w:rFonts w:cs="Arial"/>
          <w:b/>
          <w:bCs/>
          <w:szCs w:val="20"/>
          <w:lang w:val="en-GB"/>
        </w:rPr>
        <w:t xml:space="preserve"> </w:t>
      </w:r>
    </w:p>
    <w:tbl>
      <w:tblPr>
        <w:tblStyle w:val="Grigliatabella"/>
        <w:tblW w:w="0" w:type="auto"/>
        <w:tblLayout w:type="fixed"/>
        <w:tblLook w:val="04A0" w:firstRow="1" w:lastRow="0" w:firstColumn="1" w:lastColumn="0" w:noHBand="0" w:noVBand="1"/>
      </w:tblPr>
      <w:tblGrid>
        <w:gridCol w:w="3056"/>
        <w:gridCol w:w="1588"/>
        <w:gridCol w:w="2339"/>
        <w:gridCol w:w="2084"/>
        <w:gridCol w:w="2506"/>
        <w:gridCol w:w="2703"/>
      </w:tblGrid>
      <w:tr w:rsidR="00811425" w:rsidRPr="00E24C4B" w14:paraId="59BFF83D" w14:textId="77777777" w:rsidTr="001007F0">
        <w:trPr>
          <w:trHeight w:val="330"/>
          <w:tblHeader/>
        </w:trPr>
        <w:tc>
          <w:tcPr>
            <w:tcW w:w="3056" w:type="dxa"/>
            <w:shd w:val="clear" w:color="auto" w:fill="808080" w:themeFill="background1" w:themeFillShade="80"/>
            <w:noWrap/>
          </w:tcPr>
          <w:p w14:paraId="7F769B72" w14:textId="77777777" w:rsidR="004F1002" w:rsidRPr="00E24C4B" w:rsidRDefault="004F1002" w:rsidP="001007F0">
            <w:pPr>
              <w:tabs>
                <w:tab w:val="left" w:pos="1861"/>
              </w:tabs>
              <w:spacing w:line="276" w:lineRule="auto"/>
              <w:rPr>
                <w:rFonts w:cs="Arial"/>
                <w:color w:val="FFFFFF" w:themeColor="background1"/>
                <w:lang w:val="en-GB"/>
              </w:rPr>
            </w:pPr>
            <w:r w:rsidRPr="00E24C4B">
              <w:rPr>
                <w:rFonts w:cs="Arial"/>
                <w:b/>
                <w:bCs/>
                <w:color w:val="FFFFFF" w:themeColor="background1"/>
                <w:lang w:val="en-GB"/>
              </w:rPr>
              <w:t>Cycle</w:t>
            </w:r>
          </w:p>
        </w:tc>
        <w:tc>
          <w:tcPr>
            <w:tcW w:w="1588" w:type="dxa"/>
            <w:shd w:val="clear" w:color="auto" w:fill="808080" w:themeFill="background1" w:themeFillShade="80"/>
            <w:noWrap/>
          </w:tcPr>
          <w:p w14:paraId="043654E3" w14:textId="77777777" w:rsidR="004F1002" w:rsidRPr="00E24C4B" w:rsidRDefault="004F1002" w:rsidP="001007F0">
            <w:pPr>
              <w:tabs>
                <w:tab w:val="left" w:pos="1861"/>
              </w:tabs>
              <w:spacing w:line="276" w:lineRule="auto"/>
              <w:rPr>
                <w:rFonts w:cs="Arial"/>
                <w:color w:val="FFFFFF" w:themeColor="background1"/>
                <w:lang w:val="en-GB"/>
              </w:rPr>
            </w:pPr>
            <w:r w:rsidRPr="00E24C4B">
              <w:rPr>
                <w:rFonts w:cs="Arial"/>
                <w:b/>
                <w:bCs/>
                <w:color w:val="FFFFFF" w:themeColor="background1"/>
                <w:lang w:val="en-GB"/>
              </w:rPr>
              <w:t xml:space="preserve">Cycle length </w:t>
            </w:r>
          </w:p>
        </w:tc>
        <w:tc>
          <w:tcPr>
            <w:tcW w:w="2339" w:type="dxa"/>
            <w:shd w:val="clear" w:color="auto" w:fill="808080" w:themeFill="background1" w:themeFillShade="80"/>
            <w:noWrap/>
          </w:tcPr>
          <w:p w14:paraId="33632E4E" w14:textId="77777777" w:rsidR="004F1002" w:rsidRPr="00E24C4B" w:rsidRDefault="004F1002" w:rsidP="001007F0">
            <w:pPr>
              <w:tabs>
                <w:tab w:val="left" w:pos="1861"/>
              </w:tabs>
              <w:spacing w:line="276" w:lineRule="auto"/>
              <w:rPr>
                <w:rFonts w:cs="Arial"/>
                <w:color w:val="FFFFFF" w:themeColor="background1"/>
                <w:lang w:val="en-GB"/>
              </w:rPr>
            </w:pPr>
            <w:r w:rsidRPr="00E24C4B">
              <w:rPr>
                <w:rFonts w:cs="Arial"/>
                <w:b/>
                <w:bCs/>
                <w:color w:val="FFFFFF" w:themeColor="background1"/>
                <w:lang w:val="en-GB"/>
              </w:rPr>
              <w:t>Drug</w:t>
            </w:r>
          </w:p>
        </w:tc>
        <w:tc>
          <w:tcPr>
            <w:tcW w:w="2084" w:type="dxa"/>
            <w:shd w:val="clear" w:color="auto" w:fill="808080" w:themeFill="background1" w:themeFillShade="80"/>
            <w:noWrap/>
          </w:tcPr>
          <w:p w14:paraId="7EF435C2" w14:textId="77777777" w:rsidR="004F1002" w:rsidRPr="00E24C4B" w:rsidRDefault="004F1002" w:rsidP="001007F0">
            <w:pPr>
              <w:tabs>
                <w:tab w:val="left" w:pos="1861"/>
              </w:tabs>
              <w:spacing w:line="276" w:lineRule="auto"/>
              <w:rPr>
                <w:rFonts w:cs="Arial"/>
                <w:color w:val="FFFFFF" w:themeColor="background1"/>
                <w:lang w:val="en-GB"/>
              </w:rPr>
            </w:pPr>
            <w:r w:rsidRPr="00E24C4B">
              <w:rPr>
                <w:rFonts w:cs="Arial"/>
                <w:b/>
                <w:bCs/>
                <w:color w:val="FFFFFF" w:themeColor="background1"/>
                <w:lang w:val="en-GB"/>
              </w:rPr>
              <w:t>Dose per admin</w:t>
            </w:r>
          </w:p>
        </w:tc>
        <w:tc>
          <w:tcPr>
            <w:tcW w:w="2506" w:type="dxa"/>
            <w:shd w:val="clear" w:color="auto" w:fill="808080" w:themeFill="background1" w:themeFillShade="80"/>
            <w:noWrap/>
          </w:tcPr>
          <w:p w14:paraId="79BF41FE" w14:textId="77777777" w:rsidR="004F1002" w:rsidRPr="00E24C4B" w:rsidRDefault="004F1002" w:rsidP="001007F0">
            <w:pPr>
              <w:tabs>
                <w:tab w:val="left" w:pos="1861"/>
              </w:tabs>
              <w:spacing w:line="276" w:lineRule="auto"/>
              <w:rPr>
                <w:rFonts w:cs="Arial"/>
                <w:color w:val="FFFFFF" w:themeColor="background1"/>
                <w:lang w:val="en-GB"/>
              </w:rPr>
            </w:pPr>
            <w:r w:rsidRPr="00E24C4B">
              <w:rPr>
                <w:rFonts w:cs="Arial"/>
                <w:b/>
                <w:bCs/>
                <w:color w:val="FFFFFF" w:themeColor="background1"/>
                <w:lang w:val="en-GB"/>
              </w:rPr>
              <w:t>Administration route</w:t>
            </w:r>
          </w:p>
        </w:tc>
        <w:tc>
          <w:tcPr>
            <w:tcW w:w="2703" w:type="dxa"/>
            <w:shd w:val="clear" w:color="auto" w:fill="808080" w:themeFill="background1" w:themeFillShade="80"/>
            <w:noWrap/>
          </w:tcPr>
          <w:p w14:paraId="3953AA7B" w14:textId="77777777" w:rsidR="004F1002" w:rsidRPr="00E24C4B" w:rsidRDefault="004F1002" w:rsidP="001007F0">
            <w:pPr>
              <w:tabs>
                <w:tab w:val="left" w:pos="1861"/>
              </w:tabs>
              <w:spacing w:line="276" w:lineRule="auto"/>
              <w:rPr>
                <w:rFonts w:cs="Arial"/>
                <w:color w:val="FFFFFF" w:themeColor="background1"/>
                <w:lang w:val="en-GB"/>
              </w:rPr>
            </w:pPr>
            <w:r w:rsidRPr="00E24C4B">
              <w:rPr>
                <w:rFonts w:cs="Arial"/>
                <w:b/>
                <w:bCs/>
                <w:color w:val="FFFFFF" w:themeColor="background1"/>
                <w:lang w:val="en-GB"/>
              </w:rPr>
              <w:t>Administration details</w:t>
            </w:r>
          </w:p>
        </w:tc>
      </w:tr>
      <w:tr w:rsidR="00811425" w:rsidRPr="00E24C4B" w14:paraId="723ED0C3" w14:textId="77777777" w:rsidTr="001007F0">
        <w:trPr>
          <w:trHeight w:val="330"/>
        </w:trPr>
        <w:tc>
          <w:tcPr>
            <w:tcW w:w="14276" w:type="dxa"/>
            <w:gridSpan w:val="6"/>
            <w:shd w:val="clear" w:color="auto" w:fill="BFBFBF" w:themeFill="background1" w:themeFillShade="BF"/>
            <w:noWrap/>
          </w:tcPr>
          <w:p w14:paraId="34A327E8" w14:textId="58E908EE" w:rsidR="004F1002" w:rsidRPr="00E24C4B" w:rsidRDefault="004F1002" w:rsidP="001007F0">
            <w:pPr>
              <w:tabs>
                <w:tab w:val="left" w:pos="1861"/>
              </w:tabs>
              <w:spacing w:line="276" w:lineRule="auto"/>
              <w:rPr>
                <w:rFonts w:cs="Arial"/>
                <w:b/>
                <w:bCs/>
                <w:lang w:val="en-GB"/>
              </w:rPr>
            </w:pPr>
            <w:r w:rsidRPr="00E24C4B">
              <w:rPr>
                <w:rFonts w:cs="Arial"/>
                <w:b/>
                <w:bCs/>
                <w:lang w:val="en-GB"/>
              </w:rPr>
              <w:t xml:space="preserve">Blinatumomab + </w:t>
            </w:r>
            <w:r w:rsidR="00FC19BF" w:rsidRPr="00E24C4B">
              <w:rPr>
                <w:rFonts w:cs="Arial"/>
                <w:b/>
                <w:bCs/>
                <w:lang w:val="en-GB"/>
              </w:rPr>
              <w:t>SoC</w:t>
            </w:r>
          </w:p>
        </w:tc>
      </w:tr>
      <w:tr w:rsidR="00811425" w:rsidRPr="00E24C4B" w14:paraId="11D34BAE" w14:textId="77777777" w:rsidTr="001D38A2">
        <w:trPr>
          <w:trHeight w:val="330"/>
        </w:trPr>
        <w:tc>
          <w:tcPr>
            <w:tcW w:w="3056" w:type="dxa"/>
            <w:noWrap/>
          </w:tcPr>
          <w:p w14:paraId="6EDBAEBD" w14:textId="77777777" w:rsidR="004F1002" w:rsidRPr="00E24C4B" w:rsidRDefault="004F1002" w:rsidP="001007F0">
            <w:pPr>
              <w:tabs>
                <w:tab w:val="left" w:pos="1861"/>
              </w:tabs>
              <w:spacing w:line="276" w:lineRule="auto"/>
              <w:rPr>
                <w:rFonts w:cs="Arial"/>
                <w:lang w:val="en-GB"/>
              </w:rPr>
            </w:pPr>
            <w:r w:rsidRPr="00E24C4B">
              <w:rPr>
                <w:rFonts w:cs="Arial"/>
                <w:lang w:val="en-GB"/>
              </w:rPr>
              <w:t>Cycle 1 - Blinatumomab</w:t>
            </w:r>
          </w:p>
        </w:tc>
        <w:tc>
          <w:tcPr>
            <w:tcW w:w="1588" w:type="dxa"/>
            <w:noWrap/>
          </w:tcPr>
          <w:p w14:paraId="7CCB8A0F" w14:textId="77777777" w:rsidR="004F1002" w:rsidRPr="00E24C4B" w:rsidRDefault="004F1002" w:rsidP="001007F0">
            <w:pPr>
              <w:tabs>
                <w:tab w:val="left" w:pos="1861"/>
              </w:tabs>
              <w:spacing w:line="276" w:lineRule="auto"/>
              <w:rPr>
                <w:rFonts w:cs="Arial"/>
                <w:lang w:val="en-GB"/>
              </w:rPr>
            </w:pPr>
            <w:r w:rsidRPr="00E24C4B">
              <w:rPr>
                <w:rFonts w:cs="Arial"/>
                <w:lang w:val="en-GB"/>
              </w:rPr>
              <w:t>42 days</w:t>
            </w:r>
          </w:p>
        </w:tc>
        <w:tc>
          <w:tcPr>
            <w:tcW w:w="2339" w:type="dxa"/>
            <w:noWrap/>
          </w:tcPr>
          <w:p w14:paraId="277C55F7" w14:textId="77777777" w:rsidR="004F1002" w:rsidRPr="00E24C4B" w:rsidRDefault="004F1002" w:rsidP="001007F0">
            <w:pPr>
              <w:tabs>
                <w:tab w:val="left" w:pos="1861"/>
              </w:tabs>
              <w:spacing w:line="276" w:lineRule="auto"/>
              <w:rPr>
                <w:rFonts w:cs="Arial"/>
                <w:lang w:val="en-GB"/>
              </w:rPr>
            </w:pPr>
            <w:r w:rsidRPr="00E24C4B">
              <w:rPr>
                <w:rFonts w:cs="Arial"/>
                <w:lang w:val="en-GB"/>
              </w:rPr>
              <w:t>Blinatumomab</w:t>
            </w:r>
          </w:p>
        </w:tc>
        <w:tc>
          <w:tcPr>
            <w:tcW w:w="2084" w:type="dxa"/>
            <w:noWrap/>
          </w:tcPr>
          <w:p w14:paraId="67FAA996" w14:textId="77777777" w:rsidR="004F1002" w:rsidRPr="00E24C4B" w:rsidRDefault="004F1002" w:rsidP="001007F0">
            <w:pPr>
              <w:tabs>
                <w:tab w:val="left" w:pos="1861"/>
              </w:tabs>
              <w:spacing w:line="276" w:lineRule="auto"/>
              <w:rPr>
                <w:rFonts w:cs="Arial"/>
                <w:lang w:val="en-GB"/>
              </w:rPr>
            </w:pPr>
            <w:r w:rsidRPr="00E24C4B">
              <w:rPr>
                <w:rFonts w:cs="Arial"/>
                <w:lang w:val="en-GB"/>
              </w:rPr>
              <w:t>28 μg</w:t>
            </w:r>
          </w:p>
        </w:tc>
        <w:tc>
          <w:tcPr>
            <w:tcW w:w="2506" w:type="dxa"/>
            <w:noWrap/>
          </w:tcPr>
          <w:p w14:paraId="1648DCED" w14:textId="77777777" w:rsidR="004F1002" w:rsidRPr="00E24C4B" w:rsidRDefault="004F1002" w:rsidP="001007F0">
            <w:pPr>
              <w:tabs>
                <w:tab w:val="left" w:pos="1861"/>
              </w:tabs>
              <w:spacing w:line="276" w:lineRule="auto"/>
              <w:rPr>
                <w:rFonts w:cs="Arial"/>
                <w:lang w:val="en-GB"/>
              </w:rPr>
            </w:pPr>
            <w:r w:rsidRPr="00E24C4B">
              <w:rPr>
                <w:rFonts w:cs="Arial"/>
                <w:lang w:val="en-GB"/>
              </w:rPr>
              <w:t>cIV</w:t>
            </w:r>
          </w:p>
        </w:tc>
        <w:tc>
          <w:tcPr>
            <w:tcW w:w="2703" w:type="dxa"/>
            <w:noWrap/>
          </w:tcPr>
          <w:p w14:paraId="04502620" w14:textId="77777777" w:rsidR="004F1002" w:rsidRPr="00E24C4B" w:rsidRDefault="004F1002" w:rsidP="001007F0">
            <w:pPr>
              <w:tabs>
                <w:tab w:val="left" w:pos="1861"/>
              </w:tabs>
              <w:spacing w:line="276" w:lineRule="auto"/>
              <w:rPr>
                <w:rFonts w:cs="Arial"/>
                <w:lang w:val="en-GB"/>
              </w:rPr>
            </w:pPr>
            <w:r w:rsidRPr="00E24C4B">
              <w:rPr>
                <w:rFonts w:cs="Arial"/>
                <w:lang w:val="en-GB"/>
              </w:rPr>
              <w:t>Days 1 - 28</w:t>
            </w:r>
          </w:p>
        </w:tc>
      </w:tr>
      <w:tr w:rsidR="00811425" w:rsidRPr="00E24C4B" w14:paraId="37285FBD" w14:textId="77777777" w:rsidTr="001D38A2">
        <w:trPr>
          <w:trHeight w:val="330"/>
        </w:trPr>
        <w:tc>
          <w:tcPr>
            <w:tcW w:w="3056" w:type="dxa"/>
            <w:noWrap/>
            <w:hideMark/>
          </w:tcPr>
          <w:p w14:paraId="720B1292" w14:textId="77777777" w:rsidR="004F1002" w:rsidRPr="00E24C4B" w:rsidRDefault="004F1002" w:rsidP="001007F0">
            <w:pPr>
              <w:tabs>
                <w:tab w:val="left" w:pos="1861"/>
              </w:tabs>
              <w:spacing w:line="276" w:lineRule="auto"/>
              <w:rPr>
                <w:rFonts w:cs="Arial"/>
                <w:lang w:val="en-GB"/>
              </w:rPr>
            </w:pPr>
            <w:r w:rsidRPr="00E24C4B">
              <w:rPr>
                <w:rFonts w:cs="Arial"/>
                <w:lang w:val="en-GB"/>
              </w:rPr>
              <w:t>Cycle 2 - Blinatumomab</w:t>
            </w:r>
          </w:p>
        </w:tc>
        <w:tc>
          <w:tcPr>
            <w:tcW w:w="1588" w:type="dxa"/>
            <w:noWrap/>
            <w:hideMark/>
          </w:tcPr>
          <w:p w14:paraId="2DD46C5E" w14:textId="77777777" w:rsidR="004F1002" w:rsidRPr="00E24C4B" w:rsidRDefault="004F1002" w:rsidP="001007F0">
            <w:pPr>
              <w:tabs>
                <w:tab w:val="left" w:pos="1861"/>
              </w:tabs>
              <w:spacing w:line="276" w:lineRule="auto"/>
              <w:rPr>
                <w:rFonts w:cs="Arial"/>
                <w:lang w:val="en-GB"/>
              </w:rPr>
            </w:pPr>
            <w:r w:rsidRPr="00E24C4B">
              <w:rPr>
                <w:rFonts w:cs="Arial"/>
                <w:lang w:val="en-GB"/>
              </w:rPr>
              <w:t>42 days</w:t>
            </w:r>
          </w:p>
        </w:tc>
        <w:tc>
          <w:tcPr>
            <w:tcW w:w="2339" w:type="dxa"/>
            <w:noWrap/>
            <w:hideMark/>
          </w:tcPr>
          <w:p w14:paraId="494E1968" w14:textId="77777777" w:rsidR="004F1002" w:rsidRPr="00E24C4B" w:rsidRDefault="004F1002" w:rsidP="001007F0">
            <w:pPr>
              <w:tabs>
                <w:tab w:val="left" w:pos="1861"/>
              </w:tabs>
              <w:spacing w:line="276" w:lineRule="auto"/>
              <w:rPr>
                <w:rFonts w:cs="Arial"/>
                <w:lang w:val="en-GB"/>
              </w:rPr>
            </w:pPr>
            <w:r w:rsidRPr="00E24C4B">
              <w:rPr>
                <w:rFonts w:cs="Arial"/>
                <w:lang w:val="en-GB"/>
              </w:rPr>
              <w:t>Blinatumomab</w:t>
            </w:r>
          </w:p>
        </w:tc>
        <w:tc>
          <w:tcPr>
            <w:tcW w:w="2084" w:type="dxa"/>
            <w:noWrap/>
            <w:hideMark/>
          </w:tcPr>
          <w:p w14:paraId="54317AA7" w14:textId="77777777" w:rsidR="004F1002" w:rsidRPr="00E24C4B" w:rsidRDefault="004F1002" w:rsidP="001007F0">
            <w:pPr>
              <w:tabs>
                <w:tab w:val="left" w:pos="1861"/>
              </w:tabs>
              <w:spacing w:line="276" w:lineRule="auto"/>
              <w:rPr>
                <w:rFonts w:cs="Arial"/>
                <w:lang w:val="en-GB"/>
              </w:rPr>
            </w:pPr>
            <w:r w:rsidRPr="00E24C4B">
              <w:rPr>
                <w:rFonts w:cs="Arial"/>
                <w:lang w:val="en-GB"/>
              </w:rPr>
              <w:t>28 μg</w:t>
            </w:r>
          </w:p>
        </w:tc>
        <w:tc>
          <w:tcPr>
            <w:tcW w:w="2506" w:type="dxa"/>
            <w:noWrap/>
            <w:hideMark/>
          </w:tcPr>
          <w:p w14:paraId="093B4AA3" w14:textId="77777777" w:rsidR="004F1002" w:rsidRPr="00E24C4B" w:rsidRDefault="004F1002" w:rsidP="001007F0">
            <w:pPr>
              <w:tabs>
                <w:tab w:val="left" w:pos="1861"/>
              </w:tabs>
              <w:spacing w:line="276" w:lineRule="auto"/>
              <w:rPr>
                <w:rFonts w:cs="Arial"/>
                <w:lang w:val="en-GB"/>
              </w:rPr>
            </w:pPr>
            <w:r w:rsidRPr="00E24C4B">
              <w:rPr>
                <w:rFonts w:cs="Arial"/>
                <w:lang w:val="en-GB"/>
              </w:rPr>
              <w:t>cIV</w:t>
            </w:r>
          </w:p>
        </w:tc>
        <w:tc>
          <w:tcPr>
            <w:tcW w:w="2703" w:type="dxa"/>
            <w:noWrap/>
            <w:hideMark/>
          </w:tcPr>
          <w:p w14:paraId="42AB0D41" w14:textId="77777777" w:rsidR="004F1002" w:rsidRPr="00E24C4B" w:rsidRDefault="004F1002" w:rsidP="001007F0">
            <w:pPr>
              <w:tabs>
                <w:tab w:val="left" w:pos="1861"/>
              </w:tabs>
              <w:spacing w:line="276" w:lineRule="auto"/>
              <w:rPr>
                <w:rFonts w:cs="Arial"/>
                <w:lang w:val="en-GB"/>
              </w:rPr>
            </w:pPr>
            <w:r w:rsidRPr="00E24C4B">
              <w:rPr>
                <w:rFonts w:cs="Arial"/>
                <w:lang w:val="en-GB"/>
              </w:rPr>
              <w:t>Days 1 - 28</w:t>
            </w:r>
          </w:p>
        </w:tc>
      </w:tr>
      <w:tr w:rsidR="00811425" w:rsidRPr="00E24C4B" w14:paraId="6F905F3B" w14:textId="77777777" w:rsidTr="001D38A2">
        <w:trPr>
          <w:trHeight w:val="345"/>
        </w:trPr>
        <w:tc>
          <w:tcPr>
            <w:tcW w:w="3056" w:type="dxa"/>
            <w:vMerge w:val="restart"/>
            <w:noWrap/>
            <w:hideMark/>
          </w:tcPr>
          <w:p w14:paraId="22EDA96F" w14:textId="77777777" w:rsidR="004F1002" w:rsidRPr="00E24C4B" w:rsidRDefault="004F1002" w:rsidP="001007F0">
            <w:pPr>
              <w:tabs>
                <w:tab w:val="left" w:pos="1861"/>
              </w:tabs>
              <w:spacing w:line="276" w:lineRule="auto"/>
              <w:rPr>
                <w:rFonts w:cs="Arial"/>
                <w:lang w:val="en-GB"/>
              </w:rPr>
            </w:pPr>
            <w:r w:rsidRPr="00E24C4B">
              <w:rPr>
                <w:rFonts w:cs="Arial"/>
                <w:lang w:val="en-GB"/>
              </w:rPr>
              <w:t>Consolidation Cycle 1</w:t>
            </w:r>
          </w:p>
        </w:tc>
        <w:tc>
          <w:tcPr>
            <w:tcW w:w="1588" w:type="dxa"/>
            <w:vMerge w:val="restart"/>
            <w:noWrap/>
            <w:hideMark/>
          </w:tcPr>
          <w:p w14:paraId="1289BDA6" w14:textId="77777777" w:rsidR="004F1002" w:rsidRPr="00E24C4B" w:rsidRDefault="004F1002" w:rsidP="001007F0">
            <w:pPr>
              <w:tabs>
                <w:tab w:val="left" w:pos="1861"/>
              </w:tabs>
              <w:spacing w:line="276" w:lineRule="auto"/>
              <w:rPr>
                <w:rFonts w:cs="Arial"/>
                <w:lang w:val="en-GB"/>
              </w:rPr>
            </w:pPr>
            <w:r w:rsidRPr="00E24C4B">
              <w:rPr>
                <w:rFonts w:cs="Arial"/>
                <w:lang w:val="en-GB"/>
              </w:rPr>
              <w:t>28 days</w:t>
            </w:r>
          </w:p>
        </w:tc>
        <w:tc>
          <w:tcPr>
            <w:tcW w:w="2339" w:type="dxa"/>
            <w:noWrap/>
            <w:hideMark/>
          </w:tcPr>
          <w:p w14:paraId="493D573B" w14:textId="77777777" w:rsidR="004F1002" w:rsidRPr="00E24C4B" w:rsidRDefault="004F1002" w:rsidP="001007F0">
            <w:pPr>
              <w:tabs>
                <w:tab w:val="left" w:pos="1861"/>
              </w:tabs>
              <w:spacing w:line="276" w:lineRule="auto"/>
              <w:rPr>
                <w:rFonts w:cs="Arial"/>
                <w:lang w:val="en-GB"/>
              </w:rPr>
            </w:pPr>
            <w:r w:rsidRPr="00E24C4B">
              <w:rPr>
                <w:rFonts w:cs="Arial"/>
                <w:lang w:val="en-GB"/>
              </w:rPr>
              <w:t>Cytarabine</w:t>
            </w:r>
          </w:p>
        </w:tc>
        <w:tc>
          <w:tcPr>
            <w:tcW w:w="2084" w:type="dxa"/>
            <w:noWrap/>
            <w:hideMark/>
          </w:tcPr>
          <w:p w14:paraId="514848AD" w14:textId="77777777" w:rsidR="004F1002" w:rsidRPr="00E24C4B" w:rsidRDefault="004F1002" w:rsidP="001007F0">
            <w:pPr>
              <w:tabs>
                <w:tab w:val="left" w:pos="1861"/>
              </w:tabs>
              <w:spacing w:line="276" w:lineRule="auto"/>
              <w:rPr>
                <w:rFonts w:cs="Arial"/>
                <w:lang w:val="en-GB"/>
              </w:rPr>
            </w:pPr>
            <w:r w:rsidRPr="00E24C4B">
              <w:rPr>
                <w:rFonts w:cs="Arial"/>
                <w:lang w:val="en-GB"/>
              </w:rPr>
              <w:t>75mg/m²</w:t>
            </w:r>
          </w:p>
        </w:tc>
        <w:tc>
          <w:tcPr>
            <w:tcW w:w="2506" w:type="dxa"/>
            <w:noWrap/>
            <w:hideMark/>
          </w:tcPr>
          <w:p w14:paraId="5D18F14F" w14:textId="77777777" w:rsidR="004F1002" w:rsidRPr="00E24C4B" w:rsidRDefault="004F1002" w:rsidP="001007F0">
            <w:pPr>
              <w:tabs>
                <w:tab w:val="left" w:pos="1861"/>
              </w:tabs>
              <w:spacing w:line="276" w:lineRule="auto"/>
              <w:rPr>
                <w:rFonts w:cs="Arial"/>
                <w:lang w:val="en-GB"/>
              </w:rPr>
            </w:pPr>
            <w:r w:rsidRPr="00E24C4B">
              <w:rPr>
                <w:rFonts w:cs="Arial"/>
                <w:lang w:val="en-GB"/>
              </w:rPr>
              <w:t>IV or SC</w:t>
            </w:r>
          </w:p>
        </w:tc>
        <w:tc>
          <w:tcPr>
            <w:tcW w:w="2703" w:type="dxa"/>
            <w:noWrap/>
            <w:hideMark/>
          </w:tcPr>
          <w:p w14:paraId="20EE4316" w14:textId="77777777" w:rsidR="004F1002" w:rsidRPr="00E24C4B" w:rsidRDefault="004F1002" w:rsidP="001007F0">
            <w:pPr>
              <w:tabs>
                <w:tab w:val="left" w:pos="1861"/>
              </w:tabs>
              <w:spacing w:line="276" w:lineRule="auto"/>
              <w:rPr>
                <w:rFonts w:cs="Arial"/>
                <w:lang w:val="en-GB"/>
              </w:rPr>
            </w:pPr>
            <w:r w:rsidRPr="00E24C4B">
              <w:rPr>
                <w:rFonts w:cs="Arial"/>
                <w:lang w:val="en-GB"/>
              </w:rPr>
              <w:t>Day 1 - 5</w:t>
            </w:r>
          </w:p>
        </w:tc>
      </w:tr>
      <w:tr w:rsidR="00811425" w:rsidRPr="00E24C4B" w14:paraId="1606983D" w14:textId="77777777" w:rsidTr="001D38A2">
        <w:trPr>
          <w:trHeight w:val="345"/>
        </w:trPr>
        <w:tc>
          <w:tcPr>
            <w:tcW w:w="3056" w:type="dxa"/>
            <w:vMerge/>
            <w:hideMark/>
          </w:tcPr>
          <w:p w14:paraId="10A25C23" w14:textId="77777777" w:rsidR="004F1002" w:rsidRPr="00E24C4B" w:rsidRDefault="004F1002" w:rsidP="001007F0">
            <w:pPr>
              <w:tabs>
                <w:tab w:val="left" w:pos="1861"/>
              </w:tabs>
              <w:spacing w:line="276" w:lineRule="auto"/>
              <w:rPr>
                <w:rFonts w:cs="Arial"/>
                <w:lang w:val="en-GB"/>
              </w:rPr>
            </w:pPr>
          </w:p>
        </w:tc>
        <w:tc>
          <w:tcPr>
            <w:tcW w:w="1588" w:type="dxa"/>
            <w:vMerge/>
            <w:hideMark/>
          </w:tcPr>
          <w:p w14:paraId="3FB56E60" w14:textId="77777777" w:rsidR="004F1002" w:rsidRPr="00E24C4B" w:rsidRDefault="004F1002" w:rsidP="001007F0">
            <w:pPr>
              <w:tabs>
                <w:tab w:val="left" w:pos="1861"/>
              </w:tabs>
              <w:spacing w:line="276" w:lineRule="auto"/>
              <w:rPr>
                <w:rFonts w:cs="Arial"/>
                <w:lang w:val="en-GB"/>
              </w:rPr>
            </w:pPr>
          </w:p>
        </w:tc>
        <w:tc>
          <w:tcPr>
            <w:tcW w:w="2339" w:type="dxa"/>
            <w:noWrap/>
            <w:hideMark/>
          </w:tcPr>
          <w:p w14:paraId="2E58338A" w14:textId="77777777" w:rsidR="004F1002" w:rsidRPr="00E24C4B" w:rsidRDefault="004F1002" w:rsidP="001007F0">
            <w:pPr>
              <w:tabs>
                <w:tab w:val="left" w:pos="1861"/>
              </w:tabs>
              <w:spacing w:line="276" w:lineRule="auto"/>
              <w:rPr>
                <w:rFonts w:cs="Arial"/>
                <w:lang w:val="en-GB"/>
              </w:rPr>
            </w:pPr>
            <w:r w:rsidRPr="00E24C4B">
              <w:rPr>
                <w:rFonts w:cs="Arial"/>
                <w:lang w:val="en-GB"/>
              </w:rPr>
              <w:t>Etoposide</w:t>
            </w:r>
          </w:p>
        </w:tc>
        <w:tc>
          <w:tcPr>
            <w:tcW w:w="2084" w:type="dxa"/>
            <w:noWrap/>
            <w:hideMark/>
          </w:tcPr>
          <w:p w14:paraId="08BE06BC" w14:textId="77777777" w:rsidR="004F1002" w:rsidRPr="00E24C4B" w:rsidRDefault="004F1002" w:rsidP="001007F0">
            <w:pPr>
              <w:tabs>
                <w:tab w:val="left" w:pos="1861"/>
              </w:tabs>
              <w:spacing w:line="276" w:lineRule="auto"/>
              <w:rPr>
                <w:rFonts w:cs="Arial"/>
                <w:lang w:val="en-GB"/>
              </w:rPr>
            </w:pPr>
            <w:r w:rsidRPr="00E24C4B">
              <w:rPr>
                <w:rFonts w:cs="Arial"/>
                <w:lang w:val="en-GB"/>
              </w:rPr>
              <w:t>100mg/m²</w:t>
            </w:r>
          </w:p>
        </w:tc>
        <w:tc>
          <w:tcPr>
            <w:tcW w:w="2506" w:type="dxa"/>
            <w:noWrap/>
            <w:hideMark/>
          </w:tcPr>
          <w:p w14:paraId="7D15065A" w14:textId="77777777" w:rsidR="004F1002" w:rsidRPr="00E24C4B" w:rsidRDefault="004F1002" w:rsidP="001007F0">
            <w:pPr>
              <w:tabs>
                <w:tab w:val="left" w:pos="1861"/>
              </w:tabs>
              <w:spacing w:line="276" w:lineRule="auto"/>
              <w:rPr>
                <w:rFonts w:cs="Arial"/>
                <w:lang w:val="en-GB"/>
              </w:rPr>
            </w:pPr>
            <w:r w:rsidRPr="00E24C4B">
              <w:rPr>
                <w:rFonts w:cs="Arial"/>
                <w:lang w:val="en-GB"/>
              </w:rPr>
              <w:t>IV</w:t>
            </w:r>
          </w:p>
        </w:tc>
        <w:tc>
          <w:tcPr>
            <w:tcW w:w="2703" w:type="dxa"/>
            <w:noWrap/>
            <w:hideMark/>
          </w:tcPr>
          <w:p w14:paraId="2AA1A368" w14:textId="77777777" w:rsidR="004F1002" w:rsidRPr="00E24C4B" w:rsidRDefault="004F1002" w:rsidP="001007F0">
            <w:pPr>
              <w:tabs>
                <w:tab w:val="left" w:pos="1861"/>
              </w:tabs>
              <w:spacing w:line="276" w:lineRule="auto"/>
              <w:rPr>
                <w:rFonts w:cs="Arial"/>
                <w:lang w:val="en-GB"/>
              </w:rPr>
            </w:pPr>
            <w:r w:rsidRPr="00E24C4B">
              <w:rPr>
                <w:rFonts w:cs="Arial"/>
                <w:lang w:val="en-GB"/>
              </w:rPr>
              <w:t>Day 1 - 5</w:t>
            </w:r>
          </w:p>
        </w:tc>
      </w:tr>
      <w:tr w:rsidR="00811425" w:rsidRPr="00E24C4B" w14:paraId="30A5384A" w14:textId="77777777" w:rsidTr="001D38A2">
        <w:trPr>
          <w:trHeight w:val="345"/>
        </w:trPr>
        <w:tc>
          <w:tcPr>
            <w:tcW w:w="3056" w:type="dxa"/>
            <w:vMerge/>
            <w:hideMark/>
          </w:tcPr>
          <w:p w14:paraId="160B0C44" w14:textId="77777777" w:rsidR="004F1002" w:rsidRPr="00E24C4B" w:rsidRDefault="004F1002" w:rsidP="001007F0">
            <w:pPr>
              <w:tabs>
                <w:tab w:val="left" w:pos="1861"/>
              </w:tabs>
              <w:spacing w:line="276" w:lineRule="auto"/>
              <w:rPr>
                <w:rFonts w:cs="Arial"/>
                <w:lang w:val="en-GB"/>
              </w:rPr>
            </w:pPr>
          </w:p>
        </w:tc>
        <w:tc>
          <w:tcPr>
            <w:tcW w:w="1588" w:type="dxa"/>
            <w:vMerge/>
            <w:hideMark/>
          </w:tcPr>
          <w:p w14:paraId="40E257B5" w14:textId="77777777" w:rsidR="004F1002" w:rsidRPr="00E24C4B" w:rsidRDefault="004F1002" w:rsidP="001007F0">
            <w:pPr>
              <w:tabs>
                <w:tab w:val="left" w:pos="1861"/>
              </w:tabs>
              <w:spacing w:line="276" w:lineRule="auto"/>
              <w:rPr>
                <w:rFonts w:cs="Arial"/>
                <w:lang w:val="en-GB"/>
              </w:rPr>
            </w:pPr>
          </w:p>
        </w:tc>
        <w:tc>
          <w:tcPr>
            <w:tcW w:w="2339" w:type="dxa"/>
            <w:noWrap/>
            <w:hideMark/>
          </w:tcPr>
          <w:p w14:paraId="464B8DC6" w14:textId="77777777" w:rsidR="004F1002" w:rsidRPr="00E24C4B" w:rsidRDefault="004F1002" w:rsidP="001007F0">
            <w:pPr>
              <w:tabs>
                <w:tab w:val="left" w:pos="1861"/>
              </w:tabs>
              <w:spacing w:line="276" w:lineRule="auto"/>
              <w:rPr>
                <w:rFonts w:cs="Arial"/>
                <w:lang w:val="en-GB"/>
              </w:rPr>
            </w:pPr>
            <w:r w:rsidRPr="00E24C4B">
              <w:rPr>
                <w:rFonts w:cs="Arial"/>
                <w:lang w:val="en-GB"/>
              </w:rPr>
              <w:t>Methotrexate</w:t>
            </w:r>
          </w:p>
        </w:tc>
        <w:tc>
          <w:tcPr>
            <w:tcW w:w="2084" w:type="dxa"/>
            <w:noWrap/>
            <w:hideMark/>
          </w:tcPr>
          <w:p w14:paraId="5B8AC8A8" w14:textId="77777777" w:rsidR="004F1002" w:rsidRPr="00E24C4B" w:rsidRDefault="004F1002" w:rsidP="001007F0">
            <w:pPr>
              <w:tabs>
                <w:tab w:val="left" w:pos="1861"/>
              </w:tabs>
              <w:spacing w:line="276" w:lineRule="auto"/>
              <w:rPr>
                <w:rFonts w:cs="Arial"/>
                <w:lang w:val="en-GB"/>
              </w:rPr>
            </w:pPr>
            <w:r w:rsidRPr="00E24C4B">
              <w:rPr>
                <w:rFonts w:cs="Arial"/>
                <w:lang w:val="en-GB"/>
              </w:rPr>
              <w:t>12.5mg</w:t>
            </w:r>
          </w:p>
        </w:tc>
        <w:tc>
          <w:tcPr>
            <w:tcW w:w="2506" w:type="dxa"/>
            <w:noWrap/>
            <w:hideMark/>
          </w:tcPr>
          <w:p w14:paraId="7640CC2A" w14:textId="77777777" w:rsidR="004F1002" w:rsidRPr="00E24C4B" w:rsidRDefault="004F1002" w:rsidP="001007F0">
            <w:pPr>
              <w:tabs>
                <w:tab w:val="left" w:pos="1861"/>
              </w:tabs>
              <w:spacing w:line="276" w:lineRule="auto"/>
              <w:rPr>
                <w:rFonts w:cs="Arial"/>
                <w:lang w:val="en-GB"/>
              </w:rPr>
            </w:pPr>
            <w:r w:rsidRPr="00E24C4B">
              <w:rPr>
                <w:rFonts w:cs="Arial"/>
                <w:lang w:val="en-GB"/>
              </w:rPr>
              <w:t>IT</w:t>
            </w:r>
          </w:p>
        </w:tc>
        <w:tc>
          <w:tcPr>
            <w:tcW w:w="2703" w:type="dxa"/>
            <w:noWrap/>
            <w:hideMark/>
          </w:tcPr>
          <w:p w14:paraId="2EE5601E" w14:textId="77777777" w:rsidR="004F1002" w:rsidRPr="00E24C4B" w:rsidRDefault="004F1002" w:rsidP="001007F0">
            <w:pPr>
              <w:tabs>
                <w:tab w:val="left" w:pos="1861"/>
              </w:tabs>
              <w:spacing w:line="276" w:lineRule="auto"/>
              <w:rPr>
                <w:rFonts w:cs="Arial"/>
                <w:lang w:val="en-GB"/>
              </w:rPr>
            </w:pPr>
            <w:r w:rsidRPr="00E24C4B">
              <w:rPr>
                <w:rFonts w:cs="Arial"/>
                <w:lang w:val="en-GB"/>
              </w:rPr>
              <w:t>Day 1</w:t>
            </w:r>
          </w:p>
        </w:tc>
      </w:tr>
      <w:tr w:rsidR="00811425" w:rsidRPr="00E24C4B" w14:paraId="3BBABAC7" w14:textId="77777777" w:rsidTr="001D38A2">
        <w:trPr>
          <w:trHeight w:val="360"/>
        </w:trPr>
        <w:tc>
          <w:tcPr>
            <w:tcW w:w="3056" w:type="dxa"/>
            <w:vMerge/>
            <w:hideMark/>
          </w:tcPr>
          <w:p w14:paraId="4D6D3D1C" w14:textId="77777777" w:rsidR="004F1002" w:rsidRPr="00E24C4B" w:rsidRDefault="004F1002" w:rsidP="001007F0">
            <w:pPr>
              <w:tabs>
                <w:tab w:val="left" w:pos="1861"/>
              </w:tabs>
              <w:spacing w:line="276" w:lineRule="auto"/>
              <w:rPr>
                <w:rFonts w:cs="Arial"/>
                <w:lang w:val="en-GB"/>
              </w:rPr>
            </w:pPr>
          </w:p>
        </w:tc>
        <w:tc>
          <w:tcPr>
            <w:tcW w:w="1588" w:type="dxa"/>
            <w:vMerge/>
            <w:hideMark/>
          </w:tcPr>
          <w:p w14:paraId="72CE26EC" w14:textId="77777777" w:rsidR="004F1002" w:rsidRPr="00E24C4B" w:rsidRDefault="004F1002" w:rsidP="001007F0">
            <w:pPr>
              <w:tabs>
                <w:tab w:val="left" w:pos="1861"/>
              </w:tabs>
              <w:spacing w:line="276" w:lineRule="auto"/>
              <w:rPr>
                <w:rFonts w:cs="Arial"/>
                <w:lang w:val="en-GB"/>
              </w:rPr>
            </w:pPr>
          </w:p>
        </w:tc>
        <w:tc>
          <w:tcPr>
            <w:tcW w:w="2339" w:type="dxa"/>
            <w:noWrap/>
            <w:hideMark/>
          </w:tcPr>
          <w:p w14:paraId="69B81E13" w14:textId="77777777" w:rsidR="004F1002" w:rsidRPr="00E24C4B" w:rsidRDefault="004F1002" w:rsidP="001007F0">
            <w:pPr>
              <w:tabs>
                <w:tab w:val="left" w:pos="1861"/>
              </w:tabs>
              <w:spacing w:line="276" w:lineRule="auto"/>
              <w:rPr>
                <w:rFonts w:cs="Arial"/>
                <w:lang w:val="en-GB"/>
              </w:rPr>
            </w:pPr>
            <w:r w:rsidRPr="00E24C4B">
              <w:rPr>
                <w:rFonts w:cs="Arial"/>
                <w:lang w:val="en-GB"/>
              </w:rPr>
              <w:t>Pegaspargase</w:t>
            </w:r>
          </w:p>
        </w:tc>
        <w:tc>
          <w:tcPr>
            <w:tcW w:w="2084" w:type="dxa"/>
            <w:noWrap/>
            <w:hideMark/>
          </w:tcPr>
          <w:p w14:paraId="57669FEF" w14:textId="77777777" w:rsidR="004F1002" w:rsidRPr="00E24C4B" w:rsidRDefault="004F1002" w:rsidP="001007F0">
            <w:pPr>
              <w:tabs>
                <w:tab w:val="left" w:pos="1861"/>
              </w:tabs>
              <w:spacing w:line="276" w:lineRule="auto"/>
              <w:rPr>
                <w:rFonts w:cs="Arial"/>
                <w:lang w:val="en-GB"/>
              </w:rPr>
            </w:pPr>
            <w:r w:rsidRPr="00E24C4B">
              <w:rPr>
                <w:rFonts w:cs="Arial"/>
                <w:lang w:val="en-GB"/>
              </w:rPr>
              <w:t>2000IU/m²</w:t>
            </w:r>
          </w:p>
        </w:tc>
        <w:tc>
          <w:tcPr>
            <w:tcW w:w="2506" w:type="dxa"/>
            <w:noWrap/>
            <w:hideMark/>
          </w:tcPr>
          <w:p w14:paraId="17127648" w14:textId="77777777" w:rsidR="004F1002" w:rsidRPr="00E24C4B" w:rsidRDefault="004F1002" w:rsidP="001007F0">
            <w:pPr>
              <w:tabs>
                <w:tab w:val="left" w:pos="1861"/>
              </w:tabs>
              <w:spacing w:line="276" w:lineRule="auto"/>
              <w:rPr>
                <w:rFonts w:cs="Arial"/>
                <w:lang w:val="en-GB"/>
              </w:rPr>
            </w:pPr>
            <w:r w:rsidRPr="00E24C4B">
              <w:rPr>
                <w:rFonts w:cs="Arial"/>
                <w:lang w:val="en-GB"/>
              </w:rPr>
              <w:t>IV</w:t>
            </w:r>
          </w:p>
        </w:tc>
        <w:tc>
          <w:tcPr>
            <w:tcW w:w="2703" w:type="dxa"/>
            <w:noWrap/>
            <w:hideMark/>
          </w:tcPr>
          <w:p w14:paraId="3A50758F" w14:textId="77777777" w:rsidR="004F1002" w:rsidRPr="00E24C4B" w:rsidRDefault="004F1002" w:rsidP="001007F0">
            <w:pPr>
              <w:tabs>
                <w:tab w:val="left" w:pos="1861"/>
              </w:tabs>
              <w:spacing w:line="276" w:lineRule="auto"/>
              <w:rPr>
                <w:rFonts w:cs="Arial"/>
                <w:lang w:val="en-GB"/>
              </w:rPr>
            </w:pPr>
            <w:r w:rsidRPr="00E24C4B">
              <w:rPr>
                <w:rFonts w:cs="Arial"/>
                <w:lang w:val="en-GB"/>
              </w:rPr>
              <w:t>Day 5</w:t>
            </w:r>
          </w:p>
        </w:tc>
      </w:tr>
      <w:tr w:rsidR="00811425" w:rsidRPr="00E24C4B" w14:paraId="4EC5AB5B" w14:textId="77777777" w:rsidTr="001D38A2">
        <w:trPr>
          <w:trHeight w:val="345"/>
        </w:trPr>
        <w:tc>
          <w:tcPr>
            <w:tcW w:w="3056" w:type="dxa"/>
            <w:vMerge w:val="restart"/>
            <w:noWrap/>
            <w:hideMark/>
          </w:tcPr>
          <w:p w14:paraId="059C373E" w14:textId="77777777" w:rsidR="004F1002" w:rsidRPr="00E24C4B" w:rsidRDefault="004F1002" w:rsidP="001007F0">
            <w:pPr>
              <w:tabs>
                <w:tab w:val="left" w:pos="1861"/>
              </w:tabs>
              <w:spacing w:line="276" w:lineRule="auto"/>
              <w:rPr>
                <w:rFonts w:cs="Arial"/>
                <w:lang w:val="en-GB"/>
              </w:rPr>
            </w:pPr>
            <w:r w:rsidRPr="00E24C4B">
              <w:rPr>
                <w:rFonts w:cs="Arial"/>
                <w:lang w:val="en-GB"/>
              </w:rPr>
              <w:t>Consolidation Cycle 2</w:t>
            </w:r>
          </w:p>
        </w:tc>
        <w:tc>
          <w:tcPr>
            <w:tcW w:w="1588" w:type="dxa"/>
            <w:vMerge w:val="restart"/>
            <w:noWrap/>
            <w:hideMark/>
          </w:tcPr>
          <w:p w14:paraId="54FFFBEC" w14:textId="77777777" w:rsidR="004F1002" w:rsidRPr="00E24C4B" w:rsidRDefault="004F1002" w:rsidP="001007F0">
            <w:pPr>
              <w:tabs>
                <w:tab w:val="left" w:pos="1861"/>
              </w:tabs>
              <w:spacing w:line="276" w:lineRule="auto"/>
              <w:rPr>
                <w:rFonts w:cs="Arial"/>
                <w:lang w:val="en-GB"/>
              </w:rPr>
            </w:pPr>
            <w:r w:rsidRPr="00E24C4B">
              <w:rPr>
                <w:rFonts w:cs="Arial"/>
                <w:lang w:val="en-GB"/>
              </w:rPr>
              <w:t>28 days</w:t>
            </w:r>
          </w:p>
        </w:tc>
        <w:tc>
          <w:tcPr>
            <w:tcW w:w="2339" w:type="dxa"/>
            <w:noWrap/>
            <w:hideMark/>
          </w:tcPr>
          <w:p w14:paraId="7B7061A0" w14:textId="77777777" w:rsidR="004F1002" w:rsidRPr="00E24C4B" w:rsidRDefault="004F1002" w:rsidP="001007F0">
            <w:pPr>
              <w:tabs>
                <w:tab w:val="left" w:pos="1861"/>
              </w:tabs>
              <w:spacing w:line="276" w:lineRule="auto"/>
              <w:rPr>
                <w:rFonts w:cs="Arial"/>
                <w:lang w:val="en-GB"/>
              </w:rPr>
            </w:pPr>
            <w:bookmarkStart w:id="11" w:name="RANGE!G78"/>
            <w:r w:rsidRPr="00E24C4B">
              <w:rPr>
                <w:rFonts w:cs="Arial"/>
                <w:lang w:val="en-GB"/>
              </w:rPr>
              <w:t>Cytarabine</w:t>
            </w:r>
            <w:bookmarkEnd w:id="11"/>
          </w:p>
        </w:tc>
        <w:tc>
          <w:tcPr>
            <w:tcW w:w="2084" w:type="dxa"/>
            <w:noWrap/>
            <w:hideMark/>
          </w:tcPr>
          <w:p w14:paraId="215E2F9D" w14:textId="77777777" w:rsidR="004F1002" w:rsidRPr="00E24C4B" w:rsidRDefault="004F1002" w:rsidP="001007F0">
            <w:pPr>
              <w:tabs>
                <w:tab w:val="left" w:pos="1861"/>
              </w:tabs>
              <w:spacing w:line="276" w:lineRule="auto"/>
              <w:rPr>
                <w:rFonts w:cs="Arial"/>
                <w:lang w:val="en-GB"/>
              </w:rPr>
            </w:pPr>
            <w:r w:rsidRPr="00E24C4B">
              <w:rPr>
                <w:rFonts w:cs="Arial"/>
                <w:lang w:val="en-GB"/>
              </w:rPr>
              <w:t>75mg/m²</w:t>
            </w:r>
          </w:p>
        </w:tc>
        <w:tc>
          <w:tcPr>
            <w:tcW w:w="2506" w:type="dxa"/>
            <w:noWrap/>
            <w:hideMark/>
          </w:tcPr>
          <w:p w14:paraId="35555082" w14:textId="77777777" w:rsidR="004F1002" w:rsidRPr="00E24C4B" w:rsidRDefault="004F1002" w:rsidP="001007F0">
            <w:pPr>
              <w:tabs>
                <w:tab w:val="left" w:pos="1861"/>
              </w:tabs>
              <w:spacing w:line="276" w:lineRule="auto"/>
              <w:rPr>
                <w:rFonts w:cs="Arial"/>
                <w:lang w:val="en-GB"/>
              </w:rPr>
            </w:pPr>
            <w:r w:rsidRPr="00E24C4B">
              <w:rPr>
                <w:rFonts w:cs="Arial"/>
                <w:lang w:val="en-GB"/>
              </w:rPr>
              <w:t>IV or SC</w:t>
            </w:r>
          </w:p>
        </w:tc>
        <w:tc>
          <w:tcPr>
            <w:tcW w:w="2703" w:type="dxa"/>
            <w:noWrap/>
            <w:hideMark/>
          </w:tcPr>
          <w:p w14:paraId="24FE6717" w14:textId="77777777" w:rsidR="004F1002" w:rsidRPr="00E24C4B" w:rsidRDefault="004F1002" w:rsidP="001007F0">
            <w:pPr>
              <w:tabs>
                <w:tab w:val="left" w:pos="1861"/>
              </w:tabs>
              <w:spacing w:line="276" w:lineRule="auto"/>
              <w:rPr>
                <w:rFonts w:cs="Arial"/>
                <w:lang w:val="en-GB"/>
              </w:rPr>
            </w:pPr>
            <w:r w:rsidRPr="00E24C4B">
              <w:rPr>
                <w:rFonts w:cs="Arial"/>
                <w:lang w:val="en-GB"/>
              </w:rPr>
              <w:t>Day 1 - 5</w:t>
            </w:r>
          </w:p>
        </w:tc>
      </w:tr>
      <w:tr w:rsidR="00811425" w:rsidRPr="00E24C4B" w14:paraId="1B03E8A9" w14:textId="77777777" w:rsidTr="001D38A2">
        <w:trPr>
          <w:trHeight w:val="345"/>
        </w:trPr>
        <w:tc>
          <w:tcPr>
            <w:tcW w:w="3056" w:type="dxa"/>
            <w:vMerge/>
            <w:hideMark/>
          </w:tcPr>
          <w:p w14:paraId="104B9F46" w14:textId="77777777" w:rsidR="004F1002" w:rsidRPr="00E24C4B" w:rsidRDefault="004F1002" w:rsidP="001007F0">
            <w:pPr>
              <w:tabs>
                <w:tab w:val="left" w:pos="1861"/>
              </w:tabs>
              <w:spacing w:line="276" w:lineRule="auto"/>
              <w:rPr>
                <w:rFonts w:cs="Arial"/>
                <w:lang w:val="en-GB"/>
              </w:rPr>
            </w:pPr>
          </w:p>
        </w:tc>
        <w:tc>
          <w:tcPr>
            <w:tcW w:w="1588" w:type="dxa"/>
            <w:vMerge/>
            <w:hideMark/>
          </w:tcPr>
          <w:p w14:paraId="4029F268" w14:textId="77777777" w:rsidR="004F1002" w:rsidRPr="00E24C4B" w:rsidRDefault="004F1002" w:rsidP="001007F0">
            <w:pPr>
              <w:tabs>
                <w:tab w:val="left" w:pos="1861"/>
              </w:tabs>
              <w:spacing w:line="276" w:lineRule="auto"/>
              <w:rPr>
                <w:rFonts w:cs="Arial"/>
                <w:lang w:val="en-GB"/>
              </w:rPr>
            </w:pPr>
          </w:p>
        </w:tc>
        <w:tc>
          <w:tcPr>
            <w:tcW w:w="2339" w:type="dxa"/>
            <w:noWrap/>
            <w:hideMark/>
          </w:tcPr>
          <w:p w14:paraId="24455F8B" w14:textId="77777777" w:rsidR="004F1002" w:rsidRPr="00E24C4B" w:rsidRDefault="004F1002" w:rsidP="001007F0">
            <w:pPr>
              <w:tabs>
                <w:tab w:val="left" w:pos="1861"/>
              </w:tabs>
              <w:spacing w:line="276" w:lineRule="auto"/>
              <w:rPr>
                <w:rFonts w:cs="Arial"/>
                <w:lang w:val="en-GB"/>
              </w:rPr>
            </w:pPr>
            <w:bookmarkStart w:id="12" w:name="RANGE!G79"/>
            <w:r w:rsidRPr="00E24C4B">
              <w:rPr>
                <w:rFonts w:cs="Arial"/>
                <w:lang w:val="en-GB"/>
              </w:rPr>
              <w:t>Etoposide</w:t>
            </w:r>
            <w:bookmarkEnd w:id="12"/>
          </w:p>
        </w:tc>
        <w:tc>
          <w:tcPr>
            <w:tcW w:w="2084" w:type="dxa"/>
            <w:noWrap/>
            <w:hideMark/>
          </w:tcPr>
          <w:p w14:paraId="146F1038" w14:textId="77777777" w:rsidR="004F1002" w:rsidRPr="00E24C4B" w:rsidRDefault="004F1002" w:rsidP="001007F0">
            <w:pPr>
              <w:tabs>
                <w:tab w:val="left" w:pos="1861"/>
              </w:tabs>
              <w:spacing w:line="276" w:lineRule="auto"/>
              <w:rPr>
                <w:rFonts w:cs="Arial"/>
                <w:lang w:val="en-GB"/>
              </w:rPr>
            </w:pPr>
            <w:r w:rsidRPr="00E24C4B">
              <w:rPr>
                <w:rFonts w:cs="Arial"/>
                <w:lang w:val="en-GB"/>
              </w:rPr>
              <w:t>100mg/m²</w:t>
            </w:r>
          </w:p>
        </w:tc>
        <w:tc>
          <w:tcPr>
            <w:tcW w:w="2506" w:type="dxa"/>
            <w:noWrap/>
            <w:hideMark/>
          </w:tcPr>
          <w:p w14:paraId="03CDFB14" w14:textId="77777777" w:rsidR="004F1002" w:rsidRPr="00E24C4B" w:rsidRDefault="004F1002" w:rsidP="001007F0">
            <w:pPr>
              <w:tabs>
                <w:tab w:val="left" w:pos="1861"/>
              </w:tabs>
              <w:spacing w:line="276" w:lineRule="auto"/>
              <w:rPr>
                <w:rFonts w:cs="Arial"/>
                <w:lang w:val="en-GB"/>
              </w:rPr>
            </w:pPr>
            <w:r w:rsidRPr="00E24C4B">
              <w:rPr>
                <w:rFonts w:cs="Arial"/>
                <w:lang w:val="en-GB"/>
              </w:rPr>
              <w:t>IV</w:t>
            </w:r>
          </w:p>
        </w:tc>
        <w:tc>
          <w:tcPr>
            <w:tcW w:w="2703" w:type="dxa"/>
            <w:noWrap/>
            <w:hideMark/>
          </w:tcPr>
          <w:p w14:paraId="1025F3BA" w14:textId="77777777" w:rsidR="004F1002" w:rsidRPr="00E24C4B" w:rsidRDefault="004F1002" w:rsidP="001007F0">
            <w:pPr>
              <w:tabs>
                <w:tab w:val="left" w:pos="1861"/>
              </w:tabs>
              <w:spacing w:line="276" w:lineRule="auto"/>
              <w:rPr>
                <w:rFonts w:cs="Arial"/>
                <w:lang w:val="en-GB"/>
              </w:rPr>
            </w:pPr>
            <w:r w:rsidRPr="00E24C4B">
              <w:rPr>
                <w:rFonts w:cs="Arial"/>
                <w:lang w:val="en-GB"/>
              </w:rPr>
              <w:t>Day 1 - 5</w:t>
            </w:r>
          </w:p>
        </w:tc>
      </w:tr>
      <w:tr w:rsidR="00811425" w:rsidRPr="00E24C4B" w14:paraId="42A171E8" w14:textId="77777777" w:rsidTr="001D38A2">
        <w:trPr>
          <w:trHeight w:val="360"/>
        </w:trPr>
        <w:tc>
          <w:tcPr>
            <w:tcW w:w="3056" w:type="dxa"/>
            <w:vMerge/>
            <w:hideMark/>
          </w:tcPr>
          <w:p w14:paraId="000156D1" w14:textId="77777777" w:rsidR="004F1002" w:rsidRPr="00E24C4B" w:rsidRDefault="004F1002" w:rsidP="001007F0">
            <w:pPr>
              <w:tabs>
                <w:tab w:val="left" w:pos="1861"/>
              </w:tabs>
              <w:spacing w:line="276" w:lineRule="auto"/>
              <w:rPr>
                <w:rFonts w:cs="Arial"/>
                <w:lang w:val="en-GB"/>
              </w:rPr>
            </w:pPr>
          </w:p>
        </w:tc>
        <w:tc>
          <w:tcPr>
            <w:tcW w:w="1588" w:type="dxa"/>
            <w:vMerge/>
            <w:hideMark/>
          </w:tcPr>
          <w:p w14:paraId="4E6C44F9" w14:textId="77777777" w:rsidR="004F1002" w:rsidRPr="00E24C4B" w:rsidRDefault="004F1002" w:rsidP="001007F0">
            <w:pPr>
              <w:tabs>
                <w:tab w:val="left" w:pos="1861"/>
              </w:tabs>
              <w:spacing w:line="276" w:lineRule="auto"/>
              <w:rPr>
                <w:rFonts w:cs="Arial"/>
                <w:lang w:val="en-GB"/>
              </w:rPr>
            </w:pPr>
          </w:p>
        </w:tc>
        <w:tc>
          <w:tcPr>
            <w:tcW w:w="2339" w:type="dxa"/>
            <w:noWrap/>
            <w:hideMark/>
          </w:tcPr>
          <w:p w14:paraId="2A9EF561" w14:textId="77777777" w:rsidR="004F1002" w:rsidRPr="00E24C4B" w:rsidRDefault="004F1002" w:rsidP="001007F0">
            <w:pPr>
              <w:tabs>
                <w:tab w:val="left" w:pos="1861"/>
              </w:tabs>
              <w:spacing w:line="276" w:lineRule="auto"/>
              <w:rPr>
                <w:rFonts w:cs="Arial"/>
                <w:lang w:val="en-GB"/>
              </w:rPr>
            </w:pPr>
            <w:bookmarkStart w:id="13" w:name="RANGE!G80"/>
            <w:r w:rsidRPr="00E24C4B">
              <w:rPr>
                <w:rFonts w:cs="Arial"/>
                <w:lang w:val="en-GB"/>
              </w:rPr>
              <w:t xml:space="preserve">Methotrexate </w:t>
            </w:r>
            <w:bookmarkEnd w:id="13"/>
          </w:p>
        </w:tc>
        <w:tc>
          <w:tcPr>
            <w:tcW w:w="2084" w:type="dxa"/>
            <w:noWrap/>
            <w:hideMark/>
          </w:tcPr>
          <w:p w14:paraId="2F384150" w14:textId="77777777" w:rsidR="004F1002" w:rsidRPr="00E24C4B" w:rsidRDefault="004F1002" w:rsidP="001007F0">
            <w:pPr>
              <w:tabs>
                <w:tab w:val="left" w:pos="1861"/>
              </w:tabs>
              <w:spacing w:line="276" w:lineRule="auto"/>
              <w:rPr>
                <w:rFonts w:cs="Arial"/>
                <w:lang w:val="en-GB"/>
              </w:rPr>
            </w:pPr>
            <w:r w:rsidRPr="00E24C4B">
              <w:rPr>
                <w:rFonts w:cs="Arial"/>
                <w:lang w:val="en-GB"/>
              </w:rPr>
              <w:t>12.5mg</w:t>
            </w:r>
          </w:p>
        </w:tc>
        <w:tc>
          <w:tcPr>
            <w:tcW w:w="2506" w:type="dxa"/>
            <w:noWrap/>
            <w:hideMark/>
          </w:tcPr>
          <w:p w14:paraId="1C2E60F2" w14:textId="77777777" w:rsidR="004F1002" w:rsidRPr="00E24C4B" w:rsidRDefault="004F1002" w:rsidP="001007F0">
            <w:pPr>
              <w:tabs>
                <w:tab w:val="left" w:pos="1861"/>
              </w:tabs>
              <w:spacing w:line="276" w:lineRule="auto"/>
              <w:rPr>
                <w:rFonts w:cs="Arial"/>
                <w:lang w:val="en-GB"/>
              </w:rPr>
            </w:pPr>
            <w:r w:rsidRPr="00E24C4B">
              <w:rPr>
                <w:rFonts w:cs="Arial"/>
                <w:lang w:val="en-GB"/>
              </w:rPr>
              <w:t>IT</w:t>
            </w:r>
          </w:p>
        </w:tc>
        <w:tc>
          <w:tcPr>
            <w:tcW w:w="2703" w:type="dxa"/>
            <w:noWrap/>
            <w:hideMark/>
          </w:tcPr>
          <w:p w14:paraId="3A49F74F" w14:textId="77777777" w:rsidR="004F1002" w:rsidRPr="00E24C4B" w:rsidRDefault="004F1002" w:rsidP="001007F0">
            <w:pPr>
              <w:tabs>
                <w:tab w:val="left" w:pos="1861"/>
              </w:tabs>
              <w:spacing w:line="276" w:lineRule="auto"/>
              <w:rPr>
                <w:rFonts w:cs="Arial"/>
                <w:lang w:val="en-GB"/>
              </w:rPr>
            </w:pPr>
            <w:r w:rsidRPr="00E24C4B">
              <w:rPr>
                <w:rFonts w:cs="Arial"/>
                <w:lang w:val="en-GB"/>
              </w:rPr>
              <w:t>Day 1</w:t>
            </w:r>
          </w:p>
        </w:tc>
      </w:tr>
      <w:tr w:rsidR="00811425" w:rsidRPr="00E24C4B" w14:paraId="6C920030" w14:textId="77777777" w:rsidTr="001D38A2">
        <w:trPr>
          <w:trHeight w:val="345"/>
        </w:trPr>
        <w:tc>
          <w:tcPr>
            <w:tcW w:w="3056" w:type="dxa"/>
            <w:vMerge w:val="restart"/>
            <w:noWrap/>
            <w:hideMark/>
          </w:tcPr>
          <w:p w14:paraId="469BB3D0" w14:textId="77777777" w:rsidR="004F1002" w:rsidRPr="00E24C4B" w:rsidRDefault="004F1002" w:rsidP="001007F0">
            <w:pPr>
              <w:tabs>
                <w:tab w:val="left" w:pos="1861"/>
              </w:tabs>
              <w:spacing w:line="276" w:lineRule="auto"/>
              <w:rPr>
                <w:rFonts w:cs="Arial"/>
                <w:lang w:val="en-GB"/>
              </w:rPr>
            </w:pPr>
            <w:r w:rsidRPr="00E24C4B">
              <w:rPr>
                <w:rFonts w:cs="Arial"/>
                <w:lang w:val="en-GB"/>
              </w:rPr>
              <w:t>Consolidation Cycle 3</w:t>
            </w:r>
          </w:p>
        </w:tc>
        <w:tc>
          <w:tcPr>
            <w:tcW w:w="1588" w:type="dxa"/>
            <w:vMerge w:val="restart"/>
            <w:noWrap/>
            <w:hideMark/>
          </w:tcPr>
          <w:p w14:paraId="5E4E06EE" w14:textId="77777777" w:rsidR="004F1002" w:rsidRPr="00E24C4B" w:rsidRDefault="004F1002" w:rsidP="001007F0">
            <w:pPr>
              <w:tabs>
                <w:tab w:val="left" w:pos="1861"/>
              </w:tabs>
              <w:spacing w:line="276" w:lineRule="auto"/>
              <w:rPr>
                <w:rFonts w:cs="Arial"/>
                <w:lang w:val="en-GB"/>
              </w:rPr>
            </w:pPr>
            <w:r w:rsidRPr="00E24C4B">
              <w:rPr>
                <w:rFonts w:cs="Arial"/>
                <w:lang w:val="en-GB"/>
              </w:rPr>
              <w:t>42 days</w:t>
            </w:r>
          </w:p>
        </w:tc>
        <w:tc>
          <w:tcPr>
            <w:tcW w:w="2339" w:type="dxa"/>
            <w:noWrap/>
            <w:hideMark/>
          </w:tcPr>
          <w:p w14:paraId="726CC687" w14:textId="77777777" w:rsidR="004F1002" w:rsidRPr="00E24C4B" w:rsidRDefault="004F1002" w:rsidP="001007F0">
            <w:pPr>
              <w:tabs>
                <w:tab w:val="left" w:pos="1861"/>
              </w:tabs>
              <w:spacing w:line="276" w:lineRule="auto"/>
              <w:rPr>
                <w:rFonts w:cs="Arial"/>
                <w:lang w:val="en-GB"/>
              </w:rPr>
            </w:pPr>
            <w:r w:rsidRPr="00E24C4B">
              <w:rPr>
                <w:rFonts w:cs="Arial"/>
                <w:lang w:val="en-GB"/>
              </w:rPr>
              <w:t>Daunorubicin hydrochloride</w:t>
            </w:r>
          </w:p>
        </w:tc>
        <w:tc>
          <w:tcPr>
            <w:tcW w:w="2084" w:type="dxa"/>
            <w:noWrap/>
            <w:hideMark/>
          </w:tcPr>
          <w:p w14:paraId="520922BA" w14:textId="77777777" w:rsidR="004F1002" w:rsidRPr="00E24C4B" w:rsidRDefault="004F1002" w:rsidP="001007F0">
            <w:pPr>
              <w:tabs>
                <w:tab w:val="left" w:pos="1861"/>
              </w:tabs>
              <w:spacing w:line="276" w:lineRule="auto"/>
              <w:rPr>
                <w:rFonts w:cs="Arial"/>
                <w:lang w:val="en-GB"/>
              </w:rPr>
            </w:pPr>
            <w:r w:rsidRPr="00E24C4B">
              <w:rPr>
                <w:rFonts w:cs="Arial"/>
                <w:lang w:val="en-GB"/>
              </w:rPr>
              <w:t>25mg/m²</w:t>
            </w:r>
          </w:p>
        </w:tc>
        <w:tc>
          <w:tcPr>
            <w:tcW w:w="2506" w:type="dxa"/>
            <w:noWrap/>
            <w:hideMark/>
          </w:tcPr>
          <w:p w14:paraId="438612CF" w14:textId="77777777" w:rsidR="004F1002" w:rsidRPr="00E24C4B" w:rsidRDefault="004F1002" w:rsidP="001007F0">
            <w:pPr>
              <w:tabs>
                <w:tab w:val="left" w:pos="1861"/>
              </w:tabs>
              <w:spacing w:line="276" w:lineRule="auto"/>
              <w:rPr>
                <w:rFonts w:cs="Arial"/>
                <w:lang w:val="en-GB"/>
              </w:rPr>
            </w:pPr>
            <w:r w:rsidRPr="00E24C4B">
              <w:rPr>
                <w:rFonts w:cs="Arial"/>
                <w:lang w:val="en-GB"/>
              </w:rPr>
              <w:t>IV</w:t>
            </w:r>
          </w:p>
        </w:tc>
        <w:tc>
          <w:tcPr>
            <w:tcW w:w="2703" w:type="dxa"/>
            <w:noWrap/>
            <w:hideMark/>
          </w:tcPr>
          <w:p w14:paraId="098C75DB" w14:textId="77777777" w:rsidR="004F1002" w:rsidRPr="00E24C4B" w:rsidRDefault="004F1002" w:rsidP="001007F0">
            <w:pPr>
              <w:tabs>
                <w:tab w:val="left" w:pos="1861"/>
              </w:tabs>
              <w:spacing w:line="276" w:lineRule="auto"/>
              <w:rPr>
                <w:rFonts w:cs="Arial"/>
                <w:lang w:val="en-GB"/>
              </w:rPr>
            </w:pPr>
            <w:r w:rsidRPr="00E24C4B">
              <w:rPr>
                <w:rFonts w:cs="Arial"/>
                <w:lang w:val="en-GB"/>
              </w:rPr>
              <w:t>Days 1, 8, 15, 22</w:t>
            </w:r>
          </w:p>
        </w:tc>
      </w:tr>
      <w:tr w:rsidR="00811425" w:rsidRPr="00E24C4B" w14:paraId="5D5FCD96" w14:textId="77777777" w:rsidTr="001D38A2">
        <w:trPr>
          <w:trHeight w:val="345"/>
        </w:trPr>
        <w:tc>
          <w:tcPr>
            <w:tcW w:w="3056" w:type="dxa"/>
            <w:vMerge/>
            <w:hideMark/>
          </w:tcPr>
          <w:p w14:paraId="381E2308" w14:textId="77777777" w:rsidR="004F1002" w:rsidRPr="00E24C4B" w:rsidRDefault="004F1002" w:rsidP="001007F0">
            <w:pPr>
              <w:tabs>
                <w:tab w:val="left" w:pos="1861"/>
              </w:tabs>
              <w:spacing w:line="276" w:lineRule="auto"/>
              <w:rPr>
                <w:rFonts w:cs="Arial"/>
                <w:lang w:val="en-GB"/>
              </w:rPr>
            </w:pPr>
          </w:p>
        </w:tc>
        <w:tc>
          <w:tcPr>
            <w:tcW w:w="1588" w:type="dxa"/>
            <w:vMerge/>
            <w:hideMark/>
          </w:tcPr>
          <w:p w14:paraId="7732AB77" w14:textId="77777777" w:rsidR="004F1002" w:rsidRPr="00E24C4B" w:rsidRDefault="004F1002" w:rsidP="001007F0">
            <w:pPr>
              <w:tabs>
                <w:tab w:val="left" w:pos="1861"/>
              </w:tabs>
              <w:spacing w:line="276" w:lineRule="auto"/>
              <w:rPr>
                <w:rFonts w:cs="Arial"/>
                <w:lang w:val="en-GB"/>
              </w:rPr>
            </w:pPr>
          </w:p>
        </w:tc>
        <w:tc>
          <w:tcPr>
            <w:tcW w:w="2339" w:type="dxa"/>
            <w:noWrap/>
            <w:hideMark/>
          </w:tcPr>
          <w:p w14:paraId="6DE8F1F5" w14:textId="77777777" w:rsidR="004F1002" w:rsidRPr="00E24C4B" w:rsidRDefault="004F1002" w:rsidP="001007F0">
            <w:pPr>
              <w:tabs>
                <w:tab w:val="left" w:pos="1861"/>
              </w:tabs>
              <w:spacing w:line="276" w:lineRule="auto"/>
              <w:rPr>
                <w:rFonts w:cs="Arial"/>
                <w:lang w:val="en-GB"/>
              </w:rPr>
            </w:pPr>
            <w:r w:rsidRPr="00E24C4B">
              <w:rPr>
                <w:rFonts w:cs="Arial"/>
                <w:lang w:val="en-GB"/>
              </w:rPr>
              <w:t>Vincristine sulfate</w:t>
            </w:r>
          </w:p>
        </w:tc>
        <w:tc>
          <w:tcPr>
            <w:tcW w:w="2084" w:type="dxa"/>
            <w:noWrap/>
            <w:hideMark/>
          </w:tcPr>
          <w:p w14:paraId="1C973C6B" w14:textId="77777777" w:rsidR="004F1002" w:rsidRPr="00E24C4B" w:rsidRDefault="004F1002" w:rsidP="001007F0">
            <w:pPr>
              <w:tabs>
                <w:tab w:val="left" w:pos="1861"/>
              </w:tabs>
              <w:spacing w:line="276" w:lineRule="auto"/>
              <w:rPr>
                <w:rFonts w:cs="Arial"/>
                <w:lang w:val="en-GB"/>
              </w:rPr>
            </w:pPr>
            <w:r w:rsidRPr="00E24C4B">
              <w:rPr>
                <w:rFonts w:cs="Arial"/>
                <w:lang w:val="en-GB"/>
              </w:rPr>
              <w:t>1.4mg/m²</w:t>
            </w:r>
          </w:p>
        </w:tc>
        <w:tc>
          <w:tcPr>
            <w:tcW w:w="2506" w:type="dxa"/>
            <w:noWrap/>
            <w:hideMark/>
          </w:tcPr>
          <w:p w14:paraId="70F58473" w14:textId="77777777" w:rsidR="004F1002" w:rsidRPr="00E24C4B" w:rsidRDefault="004F1002" w:rsidP="001007F0">
            <w:pPr>
              <w:tabs>
                <w:tab w:val="left" w:pos="1861"/>
              </w:tabs>
              <w:spacing w:line="276" w:lineRule="auto"/>
              <w:rPr>
                <w:rFonts w:cs="Arial"/>
                <w:lang w:val="en-GB"/>
              </w:rPr>
            </w:pPr>
            <w:r w:rsidRPr="00E24C4B">
              <w:rPr>
                <w:rFonts w:cs="Arial"/>
                <w:lang w:val="en-GB"/>
              </w:rPr>
              <w:t>IV</w:t>
            </w:r>
          </w:p>
        </w:tc>
        <w:tc>
          <w:tcPr>
            <w:tcW w:w="2703" w:type="dxa"/>
            <w:noWrap/>
            <w:hideMark/>
          </w:tcPr>
          <w:p w14:paraId="15E716BB" w14:textId="77777777" w:rsidR="004F1002" w:rsidRPr="00E24C4B" w:rsidRDefault="004F1002" w:rsidP="001007F0">
            <w:pPr>
              <w:tabs>
                <w:tab w:val="left" w:pos="1861"/>
              </w:tabs>
              <w:spacing w:line="276" w:lineRule="auto"/>
              <w:rPr>
                <w:rFonts w:cs="Arial"/>
                <w:lang w:val="en-GB"/>
              </w:rPr>
            </w:pPr>
            <w:r w:rsidRPr="00E24C4B">
              <w:rPr>
                <w:rFonts w:cs="Arial"/>
                <w:lang w:val="en-GB"/>
              </w:rPr>
              <w:t>Days 1, 8, 15, 22</w:t>
            </w:r>
          </w:p>
        </w:tc>
      </w:tr>
      <w:tr w:rsidR="00811425" w:rsidRPr="00E24C4B" w14:paraId="5C03A842" w14:textId="77777777" w:rsidTr="001D38A2">
        <w:trPr>
          <w:trHeight w:val="345"/>
        </w:trPr>
        <w:tc>
          <w:tcPr>
            <w:tcW w:w="3056" w:type="dxa"/>
            <w:vMerge/>
            <w:hideMark/>
          </w:tcPr>
          <w:p w14:paraId="3F5EE289" w14:textId="77777777" w:rsidR="004F1002" w:rsidRPr="00E24C4B" w:rsidRDefault="004F1002" w:rsidP="001007F0">
            <w:pPr>
              <w:tabs>
                <w:tab w:val="left" w:pos="1861"/>
              </w:tabs>
              <w:spacing w:line="276" w:lineRule="auto"/>
              <w:rPr>
                <w:rFonts w:cs="Arial"/>
                <w:lang w:val="en-GB"/>
              </w:rPr>
            </w:pPr>
          </w:p>
        </w:tc>
        <w:tc>
          <w:tcPr>
            <w:tcW w:w="1588" w:type="dxa"/>
            <w:vMerge/>
            <w:hideMark/>
          </w:tcPr>
          <w:p w14:paraId="362582F4" w14:textId="77777777" w:rsidR="004F1002" w:rsidRPr="00E24C4B" w:rsidRDefault="004F1002" w:rsidP="001007F0">
            <w:pPr>
              <w:tabs>
                <w:tab w:val="left" w:pos="1861"/>
              </w:tabs>
              <w:spacing w:line="276" w:lineRule="auto"/>
              <w:rPr>
                <w:rFonts w:cs="Arial"/>
                <w:lang w:val="en-GB"/>
              </w:rPr>
            </w:pPr>
          </w:p>
        </w:tc>
        <w:tc>
          <w:tcPr>
            <w:tcW w:w="2339" w:type="dxa"/>
            <w:noWrap/>
            <w:hideMark/>
          </w:tcPr>
          <w:p w14:paraId="581D94AB" w14:textId="77777777" w:rsidR="004F1002" w:rsidRPr="00E24C4B" w:rsidRDefault="004F1002" w:rsidP="001007F0">
            <w:pPr>
              <w:tabs>
                <w:tab w:val="left" w:pos="1861"/>
              </w:tabs>
              <w:spacing w:line="276" w:lineRule="auto"/>
              <w:rPr>
                <w:rFonts w:cs="Arial"/>
                <w:lang w:val="en-GB"/>
              </w:rPr>
            </w:pPr>
            <w:r w:rsidRPr="00E24C4B">
              <w:rPr>
                <w:rFonts w:cs="Arial"/>
                <w:lang w:val="en-GB"/>
              </w:rPr>
              <w:t>Cyclophosphamide</w:t>
            </w:r>
          </w:p>
        </w:tc>
        <w:tc>
          <w:tcPr>
            <w:tcW w:w="2084" w:type="dxa"/>
            <w:noWrap/>
            <w:hideMark/>
          </w:tcPr>
          <w:p w14:paraId="01DD4FA6" w14:textId="77777777" w:rsidR="004F1002" w:rsidRPr="00E24C4B" w:rsidRDefault="004F1002" w:rsidP="001007F0">
            <w:pPr>
              <w:tabs>
                <w:tab w:val="left" w:pos="1861"/>
              </w:tabs>
              <w:spacing w:line="276" w:lineRule="auto"/>
              <w:rPr>
                <w:rFonts w:cs="Arial"/>
                <w:lang w:val="en-GB"/>
              </w:rPr>
            </w:pPr>
            <w:r w:rsidRPr="00E24C4B">
              <w:rPr>
                <w:rFonts w:cs="Arial"/>
                <w:lang w:val="en-GB"/>
              </w:rPr>
              <w:t>650mg/m²</w:t>
            </w:r>
          </w:p>
        </w:tc>
        <w:tc>
          <w:tcPr>
            <w:tcW w:w="2506" w:type="dxa"/>
            <w:noWrap/>
            <w:hideMark/>
          </w:tcPr>
          <w:p w14:paraId="22453985" w14:textId="77777777" w:rsidR="004F1002" w:rsidRPr="00E24C4B" w:rsidRDefault="004F1002" w:rsidP="001007F0">
            <w:pPr>
              <w:tabs>
                <w:tab w:val="left" w:pos="1861"/>
              </w:tabs>
              <w:spacing w:line="276" w:lineRule="auto"/>
              <w:rPr>
                <w:rFonts w:cs="Arial"/>
                <w:lang w:val="en-GB"/>
              </w:rPr>
            </w:pPr>
            <w:r w:rsidRPr="00E24C4B">
              <w:rPr>
                <w:rFonts w:cs="Arial"/>
                <w:lang w:val="en-GB"/>
              </w:rPr>
              <w:t>IV</w:t>
            </w:r>
          </w:p>
        </w:tc>
        <w:tc>
          <w:tcPr>
            <w:tcW w:w="2703" w:type="dxa"/>
            <w:noWrap/>
            <w:hideMark/>
          </w:tcPr>
          <w:p w14:paraId="54BC6F38" w14:textId="77777777" w:rsidR="004F1002" w:rsidRPr="00E24C4B" w:rsidRDefault="004F1002" w:rsidP="001007F0">
            <w:pPr>
              <w:tabs>
                <w:tab w:val="left" w:pos="1861"/>
              </w:tabs>
              <w:spacing w:line="276" w:lineRule="auto"/>
              <w:rPr>
                <w:rFonts w:cs="Arial"/>
                <w:lang w:val="en-GB"/>
              </w:rPr>
            </w:pPr>
            <w:r w:rsidRPr="00E24C4B">
              <w:rPr>
                <w:rFonts w:cs="Arial"/>
                <w:lang w:val="en-GB"/>
              </w:rPr>
              <w:t>Day 29</w:t>
            </w:r>
          </w:p>
        </w:tc>
      </w:tr>
      <w:tr w:rsidR="00811425" w:rsidRPr="00E24C4B" w14:paraId="6D64A393" w14:textId="77777777" w:rsidTr="001D38A2">
        <w:trPr>
          <w:trHeight w:val="345"/>
        </w:trPr>
        <w:tc>
          <w:tcPr>
            <w:tcW w:w="3056" w:type="dxa"/>
            <w:vMerge/>
            <w:hideMark/>
          </w:tcPr>
          <w:p w14:paraId="135AE1EB" w14:textId="77777777" w:rsidR="004F1002" w:rsidRPr="00E24C4B" w:rsidRDefault="004F1002" w:rsidP="001007F0">
            <w:pPr>
              <w:tabs>
                <w:tab w:val="left" w:pos="1861"/>
              </w:tabs>
              <w:spacing w:line="276" w:lineRule="auto"/>
              <w:rPr>
                <w:rFonts w:cs="Arial"/>
                <w:lang w:val="en-GB"/>
              </w:rPr>
            </w:pPr>
          </w:p>
        </w:tc>
        <w:tc>
          <w:tcPr>
            <w:tcW w:w="1588" w:type="dxa"/>
            <w:vMerge/>
            <w:hideMark/>
          </w:tcPr>
          <w:p w14:paraId="2099A41A" w14:textId="77777777" w:rsidR="004F1002" w:rsidRPr="00E24C4B" w:rsidRDefault="004F1002" w:rsidP="001007F0">
            <w:pPr>
              <w:tabs>
                <w:tab w:val="left" w:pos="1861"/>
              </w:tabs>
              <w:spacing w:line="276" w:lineRule="auto"/>
              <w:rPr>
                <w:rFonts w:cs="Arial"/>
                <w:lang w:val="en-GB"/>
              </w:rPr>
            </w:pPr>
          </w:p>
        </w:tc>
        <w:tc>
          <w:tcPr>
            <w:tcW w:w="2339" w:type="dxa"/>
            <w:noWrap/>
            <w:hideMark/>
          </w:tcPr>
          <w:p w14:paraId="413947F8" w14:textId="77777777" w:rsidR="004F1002" w:rsidRPr="00E24C4B" w:rsidRDefault="004F1002" w:rsidP="001007F0">
            <w:pPr>
              <w:tabs>
                <w:tab w:val="left" w:pos="1861"/>
              </w:tabs>
              <w:spacing w:line="276" w:lineRule="auto"/>
              <w:rPr>
                <w:rFonts w:cs="Arial"/>
                <w:lang w:val="en-GB"/>
              </w:rPr>
            </w:pPr>
            <w:r w:rsidRPr="00E24C4B">
              <w:rPr>
                <w:rFonts w:cs="Arial"/>
                <w:lang w:val="en-GB"/>
              </w:rPr>
              <w:t>Cytarabine</w:t>
            </w:r>
          </w:p>
        </w:tc>
        <w:tc>
          <w:tcPr>
            <w:tcW w:w="2084" w:type="dxa"/>
            <w:noWrap/>
            <w:hideMark/>
          </w:tcPr>
          <w:p w14:paraId="4D8ADCB8" w14:textId="77777777" w:rsidR="004F1002" w:rsidRPr="00E24C4B" w:rsidRDefault="004F1002" w:rsidP="001007F0">
            <w:pPr>
              <w:tabs>
                <w:tab w:val="left" w:pos="1861"/>
              </w:tabs>
              <w:spacing w:line="276" w:lineRule="auto"/>
              <w:rPr>
                <w:rFonts w:cs="Arial"/>
                <w:lang w:val="en-GB"/>
              </w:rPr>
            </w:pPr>
            <w:r w:rsidRPr="00E24C4B">
              <w:rPr>
                <w:rFonts w:cs="Arial"/>
                <w:lang w:val="en-GB"/>
              </w:rPr>
              <w:t>75mg/m²</w:t>
            </w:r>
          </w:p>
        </w:tc>
        <w:tc>
          <w:tcPr>
            <w:tcW w:w="2506" w:type="dxa"/>
            <w:noWrap/>
            <w:hideMark/>
          </w:tcPr>
          <w:p w14:paraId="634260B3" w14:textId="77777777" w:rsidR="004F1002" w:rsidRPr="00E24C4B" w:rsidRDefault="004F1002" w:rsidP="001007F0">
            <w:pPr>
              <w:tabs>
                <w:tab w:val="left" w:pos="1861"/>
              </w:tabs>
              <w:spacing w:line="276" w:lineRule="auto"/>
              <w:rPr>
                <w:rFonts w:cs="Arial"/>
                <w:lang w:val="en-GB"/>
              </w:rPr>
            </w:pPr>
            <w:r w:rsidRPr="00E24C4B">
              <w:rPr>
                <w:rFonts w:cs="Arial"/>
                <w:lang w:val="en-GB"/>
              </w:rPr>
              <w:t>IV or SC</w:t>
            </w:r>
          </w:p>
        </w:tc>
        <w:tc>
          <w:tcPr>
            <w:tcW w:w="2703" w:type="dxa"/>
            <w:noWrap/>
            <w:hideMark/>
          </w:tcPr>
          <w:p w14:paraId="0484956A" w14:textId="77777777" w:rsidR="004F1002" w:rsidRPr="00E24C4B" w:rsidRDefault="004F1002" w:rsidP="001007F0">
            <w:pPr>
              <w:tabs>
                <w:tab w:val="left" w:pos="1861"/>
              </w:tabs>
              <w:spacing w:line="276" w:lineRule="auto"/>
              <w:rPr>
                <w:rFonts w:cs="Arial"/>
                <w:lang w:val="en-GB"/>
              </w:rPr>
            </w:pPr>
            <w:r w:rsidRPr="00E24C4B">
              <w:rPr>
                <w:rFonts w:cs="Arial"/>
                <w:lang w:val="en-GB"/>
              </w:rPr>
              <w:t>Days 30 - 33, 37 - 40</w:t>
            </w:r>
          </w:p>
        </w:tc>
      </w:tr>
      <w:tr w:rsidR="00811425" w:rsidRPr="00E24C4B" w14:paraId="0E144E33" w14:textId="77777777" w:rsidTr="001D38A2">
        <w:trPr>
          <w:trHeight w:val="345"/>
        </w:trPr>
        <w:tc>
          <w:tcPr>
            <w:tcW w:w="3056" w:type="dxa"/>
            <w:vMerge/>
            <w:hideMark/>
          </w:tcPr>
          <w:p w14:paraId="48E434B7" w14:textId="77777777" w:rsidR="004F1002" w:rsidRPr="00E24C4B" w:rsidRDefault="004F1002" w:rsidP="001007F0">
            <w:pPr>
              <w:tabs>
                <w:tab w:val="left" w:pos="1861"/>
              </w:tabs>
              <w:spacing w:line="276" w:lineRule="auto"/>
              <w:rPr>
                <w:rFonts w:cs="Arial"/>
                <w:lang w:val="en-GB"/>
              </w:rPr>
            </w:pPr>
          </w:p>
        </w:tc>
        <w:tc>
          <w:tcPr>
            <w:tcW w:w="1588" w:type="dxa"/>
            <w:vMerge/>
            <w:hideMark/>
          </w:tcPr>
          <w:p w14:paraId="75C72320" w14:textId="77777777" w:rsidR="004F1002" w:rsidRPr="00E24C4B" w:rsidRDefault="004F1002" w:rsidP="001007F0">
            <w:pPr>
              <w:tabs>
                <w:tab w:val="left" w:pos="1861"/>
              </w:tabs>
              <w:spacing w:line="276" w:lineRule="auto"/>
              <w:rPr>
                <w:rFonts w:cs="Arial"/>
                <w:lang w:val="en-GB"/>
              </w:rPr>
            </w:pPr>
          </w:p>
        </w:tc>
        <w:tc>
          <w:tcPr>
            <w:tcW w:w="2339" w:type="dxa"/>
            <w:noWrap/>
            <w:hideMark/>
          </w:tcPr>
          <w:p w14:paraId="739B69E0" w14:textId="77777777" w:rsidR="004F1002" w:rsidRPr="00E24C4B" w:rsidRDefault="004F1002" w:rsidP="001007F0">
            <w:pPr>
              <w:tabs>
                <w:tab w:val="left" w:pos="1861"/>
              </w:tabs>
              <w:spacing w:line="276" w:lineRule="auto"/>
              <w:rPr>
                <w:rFonts w:cs="Arial"/>
                <w:lang w:val="en-GB"/>
              </w:rPr>
            </w:pPr>
            <w:r w:rsidRPr="00E24C4B">
              <w:rPr>
                <w:rFonts w:cs="Arial"/>
                <w:lang w:val="en-GB"/>
              </w:rPr>
              <w:t>Mercaptopurine</w:t>
            </w:r>
          </w:p>
        </w:tc>
        <w:tc>
          <w:tcPr>
            <w:tcW w:w="2084" w:type="dxa"/>
            <w:noWrap/>
            <w:hideMark/>
          </w:tcPr>
          <w:p w14:paraId="2C399BE8" w14:textId="77777777" w:rsidR="004F1002" w:rsidRPr="00E24C4B" w:rsidRDefault="004F1002" w:rsidP="001007F0">
            <w:pPr>
              <w:tabs>
                <w:tab w:val="left" w:pos="1861"/>
              </w:tabs>
              <w:spacing w:line="276" w:lineRule="auto"/>
              <w:rPr>
                <w:rFonts w:cs="Arial"/>
                <w:lang w:val="en-GB"/>
              </w:rPr>
            </w:pPr>
            <w:r w:rsidRPr="00E24C4B">
              <w:rPr>
                <w:rFonts w:cs="Arial"/>
                <w:lang w:val="en-GB"/>
              </w:rPr>
              <w:t>60mg/m²</w:t>
            </w:r>
          </w:p>
        </w:tc>
        <w:tc>
          <w:tcPr>
            <w:tcW w:w="2506" w:type="dxa"/>
            <w:noWrap/>
            <w:hideMark/>
          </w:tcPr>
          <w:p w14:paraId="391ECB8E" w14:textId="77777777" w:rsidR="004F1002" w:rsidRPr="00E24C4B" w:rsidRDefault="004F1002" w:rsidP="001007F0">
            <w:pPr>
              <w:tabs>
                <w:tab w:val="left" w:pos="1861"/>
              </w:tabs>
              <w:spacing w:line="276" w:lineRule="auto"/>
              <w:rPr>
                <w:rFonts w:cs="Arial"/>
                <w:lang w:val="en-GB"/>
              </w:rPr>
            </w:pPr>
            <w:r w:rsidRPr="00E24C4B">
              <w:rPr>
                <w:rFonts w:cs="Arial"/>
                <w:lang w:val="en-GB"/>
              </w:rPr>
              <w:t>PO</w:t>
            </w:r>
          </w:p>
        </w:tc>
        <w:tc>
          <w:tcPr>
            <w:tcW w:w="2703" w:type="dxa"/>
            <w:noWrap/>
            <w:hideMark/>
          </w:tcPr>
          <w:p w14:paraId="6D73C9DE" w14:textId="77777777" w:rsidR="004F1002" w:rsidRPr="00E24C4B" w:rsidRDefault="004F1002" w:rsidP="001007F0">
            <w:pPr>
              <w:tabs>
                <w:tab w:val="left" w:pos="1861"/>
              </w:tabs>
              <w:spacing w:line="276" w:lineRule="auto"/>
              <w:rPr>
                <w:rFonts w:cs="Arial"/>
                <w:lang w:val="en-GB"/>
              </w:rPr>
            </w:pPr>
            <w:r w:rsidRPr="00E24C4B">
              <w:rPr>
                <w:rFonts w:cs="Arial"/>
                <w:lang w:val="en-GB"/>
              </w:rPr>
              <w:t>Days 29 - 42</w:t>
            </w:r>
          </w:p>
        </w:tc>
      </w:tr>
      <w:tr w:rsidR="00811425" w:rsidRPr="00E24C4B" w14:paraId="18066FFC" w14:textId="77777777" w:rsidTr="001D38A2">
        <w:trPr>
          <w:trHeight w:val="300"/>
        </w:trPr>
        <w:tc>
          <w:tcPr>
            <w:tcW w:w="3056" w:type="dxa"/>
            <w:vMerge/>
            <w:hideMark/>
          </w:tcPr>
          <w:p w14:paraId="3C08BA71" w14:textId="77777777" w:rsidR="004F1002" w:rsidRPr="00E24C4B" w:rsidRDefault="004F1002" w:rsidP="001007F0">
            <w:pPr>
              <w:tabs>
                <w:tab w:val="left" w:pos="1861"/>
              </w:tabs>
              <w:spacing w:line="276" w:lineRule="auto"/>
              <w:rPr>
                <w:rFonts w:cs="Arial"/>
                <w:lang w:val="en-GB"/>
              </w:rPr>
            </w:pPr>
          </w:p>
        </w:tc>
        <w:tc>
          <w:tcPr>
            <w:tcW w:w="1588" w:type="dxa"/>
            <w:vMerge/>
            <w:hideMark/>
          </w:tcPr>
          <w:p w14:paraId="35E55891" w14:textId="77777777" w:rsidR="004F1002" w:rsidRPr="00E24C4B" w:rsidRDefault="004F1002" w:rsidP="001007F0">
            <w:pPr>
              <w:tabs>
                <w:tab w:val="left" w:pos="1861"/>
              </w:tabs>
              <w:spacing w:line="276" w:lineRule="auto"/>
              <w:rPr>
                <w:rFonts w:cs="Arial"/>
                <w:lang w:val="en-GB"/>
              </w:rPr>
            </w:pPr>
          </w:p>
        </w:tc>
        <w:tc>
          <w:tcPr>
            <w:tcW w:w="2339" w:type="dxa"/>
            <w:noWrap/>
            <w:hideMark/>
          </w:tcPr>
          <w:p w14:paraId="3A839282" w14:textId="77777777" w:rsidR="004F1002" w:rsidRPr="00E24C4B" w:rsidRDefault="004F1002" w:rsidP="001007F0">
            <w:pPr>
              <w:tabs>
                <w:tab w:val="left" w:pos="1861"/>
              </w:tabs>
              <w:spacing w:line="276" w:lineRule="auto"/>
              <w:rPr>
                <w:rFonts w:cs="Arial"/>
                <w:lang w:val="en-GB"/>
              </w:rPr>
            </w:pPr>
            <w:r w:rsidRPr="00E24C4B">
              <w:rPr>
                <w:rFonts w:cs="Arial"/>
                <w:lang w:val="en-GB"/>
              </w:rPr>
              <w:t xml:space="preserve">Methotrexate </w:t>
            </w:r>
          </w:p>
        </w:tc>
        <w:tc>
          <w:tcPr>
            <w:tcW w:w="2084" w:type="dxa"/>
            <w:noWrap/>
            <w:hideMark/>
          </w:tcPr>
          <w:p w14:paraId="64986B47" w14:textId="77777777" w:rsidR="004F1002" w:rsidRPr="00E24C4B" w:rsidRDefault="004F1002" w:rsidP="001007F0">
            <w:pPr>
              <w:tabs>
                <w:tab w:val="left" w:pos="1861"/>
              </w:tabs>
              <w:spacing w:line="276" w:lineRule="auto"/>
              <w:rPr>
                <w:rFonts w:cs="Arial"/>
                <w:lang w:val="en-GB"/>
              </w:rPr>
            </w:pPr>
            <w:r w:rsidRPr="00E24C4B">
              <w:rPr>
                <w:rFonts w:cs="Arial"/>
                <w:lang w:val="en-GB"/>
              </w:rPr>
              <w:t>12.5mg</w:t>
            </w:r>
          </w:p>
        </w:tc>
        <w:tc>
          <w:tcPr>
            <w:tcW w:w="2506" w:type="dxa"/>
            <w:noWrap/>
            <w:hideMark/>
          </w:tcPr>
          <w:p w14:paraId="46586BC4" w14:textId="77777777" w:rsidR="004F1002" w:rsidRPr="00E24C4B" w:rsidRDefault="004F1002" w:rsidP="001007F0">
            <w:pPr>
              <w:tabs>
                <w:tab w:val="left" w:pos="1861"/>
              </w:tabs>
              <w:spacing w:line="276" w:lineRule="auto"/>
              <w:rPr>
                <w:rFonts w:cs="Arial"/>
                <w:lang w:val="en-GB"/>
              </w:rPr>
            </w:pPr>
            <w:r w:rsidRPr="00E24C4B">
              <w:rPr>
                <w:rFonts w:cs="Arial"/>
                <w:lang w:val="en-GB"/>
              </w:rPr>
              <w:t>IT</w:t>
            </w:r>
          </w:p>
        </w:tc>
        <w:tc>
          <w:tcPr>
            <w:tcW w:w="2703" w:type="dxa"/>
            <w:noWrap/>
            <w:hideMark/>
          </w:tcPr>
          <w:p w14:paraId="492B2A66" w14:textId="77777777" w:rsidR="004F1002" w:rsidRPr="00E24C4B" w:rsidRDefault="004F1002" w:rsidP="001007F0">
            <w:pPr>
              <w:tabs>
                <w:tab w:val="left" w:pos="1861"/>
              </w:tabs>
              <w:spacing w:line="276" w:lineRule="auto"/>
              <w:rPr>
                <w:rFonts w:cs="Arial"/>
                <w:lang w:val="en-GB"/>
              </w:rPr>
            </w:pPr>
            <w:r w:rsidRPr="00E24C4B">
              <w:rPr>
                <w:rFonts w:cs="Arial"/>
                <w:lang w:val="en-GB"/>
              </w:rPr>
              <w:t>Day 2</w:t>
            </w:r>
          </w:p>
        </w:tc>
      </w:tr>
      <w:tr w:rsidR="00811425" w:rsidRPr="00E24C4B" w14:paraId="502917CF" w14:textId="77777777" w:rsidTr="001D38A2">
        <w:trPr>
          <w:trHeight w:val="312"/>
        </w:trPr>
        <w:tc>
          <w:tcPr>
            <w:tcW w:w="3056" w:type="dxa"/>
            <w:vMerge/>
            <w:hideMark/>
          </w:tcPr>
          <w:p w14:paraId="4A02E3B9" w14:textId="77777777" w:rsidR="004F1002" w:rsidRPr="00E24C4B" w:rsidRDefault="004F1002" w:rsidP="001007F0">
            <w:pPr>
              <w:tabs>
                <w:tab w:val="left" w:pos="1861"/>
              </w:tabs>
              <w:spacing w:line="276" w:lineRule="auto"/>
              <w:rPr>
                <w:rFonts w:cs="Arial"/>
                <w:lang w:val="en-GB"/>
              </w:rPr>
            </w:pPr>
          </w:p>
        </w:tc>
        <w:tc>
          <w:tcPr>
            <w:tcW w:w="1588" w:type="dxa"/>
            <w:vMerge/>
            <w:hideMark/>
          </w:tcPr>
          <w:p w14:paraId="6BE70D7E" w14:textId="77777777" w:rsidR="004F1002" w:rsidRPr="00E24C4B" w:rsidRDefault="004F1002" w:rsidP="001007F0">
            <w:pPr>
              <w:tabs>
                <w:tab w:val="left" w:pos="1861"/>
              </w:tabs>
              <w:spacing w:line="276" w:lineRule="auto"/>
              <w:rPr>
                <w:rFonts w:cs="Arial"/>
                <w:lang w:val="en-GB"/>
              </w:rPr>
            </w:pPr>
          </w:p>
        </w:tc>
        <w:tc>
          <w:tcPr>
            <w:tcW w:w="2339" w:type="dxa"/>
            <w:noWrap/>
            <w:hideMark/>
          </w:tcPr>
          <w:p w14:paraId="19FD7A16" w14:textId="77777777" w:rsidR="004F1002" w:rsidRPr="00E24C4B" w:rsidRDefault="004F1002" w:rsidP="001007F0">
            <w:pPr>
              <w:tabs>
                <w:tab w:val="left" w:pos="1861"/>
              </w:tabs>
              <w:spacing w:line="276" w:lineRule="auto"/>
              <w:rPr>
                <w:rFonts w:cs="Arial"/>
                <w:lang w:val="en-GB"/>
              </w:rPr>
            </w:pPr>
            <w:r w:rsidRPr="00E24C4B">
              <w:rPr>
                <w:rFonts w:cs="Arial"/>
                <w:lang w:val="en-GB"/>
              </w:rPr>
              <w:t>Dexamethasone</w:t>
            </w:r>
          </w:p>
        </w:tc>
        <w:tc>
          <w:tcPr>
            <w:tcW w:w="2084" w:type="dxa"/>
            <w:noWrap/>
            <w:hideMark/>
          </w:tcPr>
          <w:p w14:paraId="2C415345" w14:textId="77777777" w:rsidR="004F1002" w:rsidRPr="00E24C4B" w:rsidRDefault="004F1002" w:rsidP="001007F0">
            <w:pPr>
              <w:tabs>
                <w:tab w:val="left" w:pos="1861"/>
              </w:tabs>
              <w:spacing w:line="276" w:lineRule="auto"/>
              <w:rPr>
                <w:rFonts w:cs="Arial"/>
                <w:lang w:val="en-GB"/>
              </w:rPr>
            </w:pPr>
            <w:r w:rsidRPr="00E24C4B">
              <w:rPr>
                <w:rFonts w:cs="Arial"/>
                <w:lang w:val="en-GB"/>
              </w:rPr>
              <w:t>10mg/m²</w:t>
            </w:r>
          </w:p>
        </w:tc>
        <w:tc>
          <w:tcPr>
            <w:tcW w:w="2506" w:type="dxa"/>
            <w:noWrap/>
            <w:hideMark/>
          </w:tcPr>
          <w:p w14:paraId="61243729" w14:textId="77777777" w:rsidR="004F1002" w:rsidRPr="00E24C4B" w:rsidRDefault="004F1002" w:rsidP="001007F0">
            <w:pPr>
              <w:tabs>
                <w:tab w:val="left" w:pos="1861"/>
              </w:tabs>
              <w:spacing w:line="276" w:lineRule="auto"/>
              <w:rPr>
                <w:rFonts w:cs="Arial"/>
                <w:lang w:val="en-GB"/>
              </w:rPr>
            </w:pPr>
            <w:r w:rsidRPr="00E24C4B">
              <w:rPr>
                <w:rFonts w:cs="Arial"/>
                <w:lang w:val="en-GB"/>
              </w:rPr>
              <w:t>PO</w:t>
            </w:r>
          </w:p>
        </w:tc>
        <w:tc>
          <w:tcPr>
            <w:tcW w:w="2703" w:type="dxa"/>
            <w:noWrap/>
            <w:hideMark/>
          </w:tcPr>
          <w:p w14:paraId="45650978" w14:textId="77777777" w:rsidR="004F1002" w:rsidRPr="00E24C4B" w:rsidRDefault="004F1002" w:rsidP="001007F0">
            <w:pPr>
              <w:tabs>
                <w:tab w:val="left" w:pos="1861"/>
              </w:tabs>
              <w:spacing w:line="276" w:lineRule="auto"/>
              <w:rPr>
                <w:rFonts w:cs="Arial"/>
                <w:lang w:val="en-GB"/>
              </w:rPr>
            </w:pPr>
            <w:r w:rsidRPr="00E24C4B">
              <w:rPr>
                <w:rFonts w:cs="Arial"/>
                <w:lang w:val="en-GB"/>
              </w:rPr>
              <w:t>Days 1 - 7, 15 - 21</w:t>
            </w:r>
          </w:p>
        </w:tc>
      </w:tr>
      <w:tr w:rsidR="00811425" w:rsidRPr="00E24C4B" w14:paraId="5B1F4568" w14:textId="77777777" w:rsidTr="001D38A2">
        <w:trPr>
          <w:trHeight w:val="330"/>
        </w:trPr>
        <w:tc>
          <w:tcPr>
            <w:tcW w:w="3056" w:type="dxa"/>
            <w:noWrap/>
            <w:hideMark/>
          </w:tcPr>
          <w:p w14:paraId="53834A86" w14:textId="77777777" w:rsidR="004F1002" w:rsidRPr="00E24C4B" w:rsidRDefault="004F1002" w:rsidP="001007F0">
            <w:pPr>
              <w:tabs>
                <w:tab w:val="left" w:pos="1861"/>
              </w:tabs>
              <w:spacing w:line="276" w:lineRule="auto"/>
              <w:rPr>
                <w:rFonts w:cs="Arial"/>
                <w:lang w:val="en-GB"/>
              </w:rPr>
            </w:pPr>
            <w:r w:rsidRPr="00E24C4B">
              <w:rPr>
                <w:rFonts w:cs="Arial"/>
                <w:lang w:val="en-GB"/>
              </w:rPr>
              <w:t>Consolidation Cycle 4 - Blinatumomab</w:t>
            </w:r>
          </w:p>
        </w:tc>
        <w:tc>
          <w:tcPr>
            <w:tcW w:w="1588" w:type="dxa"/>
            <w:noWrap/>
            <w:hideMark/>
          </w:tcPr>
          <w:p w14:paraId="6ECEC6DA" w14:textId="77777777" w:rsidR="004F1002" w:rsidRPr="00E24C4B" w:rsidRDefault="004F1002" w:rsidP="001007F0">
            <w:pPr>
              <w:tabs>
                <w:tab w:val="left" w:pos="1861"/>
              </w:tabs>
              <w:spacing w:line="276" w:lineRule="auto"/>
              <w:rPr>
                <w:rFonts w:cs="Arial"/>
                <w:lang w:val="en-GB"/>
              </w:rPr>
            </w:pPr>
            <w:r w:rsidRPr="00E24C4B">
              <w:rPr>
                <w:rFonts w:cs="Arial"/>
                <w:lang w:val="en-GB"/>
              </w:rPr>
              <w:t>42 days</w:t>
            </w:r>
          </w:p>
        </w:tc>
        <w:tc>
          <w:tcPr>
            <w:tcW w:w="2339" w:type="dxa"/>
            <w:noWrap/>
            <w:hideMark/>
          </w:tcPr>
          <w:p w14:paraId="0DAF80AD" w14:textId="77777777" w:rsidR="004F1002" w:rsidRPr="00E24C4B" w:rsidRDefault="004F1002" w:rsidP="001007F0">
            <w:pPr>
              <w:tabs>
                <w:tab w:val="left" w:pos="1861"/>
              </w:tabs>
              <w:spacing w:line="276" w:lineRule="auto"/>
              <w:rPr>
                <w:rFonts w:cs="Arial"/>
                <w:lang w:val="en-GB"/>
              </w:rPr>
            </w:pPr>
            <w:r w:rsidRPr="00E24C4B">
              <w:rPr>
                <w:rFonts w:cs="Arial"/>
                <w:lang w:val="en-GB"/>
              </w:rPr>
              <w:t>Blinatumomab</w:t>
            </w:r>
          </w:p>
        </w:tc>
        <w:tc>
          <w:tcPr>
            <w:tcW w:w="2084" w:type="dxa"/>
            <w:noWrap/>
            <w:hideMark/>
          </w:tcPr>
          <w:p w14:paraId="20E81A7B" w14:textId="77777777" w:rsidR="004F1002" w:rsidRPr="00E24C4B" w:rsidRDefault="004F1002" w:rsidP="001007F0">
            <w:pPr>
              <w:tabs>
                <w:tab w:val="left" w:pos="1861"/>
              </w:tabs>
              <w:spacing w:line="276" w:lineRule="auto"/>
              <w:rPr>
                <w:rFonts w:cs="Arial"/>
                <w:lang w:val="en-GB"/>
              </w:rPr>
            </w:pPr>
            <w:r w:rsidRPr="00E24C4B">
              <w:rPr>
                <w:rFonts w:cs="Arial"/>
                <w:lang w:val="en-GB"/>
              </w:rPr>
              <w:t>28 μg</w:t>
            </w:r>
          </w:p>
        </w:tc>
        <w:tc>
          <w:tcPr>
            <w:tcW w:w="2506" w:type="dxa"/>
            <w:noWrap/>
            <w:hideMark/>
          </w:tcPr>
          <w:p w14:paraId="034CABEA" w14:textId="77777777" w:rsidR="004F1002" w:rsidRPr="00E24C4B" w:rsidRDefault="004F1002" w:rsidP="001007F0">
            <w:pPr>
              <w:tabs>
                <w:tab w:val="left" w:pos="1861"/>
              </w:tabs>
              <w:spacing w:line="276" w:lineRule="auto"/>
              <w:rPr>
                <w:rFonts w:cs="Arial"/>
                <w:lang w:val="en-GB"/>
              </w:rPr>
            </w:pPr>
            <w:r w:rsidRPr="00E24C4B">
              <w:rPr>
                <w:rFonts w:cs="Arial"/>
                <w:lang w:val="en-GB"/>
              </w:rPr>
              <w:t>cIV</w:t>
            </w:r>
          </w:p>
        </w:tc>
        <w:tc>
          <w:tcPr>
            <w:tcW w:w="2703" w:type="dxa"/>
            <w:noWrap/>
            <w:hideMark/>
          </w:tcPr>
          <w:p w14:paraId="2F6BF192" w14:textId="77777777" w:rsidR="004F1002" w:rsidRPr="00E24C4B" w:rsidRDefault="004F1002" w:rsidP="001007F0">
            <w:pPr>
              <w:tabs>
                <w:tab w:val="left" w:pos="1861"/>
              </w:tabs>
              <w:spacing w:line="276" w:lineRule="auto"/>
              <w:rPr>
                <w:rFonts w:cs="Arial"/>
                <w:lang w:val="en-GB"/>
              </w:rPr>
            </w:pPr>
            <w:r w:rsidRPr="00E24C4B">
              <w:rPr>
                <w:rFonts w:cs="Arial"/>
                <w:lang w:val="en-GB"/>
              </w:rPr>
              <w:t>Days 1 - 28</w:t>
            </w:r>
          </w:p>
        </w:tc>
      </w:tr>
      <w:tr w:rsidR="00811425" w:rsidRPr="00E24C4B" w14:paraId="610CA6D1" w14:textId="77777777" w:rsidTr="001D38A2">
        <w:trPr>
          <w:trHeight w:val="345"/>
        </w:trPr>
        <w:tc>
          <w:tcPr>
            <w:tcW w:w="3056" w:type="dxa"/>
            <w:vMerge w:val="restart"/>
            <w:noWrap/>
            <w:hideMark/>
          </w:tcPr>
          <w:p w14:paraId="59B68FAE" w14:textId="77777777" w:rsidR="004F1002" w:rsidRPr="00E24C4B" w:rsidRDefault="004F1002" w:rsidP="001007F0">
            <w:pPr>
              <w:tabs>
                <w:tab w:val="left" w:pos="1861"/>
              </w:tabs>
              <w:spacing w:line="276" w:lineRule="auto"/>
              <w:rPr>
                <w:rFonts w:cs="Arial"/>
                <w:lang w:val="en-GB"/>
              </w:rPr>
            </w:pPr>
            <w:r w:rsidRPr="00E24C4B">
              <w:rPr>
                <w:rFonts w:cs="Arial"/>
                <w:lang w:val="en-GB"/>
              </w:rPr>
              <w:t>Consolidation Cycle 5</w:t>
            </w:r>
          </w:p>
        </w:tc>
        <w:tc>
          <w:tcPr>
            <w:tcW w:w="1588" w:type="dxa"/>
            <w:vMerge w:val="restart"/>
            <w:noWrap/>
            <w:hideMark/>
          </w:tcPr>
          <w:p w14:paraId="4BB2EB70" w14:textId="77777777" w:rsidR="004F1002" w:rsidRPr="00E24C4B" w:rsidRDefault="004F1002" w:rsidP="001007F0">
            <w:pPr>
              <w:tabs>
                <w:tab w:val="left" w:pos="1861"/>
              </w:tabs>
              <w:spacing w:line="276" w:lineRule="auto"/>
              <w:rPr>
                <w:rFonts w:cs="Arial"/>
                <w:lang w:val="en-GB"/>
              </w:rPr>
            </w:pPr>
            <w:r w:rsidRPr="00E24C4B">
              <w:rPr>
                <w:rFonts w:cs="Arial"/>
                <w:lang w:val="en-GB"/>
              </w:rPr>
              <w:t>28 days</w:t>
            </w:r>
          </w:p>
        </w:tc>
        <w:tc>
          <w:tcPr>
            <w:tcW w:w="2339" w:type="dxa"/>
            <w:noWrap/>
            <w:hideMark/>
          </w:tcPr>
          <w:p w14:paraId="29FF10BD" w14:textId="77777777" w:rsidR="004F1002" w:rsidRPr="00E24C4B" w:rsidRDefault="004F1002" w:rsidP="001007F0">
            <w:pPr>
              <w:tabs>
                <w:tab w:val="left" w:pos="1861"/>
              </w:tabs>
              <w:spacing w:line="276" w:lineRule="auto"/>
              <w:rPr>
                <w:rFonts w:cs="Arial"/>
                <w:lang w:val="en-GB"/>
              </w:rPr>
            </w:pPr>
            <w:r w:rsidRPr="00E24C4B">
              <w:rPr>
                <w:rFonts w:cs="Arial"/>
                <w:lang w:val="en-GB"/>
              </w:rPr>
              <w:t>Cytarabine</w:t>
            </w:r>
          </w:p>
        </w:tc>
        <w:tc>
          <w:tcPr>
            <w:tcW w:w="2084" w:type="dxa"/>
            <w:noWrap/>
            <w:hideMark/>
          </w:tcPr>
          <w:p w14:paraId="3931EF76" w14:textId="77777777" w:rsidR="004F1002" w:rsidRPr="00E24C4B" w:rsidRDefault="004F1002" w:rsidP="001007F0">
            <w:pPr>
              <w:tabs>
                <w:tab w:val="left" w:pos="1861"/>
              </w:tabs>
              <w:spacing w:line="276" w:lineRule="auto"/>
              <w:rPr>
                <w:rFonts w:cs="Arial"/>
                <w:lang w:val="en-GB"/>
              </w:rPr>
            </w:pPr>
            <w:r w:rsidRPr="00E24C4B">
              <w:rPr>
                <w:rFonts w:cs="Arial"/>
                <w:lang w:val="en-GB"/>
              </w:rPr>
              <w:t>75mg/m²</w:t>
            </w:r>
          </w:p>
        </w:tc>
        <w:tc>
          <w:tcPr>
            <w:tcW w:w="2506" w:type="dxa"/>
            <w:noWrap/>
            <w:hideMark/>
          </w:tcPr>
          <w:p w14:paraId="4BBC62AD" w14:textId="77777777" w:rsidR="004F1002" w:rsidRPr="00E24C4B" w:rsidRDefault="004F1002" w:rsidP="001007F0">
            <w:pPr>
              <w:tabs>
                <w:tab w:val="left" w:pos="1861"/>
              </w:tabs>
              <w:spacing w:line="276" w:lineRule="auto"/>
              <w:rPr>
                <w:rFonts w:cs="Arial"/>
                <w:lang w:val="en-GB"/>
              </w:rPr>
            </w:pPr>
            <w:r w:rsidRPr="00E24C4B">
              <w:rPr>
                <w:rFonts w:cs="Arial"/>
                <w:lang w:val="en-GB"/>
              </w:rPr>
              <w:t>IV or SC</w:t>
            </w:r>
          </w:p>
        </w:tc>
        <w:tc>
          <w:tcPr>
            <w:tcW w:w="2703" w:type="dxa"/>
            <w:noWrap/>
            <w:hideMark/>
          </w:tcPr>
          <w:p w14:paraId="15225467" w14:textId="77777777" w:rsidR="004F1002" w:rsidRPr="00E24C4B" w:rsidRDefault="004F1002" w:rsidP="001007F0">
            <w:pPr>
              <w:tabs>
                <w:tab w:val="left" w:pos="1861"/>
              </w:tabs>
              <w:spacing w:line="276" w:lineRule="auto"/>
              <w:rPr>
                <w:rFonts w:cs="Arial"/>
                <w:lang w:val="en-GB"/>
              </w:rPr>
            </w:pPr>
            <w:r w:rsidRPr="00E24C4B">
              <w:rPr>
                <w:rFonts w:cs="Arial"/>
                <w:lang w:val="en-GB"/>
              </w:rPr>
              <w:t>Day 1 - 5</w:t>
            </w:r>
          </w:p>
        </w:tc>
      </w:tr>
      <w:tr w:rsidR="00811425" w:rsidRPr="00E24C4B" w14:paraId="0F372C79" w14:textId="77777777" w:rsidTr="001D38A2">
        <w:trPr>
          <w:trHeight w:val="345"/>
        </w:trPr>
        <w:tc>
          <w:tcPr>
            <w:tcW w:w="3056" w:type="dxa"/>
            <w:vMerge/>
            <w:hideMark/>
          </w:tcPr>
          <w:p w14:paraId="3D6890FE" w14:textId="77777777" w:rsidR="004F1002" w:rsidRPr="00E24C4B" w:rsidRDefault="004F1002" w:rsidP="001007F0">
            <w:pPr>
              <w:tabs>
                <w:tab w:val="left" w:pos="1861"/>
              </w:tabs>
              <w:spacing w:line="276" w:lineRule="auto"/>
              <w:rPr>
                <w:rFonts w:cs="Arial"/>
                <w:lang w:val="en-GB"/>
              </w:rPr>
            </w:pPr>
          </w:p>
        </w:tc>
        <w:tc>
          <w:tcPr>
            <w:tcW w:w="1588" w:type="dxa"/>
            <w:vMerge/>
            <w:hideMark/>
          </w:tcPr>
          <w:p w14:paraId="6F8F3DC8" w14:textId="77777777" w:rsidR="004F1002" w:rsidRPr="00E24C4B" w:rsidRDefault="004F1002" w:rsidP="001007F0">
            <w:pPr>
              <w:tabs>
                <w:tab w:val="left" w:pos="1861"/>
              </w:tabs>
              <w:spacing w:line="276" w:lineRule="auto"/>
              <w:rPr>
                <w:rFonts w:cs="Arial"/>
                <w:lang w:val="en-GB"/>
              </w:rPr>
            </w:pPr>
          </w:p>
        </w:tc>
        <w:tc>
          <w:tcPr>
            <w:tcW w:w="2339" w:type="dxa"/>
            <w:noWrap/>
            <w:hideMark/>
          </w:tcPr>
          <w:p w14:paraId="654215DE" w14:textId="77777777" w:rsidR="004F1002" w:rsidRPr="00E24C4B" w:rsidRDefault="004F1002" w:rsidP="001007F0">
            <w:pPr>
              <w:tabs>
                <w:tab w:val="left" w:pos="1861"/>
              </w:tabs>
              <w:spacing w:line="276" w:lineRule="auto"/>
              <w:rPr>
                <w:rFonts w:cs="Arial"/>
                <w:lang w:val="en-GB"/>
              </w:rPr>
            </w:pPr>
            <w:r w:rsidRPr="00E24C4B">
              <w:rPr>
                <w:rFonts w:cs="Arial"/>
                <w:lang w:val="en-GB"/>
              </w:rPr>
              <w:t>Etoposide</w:t>
            </w:r>
          </w:p>
        </w:tc>
        <w:tc>
          <w:tcPr>
            <w:tcW w:w="2084" w:type="dxa"/>
            <w:noWrap/>
            <w:hideMark/>
          </w:tcPr>
          <w:p w14:paraId="334DDB5D" w14:textId="77777777" w:rsidR="004F1002" w:rsidRPr="00E24C4B" w:rsidRDefault="004F1002" w:rsidP="001007F0">
            <w:pPr>
              <w:tabs>
                <w:tab w:val="left" w:pos="1861"/>
              </w:tabs>
              <w:spacing w:line="276" w:lineRule="auto"/>
              <w:rPr>
                <w:rFonts w:cs="Arial"/>
                <w:lang w:val="en-GB"/>
              </w:rPr>
            </w:pPr>
            <w:r w:rsidRPr="00E24C4B">
              <w:rPr>
                <w:rFonts w:cs="Arial"/>
                <w:lang w:val="en-GB"/>
              </w:rPr>
              <w:t>100mg/m²</w:t>
            </w:r>
          </w:p>
        </w:tc>
        <w:tc>
          <w:tcPr>
            <w:tcW w:w="2506" w:type="dxa"/>
            <w:noWrap/>
            <w:hideMark/>
          </w:tcPr>
          <w:p w14:paraId="4CE53FF9" w14:textId="77777777" w:rsidR="004F1002" w:rsidRPr="00E24C4B" w:rsidRDefault="004F1002" w:rsidP="001007F0">
            <w:pPr>
              <w:tabs>
                <w:tab w:val="left" w:pos="1861"/>
              </w:tabs>
              <w:spacing w:line="276" w:lineRule="auto"/>
              <w:rPr>
                <w:rFonts w:cs="Arial"/>
                <w:lang w:val="en-GB"/>
              </w:rPr>
            </w:pPr>
            <w:r w:rsidRPr="00E24C4B">
              <w:rPr>
                <w:rFonts w:cs="Arial"/>
                <w:lang w:val="en-GB"/>
              </w:rPr>
              <w:t>IV</w:t>
            </w:r>
          </w:p>
        </w:tc>
        <w:tc>
          <w:tcPr>
            <w:tcW w:w="2703" w:type="dxa"/>
            <w:noWrap/>
            <w:hideMark/>
          </w:tcPr>
          <w:p w14:paraId="11D40E59" w14:textId="77777777" w:rsidR="004F1002" w:rsidRPr="00E24C4B" w:rsidRDefault="004F1002" w:rsidP="001007F0">
            <w:pPr>
              <w:tabs>
                <w:tab w:val="left" w:pos="1861"/>
              </w:tabs>
              <w:spacing w:line="276" w:lineRule="auto"/>
              <w:rPr>
                <w:rFonts w:cs="Arial"/>
                <w:lang w:val="en-GB"/>
              </w:rPr>
            </w:pPr>
            <w:r w:rsidRPr="00E24C4B">
              <w:rPr>
                <w:rFonts w:cs="Arial"/>
                <w:lang w:val="en-GB"/>
              </w:rPr>
              <w:t>Day 1 - 5</w:t>
            </w:r>
          </w:p>
        </w:tc>
      </w:tr>
      <w:tr w:rsidR="00811425" w:rsidRPr="00E24C4B" w14:paraId="381FD264" w14:textId="77777777" w:rsidTr="001D38A2">
        <w:trPr>
          <w:trHeight w:val="360"/>
        </w:trPr>
        <w:tc>
          <w:tcPr>
            <w:tcW w:w="3056" w:type="dxa"/>
            <w:vMerge/>
            <w:hideMark/>
          </w:tcPr>
          <w:p w14:paraId="52B1E404" w14:textId="77777777" w:rsidR="004F1002" w:rsidRPr="00E24C4B" w:rsidRDefault="004F1002" w:rsidP="001007F0">
            <w:pPr>
              <w:tabs>
                <w:tab w:val="left" w:pos="1861"/>
              </w:tabs>
              <w:spacing w:line="276" w:lineRule="auto"/>
              <w:rPr>
                <w:rFonts w:cs="Arial"/>
                <w:lang w:val="en-GB"/>
              </w:rPr>
            </w:pPr>
          </w:p>
        </w:tc>
        <w:tc>
          <w:tcPr>
            <w:tcW w:w="1588" w:type="dxa"/>
            <w:vMerge/>
            <w:hideMark/>
          </w:tcPr>
          <w:p w14:paraId="0D8540ED" w14:textId="77777777" w:rsidR="004F1002" w:rsidRPr="00E24C4B" w:rsidRDefault="004F1002" w:rsidP="001007F0">
            <w:pPr>
              <w:tabs>
                <w:tab w:val="left" w:pos="1861"/>
              </w:tabs>
              <w:spacing w:line="276" w:lineRule="auto"/>
              <w:rPr>
                <w:rFonts w:cs="Arial"/>
                <w:lang w:val="en-GB"/>
              </w:rPr>
            </w:pPr>
          </w:p>
        </w:tc>
        <w:tc>
          <w:tcPr>
            <w:tcW w:w="2339" w:type="dxa"/>
            <w:noWrap/>
            <w:hideMark/>
          </w:tcPr>
          <w:p w14:paraId="4C1884E9" w14:textId="77777777" w:rsidR="004F1002" w:rsidRPr="00E24C4B" w:rsidRDefault="004F1002" w:rsidP="001007F0">
            <w:pPr>
              <w:tabs>
                <w:tab w:val="left" w:pos="1861"/>
              </w:tabs>
              <w:spacing w:line="276" w:lineRule="auto"/>
              <w:rPr>
                <w:rFonts w:cs="Arial"/>
                <w:lang w:val="en-GB"/>
              </w:rPr>
            </w:pPr>
            <w:r w:rsidRPr="00E24C4B">
              <w:rPr>
                <w:rFonts w:cs="Arial"/>
                <w:lang w:val="en-GB"/>
              </w:rPr>
              <w:t xml:space="preserve">Methotrexate </w:t>
            </w:r>
          </w:p>
        </w:tc>
        <w:tc>
          <w:tcPr>
            <w:tcW w:w="2084" w:type="dxa"/>
            <w:noWrap/>
            <w:hideMark/>
          </w:tcPr>
          <w:p w14:paraId="63AFBD0D" w14:textId="77777777" w:rsidR="004F1002" w:rsidRPr="00E24C4B" w:rsidRDefault="004F1002" w:rsidP="001007F0">
            <w:pPr>
              <w:tabs>
                <w:tab w:val="left" w:pos="1861"/>
              </w:tabs>
              <w:spacing w:line="276" w:lineRule="auto"/>
              <w:rPr>
                <w:rFonts w:cs="Arial"/>
                <w:lang w:val="en-GB"/>
              </w:rPr>
            </w:pPr>
            <w:r w:rsidRPr="00E24C4B">
              <w:rPr>
                <w:rFonts w:cs="Arial"/>
                <w:lang w:val="en-GB"/>
              </w:rPr>
              <w:t>12.5mg</w:t>
            </w:r>
          </w:p>
        </w:tc>
        <w:tc>
          <w:tcPr>
            <w:tcW w:w="2506" w:type="dxa"/>
            <w:noWrap/>
            <w:hideMark/>
          </w:tcPr>
          <w:p w14:paraId="67F496D4" w14:textId="77777777" w:rsidR="004F1002" w:rsidRPr="00E24C4B" w:rsidRDefault="004F1002" w:rsidP="001007F0">
            <w:pPr>
              <w:tabs>
                <w:tab w:val="left" w:pos="1861"/>
              </w:tabs>
              <w:spacing w:line="276" w:lineRule="auto"/>
              <w:rPr>
                <w:rFonts w:cs="Arial"/>
                <w:lang w:val="en-GB"/>
              </w:rPr>
            </w:pPr>
            <w:r w:rsidRPr="00E24C4B">
              <w:rPr>
                <w:rFonts w:cs="Arial"/>
                <w:lang w:val="en-GB"/>
              </w:rPr>
              <w:t>IT</w:t>
            </w:r>
          </w:p>
        </w:tc>
        <w:tc>
          <w:tcPr>
            <w:tcW w:w="2703" w:type="dxa"/>
            <w:noWrap/>
            <w:hideMark/>
          </w:tcPr>
          <w:p w14:paraId="2D4B2D91" w14:textId="77777777" w:rsidR="004F1002" w:rsidRPr="00E24C4B" w:rsidRDefault="004F1002" w:rsidP="001007F0">
            <w:pPr>
              <w:tabs>
                <w:tab w:val="left" w:pos="1861"/>
              </w:tabs>
              <w:spacing w:line="276" w:lineRule="auto"/>
              <w:rPr>
                <w:rFonts w:cs="Arial"/>
                <w:lang w:val="en-GB"/>
              </w:rPr>
            </w:pPr>
            <w:r w:rsidRPr="00E24C4B">
              <w:rPr>
                <w:rFonts w:cs="Arial"/>
                <w:lang w:val="en-GB"/>
              </w:rPr>
              <w:t>Day 1</w:t>
            </w:r>
          </w:p>
        </w:tc>
      </w:tr>
      <w:tr w:rsidR="00811425" w:rsidRPr="00E24C4B" w14:paraId="10AFDF13" w14:textId="77777777" w:rsidTr="001D38A2">
        <w:trPr>
          <w:trHeight w:val="330"/>
        </w:trPr>
        <w:tc>
          <w:tcPr>
            <w:tcW w:w="3056" w:type="dxa"/>
            <w:noWrap/>
            <w:hideMark/>
          </w:tcPr>
          <w:p w14:paraId="7E6B68D3" w14:textId="3F24BA9E" w:rsidR="004F1002" w:rsidRDefault="004F1002" w:rsidP="001007F0">
            <w:pPr>
              <w:tabs>
                <w:tab w:val="left" w:pos="1861"/>
              </w:tabs>
              <w:spacing w:line="276" w:lineRule="auto"/>
              <w:rPr>
                <w:rFonts w:cs="Arial"/>
                <w:lang w:val="en-GB"/>
              </w:rPr>
            </w:pPr>
            <w:r w:rsidRPr="00E24C4B">
              <w:rPr>
                <w:rFonts w:cs="Arial"/>
                <w:lang w:val="en-GB"/>
              </w:rPr>
              <w:t xml:space="preserve">Consolidation Cycle 6 </w:t>
            </w:r>
            <w:r w:rsidR="00E24C4B">
              <w:rPr>
                <w:rFonts w:cs="Arial"/>
                <w:lang w:val="en-GB"/>
              </w:rPr>
              <w:t>–</w:t>
            </w:r>
            <w:r w:rsidRPr="00E24C4B">
              <w:rPr>
                <w:rFonts w:cs="Arial"/>
                <w:lang w:val="en-GB"/>
              </w:rPr>
              <w:t xml:space="preserve"> Blinatumomab</w:t>
            </w:r>
          </w:p>
          <w:p w14:paraId="23B44DAD" w14:textId="77777777" w:rsidR="00E24C4B" w:rsidRDefault="00E24C4B" w:rsidP="001007F0">
            <w:pPr>
              <w:tabs>
                <w:tab w:val="left" w:pos="1861"/>
              </w:tabs>
              <w:spacing w:line="276" w:lineRule="auto"/>
              <w:rPr>
                <w:rFonts w:cs="Arial"/>
                <w:lang w:val="en-GB"/>
              </w:rPr>
            </w:pPr>
          </w:p>
          <w:p w14:paraId="5A03110A" w14:textId="77777777" w:rsidR="00E24C4B" w:rsidRDefault="00E24C4B" w:rsidP="001007F0">
            <w:pPr>
              <w:tabs>
                <w:tab w:val="left" w:pos="1861"/>
              </w:tabs>
              <w:spacing w:line="276" w:lineRule="auto"/>
              <w:rPr>
                <w:rFonts w:cs="Arial"/>
                <w:lang w:val="en-GB"/>
              </w:rPr>
            </w:pPr>
          </w:p>
          <w:p w14:paraId="37D72171" w14:textId="77777777" w:rsidR="00E24C4B" w:rsidRPr="00E24C4B" w:rsidRDefault="00E24C4B" w:rsidP="001007F0">
            <w:pPr>
              <w:tabs>
                <w:tab w:val="left" w:pos="1861"/>
              </w:tabs>
              <w:spacing w:line="276" w:lineRule="auto"/>
              <w:rPr>
                <w:rFonts w:cs="Arial"/>
                <w:lang w:val="en-GB"/>
              </w:rPr>
            </w:pPr>
          </w:p>
        </w:tc>
        <w:tc>
          <w:tcPr>
            <w:tcW w:w="1588" w:type="dxa"/>
            <w:noWrap/>
            <w:hideMark/>
          </w:tcPr>
          <w:p w14:paraId="532AC118" w14:textId="77777777" w:rsidR="004F1002" w:rsidRPr="00E24C4B" w:rsidRDefault="004F1002" w:rsidP="001007F0">
            <w:pPr>
              <w:tabs>
                <w:tab w:val="left" w:pos="1861"/>
              </w:tabs>
              <w:spacing w:line="276" w:lineRule="auto"/>
              <w:rPr>
                <w:rFonts w:cs="Arial"/>
                <w:lang w:val="en-GB"/>
              </w:rPr>
            </w:pPr>
            <w:r w:rsidRPr="00E24C4B">
              <w:rPr>
                <w:rFonts w:cs="Arial"/>
                <w:lang w:val="en-GB"/>
              </w:rPr>
              <w:t>42 days</w:t>
            </w:r>
          </w:p>
        </w:tc>
        <w:tc>
          <w:tcPr>
            <w:tcW w:w="2339" w:type="dxa"/>
            <w:noWrap/>
            <w:hideMark/>
          </w:tcPr>
          <w:p w14:paraId="2A3E95C7" w14:textId="77777777" w:rsidR="004F1002" w:rsidRPr="00E24C4B" w:rsidRDefault="004F1002" w:rsidP="001007F0">
            <w:pPr>
              <w:tabs>
                <w:tab w:val="left" w:pos="1861"/>
              </w:tabs>
              <w:spacing w:line="276" w:lineRule="auto"/>
              <w:rPr>
                <w:rFonts w:cs="Arial"/>
                <w:lang w:val="en-GB"/>
              </w:rPr>
            </w:pPr>
            <w:r w:rsidRPr="00E24C4B">
              <w:rPr>
                <w:rFonts w:cs="Arial"/>
                <w:lang w:val="en-GB"/>
              </w:rPr>
              <w:t>Blinatumomab</w:t>
            </w:r>
          </w:p>
        </w:tc>
        <w:tc>
          <w:tcPr>
            <w:tcW w:w="2084" w:type="dxa"/>
            <w:noWrap/>
            <w:hideMark/>
          </w:tcPr>
          <w:p w14:paraId="3E04C7E3" w14:textId="77777777" w:rsidR="004F1002" w:rsidRPr="00E24C4B" w:rsidRDefault="004F1002" w:rsidP="001007F0">
            <w:pPr>
              <w:tabs>
                <w:tab w:val="left" w:pos="1861"/>
              </w:tabs>
              <w:spacing w:line="276" w:lineRule="auto"/>
              <w:rPr>
                <w:rFonts w:cs="Arial"/>
                <w:lang w:val="en-GB"/>
              </w:rPr>
            </w:pPr>
            <w:r w:rsidRPr="00E24C4B">
              <w:rPr>
                <w:rFonts w:cs="Arial"/>
                <w:lang w:val="en-GB"/>
              </w:rPr>
              <w:t>28 μg</w:t>
            </w:r>
          </w:p>
        </w:tc>
        <w:tc>
          <w:tcPr>
            <w:tcW w:w="2506" w:type="dxa"/>
            <w:noWrap/>
            <w:hideMark/>
          </w:tcPr>
          <w:p w14:paraId="58752C13" w14:textId="77777777" w:rsidR="004F1002" w:rsidRPr="00E24C4B" w:rsidRDefault="004F1002" w:rsidP="001007F0">
            <w:pPr>
              <w:tabs>
                <w:tab w:val="left" w:pos="1861"/>
              </w:tabs>
              <w:spacing w:line="276" w:lineRule="auto"/>
              <w:rPr>
                <w:rFonts w:cs="Arial"/>
                <w:lang w:val="en-GB"/>
              </w:rPr>
            </w:pPr>
            <w:r w:rsidRPr="00E24C4B">
              <w:rPr>
                <w:rFonts w:cs="Arial"/>
                <w:lang w:val="en-GB"/>
              </w:rPr>
              <w:t>cIV</w:t>
            </w:r>
          </w:p>
        </w:tc>
        <w:tc>
          <w:tcPr>
            <w:tcW w:w="2703" w:type="dxa"/>
            <w:noWrap/>
            <w:hideMark/>
          </w:tcPr>
          <w:p w14:paraId="2228C23A" w14:textId="77777777" w:rsidR="004F1002" w:rsidRPr="00E24C4B" w:rsidRDefault="004F1002" w:rsidP="001007F0">
            <w:pPr>
              <w:tabs>
                <w:tab w:val="left" w:pos="1861"/>
              </w:tabs>
              <w:spacing w:line="276" w:lineRule="auto"/>
              <w:rPr>
                <w:rFonts w:cs="Arial"/>
                <w:lang w:val="en-GB"/>
              </w:rPr>
            </w:pPr>
            <w:r w:rsidRPr="00E24C4B">
              <w:rPr>
                <w:rFonts w:cs="Arial"/>
                <w:lang w:val="en-GB"/>
              </w:rPr>
              <w:t>Days 1 - 28</w:t>
            </w:r>
          </w:p>
        </w:tc>
      </w:tr>
      <w:tr w:rsidR="00811425" w:rsidRPr="00E24C4B" w14:paraId="11988A09" w14:textId="77777777" w:rsidTr="001007F0">
        <w:trPr>
          <w:trHeight w:val="330"/>
        </w:trPr>
        <w:tc>
          <w:tcPr>
            <w:tcW w:w="14276" w:type="dxa"/>
            <w:gridSpan w:val="6"/>
            <w:shd w:val="clear" w:color="auto" w:fill="BFBFBF" w:themeFill="background1" w:themeFillShade="BF"/>
            <w:noWrap/>
          </w:tcPr>
          <w:p w14:paraId="460D91A0" w14:textId="77777777" w:rsidR="004F1002" w:rsidRPr="00E24C4B" w:rsidRDefault="004F1002" w:rsidP="001007F0">
            <w:pPr>
              <w:tabs>
                <w:tab w:val="left" w:pos="1861"/>
              </w:tabs>
              <w:spacing w:line="276" w:lineRule="auto"/>
              <w:rPr>
                <w:rFonts w:cs="Arial"/>
                <w:lang w:val="en-GB"/>
              </w:rPr>
            </w:pPr>
            <w:r w:rsidRPr="00E24C4B">
              <w:rPr>
                <w:rFonts w:cs="Arial"/>
                <w:b/>
                <w:bCs/>
                <w:lang w:val="en-GB"/>
              </w:rPr>
              <w:lastRenderedPageBreak/>
              <w:t>Chemotherapy (SoC)</w:t>
            </w:r>
          </w:p>
        </w:tc>
      </w:tr>
      <w:tr w:rsidR="00811425" w:rsidRPr="00E24C4B" w14:paraId="6027B65D" w14:textId="77777777" w:rsidTr="001D38A2">
        <w:trPr>
          <w:trHeight w:val="330"/>
        </w:trPr>
        <w:tc>
          <w:tcPr>
            <w:tcW w:w="3056" w:type="dxa"/>
            <w:vMerge w:val="restart"/>
            <w:noWrap/>
          </w:tcPr>
          <w:p w14:paraId="23F425C2" w14:textId="77777777" w:rsidR="004F1002" w:rsidRPr="00E24C4B" w:rsidRDefault="004F1002" w:rsidP="001007F0">
            <w:pPr>
              <w:tabs>
                <w:tab w:val="left" w:pos="1861"/>
              </w:tabs>
              <w:spacing w:line="276" w:lineRule="auto"/>
              <w:rPr>
                <w:rFonts w:cs="Arial"/>
                <w:lang w:val="en-GB"/>
              </w:rPr>
            </w:pPr>
            <w:r w:rsidRPr="00E24C4B">
              <w:rPr>
                <w:rFonts w:cs="Arial"/>
                <w:lang w:val="en-GB"/>
              </w:rPr>
              <w:t>Consolidation Cycle 1</w:t>
            </w:r>
          </w:p>
        </w:tc>
        <w:tc>
          <w:tcPr>
            <w:tcW w:w="1588" w:type="dxa"/>
            <w:vMerge w:val="restart"/>
            <w:noWrap/>
          </w:tcPr>
          <w:p w14:paraId="68593693" w14:textId="77777777" w:rsidR="004F1002" w:rsidRPr="00E24C4B" w:rsidRDefault="004F1002" w:rsidP="001007F0">
            <w:pPr>
              <w:tabs>
                <w:tab w:val="left" w:pos="1861"/>
              </w:tabs>
              <w:spacing w:line="276" w:lineRule="auto"/>
              <w:rPr>
                <w:rFonts w:cs="Arial"/>
                <w:lang w:val="en-GB"/>
              </w:rPr>
            </w:pPr>
            <w:r w:rsidRPr="00E24C4B">
              <w:rPr>
                <w:rFonts w:cs="Arial"/>
                <w:lang w:val="en-GB"/>
              </w:rPr>
              <w:t>28 days</w:t>
            </w:r>
          </w:p>
        </w:tc>
        <w:tc>
          <w:tcPr>
            <w:tcW w:w="2339" w:type="dxa"/>
            <w:noWrap/>
          </w:tcPr>
          <w:p w14:paraId="418FA0F6" w14:textId="77777777" w:rsidR="004F1002" w:rsidRPr="00E24C4B" w:rsidRDefault="004F1002" w:rsidP="001007F0">
            <w:pPr>
              <w:tabs>
                <w:tab w:val="left" w:pos="1861"/>
              </w:tabs>
              <w:spacing w:line="276" w:lineRule="auto"/>
              <w:rPr>
                <w:rFonts w:cs="Arial"/>
                <w:lang w:val="en-GB"/>
              </w:rPr>
            </w:pPr>
            <w:r w:rsidRPr="00E24C4B">
              <w:rPr>
                <w:rFonts w:cs="Arial"/>
                <w:lang w:val="en-GB"/>
              </w:rPr>
              <w:t>Cytarabine</w:t>
            </w:r>
          </w:p>
        </w:tc>
        <w:tc>
          <w:tcPr>
            <w:tcW w:w="2084" w:type="dxa"/>
            <w:noWrap/>
          </w:tcPr>
          <w:p w14:paraId="3E1EC500" w14:textId="77777777" w:rsidR="004F1002" w:rsidRPr="00E24C4B" w:rsidRDefault="004F1002" w:rsidP="001007F0">
            <w:pPr>
              <w:tabs>
                <w:tab w:val="left" w:pos="1861"/>
              </w:tabs>
              <w:spacing w:line="276" w:lineRule="auto"/>
              <w:rPr>
                <w:rFonts w:cs="Arial"/>
                <w:lang w:val="en-GB"/>
              </w:rPr>
            </w:pPr>
            <w:r w:rsidRPr="00E24C4B">
              <w:rPr>
                <w:rFonts w:cs="Arial"/>
                <w:lang w:val="en-GB"/>
              </w:rPr>
              <w:t>75mg/m²</w:t>
            </w:r>
          </w:p>
        </w:tc>
        <w:tc>
          <w:tcPr>
            <w:tcW w:w="2506" w:type="dxa"/>
            <w:noWrap/>
          </w:tcPr>
          <w:p w14:paraId="3D785D5A" w14:textId="77777777" w:rsidR="004F1002" w:rsidRPr="00E24C4B" w:rsidRDefault="004F1002" w:rsidP="001007F0">
            <w:pPr>
              <w:tabs>
                <w:tab w:val="left" w:pos="1861"/>
              </w:tabs>
              <w:spacing w:line="276" w:lineRule="auto"/>
              <w:rPr>
                <w:rFonts w:cs="Arial"/>
                <w:lang w:val="en-GB"/>
              </w:rPr>
            </w:pPr>
            <w:r w:rsidRPr="00E24C4B">
              <w:rPr>
                <w:rFonts w:cs="Arial"/>
                <w:lang w:val="en-GB"/>
              </w:rPr>
              <w:t>IV or SC</w:t>
            </w:r>
          </w:p>
        </w:tc>
        <w:tc>
          <w:tcPr>
            <w:tcW w:w="2703" w:type="dxa"/>
            <w:noWrap/>
          </w:tcPr>
          <w:p w14:paraId="4DA2230E" w14:textId="77777777" w:rsidR="004F1002" w:rsidRPr="00E24C4B" w:rsidRDefault="004F1002" w:rsidP="001007F0">
            <w:pPr>
              <w:tabs>
                <w:tab w:val="left" w:pos="1861"/>
              </w:tabs>
              <w:spacing w:line="276" w:lineRule="auto"/>
              <w:rPr>
                <w:rFonts w:cs="Arial"/>
                <w:lang w:val="en-GB"/>
              </w:rPr>
            </w:pPr>
            <w:r w:rsidRPr="00E24C4B">
              <w:rPr>
                <w:rFonts w:cs="Arial"/>
                <w:lang w:val="en-GB"/>
              </w:rPr>
              <w:t>Day 1 - 5</w:t>
            </w:r>
          </w:p>
        </w:tc>
      </w:tr>
      <w:tr w:rsidR="00811425" w:rsidRPr="00E24C4B" w14:paraId="1AA405AB" w14:textId="77777777" w:rsidTr="001D38A2">
        <w:trPr>
          <w:trHeight w:val="330"/>
        </w:trPr>
        <w:tc>
          <w:tcPr>
            <w:tcW w:w="3056" w:type="dxa"/>
            <w:vMerge/>
            <w:noWrap/>
          </w:tcPr>
          <w:p w14:paraId="6E8BE54D" w14:textId="77777777" w:rsidR="004F1002" w:rsidRPr="00E24C4B" w:rsidRDefault="004F1002" w:rsidP="001007F0">
            <w:pPr>
              <w:tabs>
                <w:tab w:val="left" w:pos="1861"/>
              </w:tabs>
              <w:spacing w:line="276" w:lineRule="auto"/>
              <w:rPr>
                <w:rFonts w:cs="Arial"/>
                <w:lang w:val="en-GB"/>
              </w:rPr>
            </w:pPr>
          </w:p>
        </w:tc>
        <w:tc>
          <w:tcPr>
            <w:tcW w:w="1588" w:type="dxa"/>
            <w:vMerge/>
            <w:noWrap/>
          </w:tcPr>
          <w:p w14:paraId="07E89ACF" w14:textId="77777777" w:rsidR="004F1002" w:rsidRPr="00E24C4B" w:rsidRDefault="004F1002" w:rsidP="001007F0">
            <w:pPr>
              <w:tabs>
                <w:tab w:val="left" w:pos="1861"/>
              </w:tabs>
              <w:spacing w:line="276" w:lineRule="auto"/>
              <w:rPr>
                <w:rFonts w:cs="Arial"/>
                <w:lang w:val="en-GB"/>
              </w:rPr>
            </w:pPr>
          </w:p>
        </w:tc>
        <w:tc>
          <w:tcPr>
            <w:tcW w:w="2339" w:type="dxa"/>
            <w:noWrap/>
          </w:tcPr>
          <w:p w14:paraId="0187B6F8" w14:textId="77777777" w:rsidR="004F1002" w:rsidRPr="00E24C4B" w:rsidRDefault="004F1002" w:rsidP="001007F0">
            <w:pPr>
              <w:tabs>
                <w:tab w:val="left" w:pos="1861"/>
              </w:tabs>
              <w:spacing w:line="276" w:lineRule="auto"/>
              <w:rPr>
                <w:rFonts w:cs="Arial"/>
                <w:lang w:val="en-GB"/>
              </w:rPr>
            </w:pPr>
            <w:r w:rsidRPr="00E24C4B">
              <w:rPr>
                <w:rFonts w:cs="Arial"/>
                <w:lang w:val="en-GB"/>
              </w:rPr>
              <w:t>Etoposide</w:t>
            </w:r>
          </w:p>
        </w:tc>
        <w:tc>
          <w:tcPr>
            <w:tcW w:w="2084" w:type="dxa"/>
            <w:noWrap/>
          </w:tcPr>
          <w:p w14:paraId="4E82EB4F" w14:textId="77777777" w:rsidR="004F1002" w:rsidRPr="00E24C4B" w:rsidRDefault="004F1002" w:rsidP="001007F0">
            <w:pPr>
              <w:tabs>
                <w:tab w:val="left" w:pos="1861"/>
              </w:tabs>
              <w:spacing w:line="276" w:lineRule="auto"/>
              <w:rPr>
                <w:rFonts w:cs="Arial"/>
                <w:lang w:val="en-GB"/>
              </w:rPr>
            </w:pPr>
            <w:r w:rsidRPr="00E24C4B">
              <w:rPr>
                <w:rFonts w:cs="Arial"/>
                <w:lang w:val="en-GB"/>
              </w:rPr>
              <w:t>100mg/m²</w:t>
            </w:r>
          </w:p>
        </w:tc>
        <w:tc>
          <w:tcPr>
            <w:tcW w:w="2506" w:type="dxa"/>
            <w:noWrap/>
          </w:tcPr>
          <w:p w14:paraId="0F8A1DC7" w14:textId="77777777" w:rsidR="004F1002" w:rsidRPr="00E24C4B" w:rsidRDefault="004F1002" w:rsidP="001007F0">
            <w:pPr>
              <w:tabs>
                <w:tab w:val="left" w:pos="1861"/>
              </w:tabs>
              <w:spacing w:line="276" w:lineRule="auto"/>
              <w:rPr>
                <w:rFonts w:cs="Arial"/>
                <w:lang w:val="en-GB"/>
              </w:rPr>
            </w:pPr>
            <w:r w:rsidRPr="00E24C4B">
              <w:rPr>
                <w:rFonts w:cs="Arial"/>
                <w:lang w:val="en-GB"/>
              </w:rPr>
              <w:t>IV</w:t>
            </w:r>
          </w:p>
        </w:tc>
        <w:tc>
          <w:tcPr>
            <w:tcW w:w="2703" w:type="dxa"/>
            <w:noWrap/>
          </w:tcPr>
          <w:p w14:paraId="40A525B2" w14:textId="77777777" w:rsidR="004F1002" w:rsidRPr="00E24C4B" w:rsidRDefault="004F1002" w:rsidP="001007F0">
            <w:pPr>
              <w:tabs>
                <w:tab w:val="left" w:pos="1861"/>
              </w:tabs>
              <w:spacing w:line="276" w:lineRule="auto"/>
              <w:rPr>
                <w:rFonts w:cs="Arial"/>
                <w:lang w:val="en-GB"/>
              </w:rPr>
            </w:pPr>
            <w:r w:rsidRPr="00E24C4B">
              <w:rPr>
                <w:rFonts w:cs="Arial"/>
                <w:lang w:val="en-GB"/>
              </w:rPr>
              <w:t>Day 1 - 5</w:t>
            </w:r>
          </w:p>
        </w:tc>
      </w:tr>
      <w:tr w:rsidR="00811425" w:rsidRPr="00E24C4B" w14:paraId="76D6F474" w14:textId="77777777" w:rsidTr="001D38A2">
        <w:trPr>
          <w:trHeight w:val="330"/>
        </w:trPr>
        <w:tc>
          <w:tcPr>
            <w:tcW w:w="3056" w:type="dxa"/>
            <w:vMerge/>
            <w:noWrap/>
          </w:tcPr>
          <w:p w14:paraId="217A2918" w14:textId="77777777" w:rsidR="004F1002" w:rsidRPr="00E24C4B" w:rsidRDefault="004F1002" w:rsidP="001007F0">
            <w:pPr>
              <w:tabs>
                <w:tab w:val="left" w:pos="1861"/>
              </w:tabs>
              <w:spacing w:line="276" w:lineRule="auto"/>
              <w:rPr>
                <w:rFonts w:cs="Arial"/>
                <w:lang w:val="en-GB"/>
              </w:rPr>
            </w:pPr>
          </w:p>
        </w:tc>
        <w:tc>
          <w:tcPr>
            <w:tcW w:w="1588" w:type="dxa"/>
            <w:vMerge/>
            <w:noWrap/>
          </w:tcPr>
          <w:p w14:paraId="66874B7E" w14:textId="77777777" w:rsidR="004F1002" w:rsidRPr="00E24C4B" w:rsidRDefault="004F1002" w:rsidP="001007F0">
            <w:pPr>
              <w:tabs>
                <w:tab w:val="left" w:pos="1861"/>
              </w:tabs>
              <w:spacing w:line="276" w:lineRule="auto"/>
              <w:rPr>
                <w:rFonts w:cs="Arial"/>
                <w:lang w:val="en-GB"/>
              </w:rPr>
            </w:pPr>
          </w:p>
        </w:tc>
        <w:tc>
          <w:tcPr>
            <w:tcW w:w="2339" w:type="dxa"/>
            <w:noWrap/>
          </w:tcPr>
          <w:p w14:paraId="6F680F71" w14:textId="77777777" w:rsidR="004F1002" w:rsidRPr="00E24C4B" w:rsidRDefault="004F1002" w:rsidP="001007F0">
            <w:pPr>
              <w:tabs>
                <w:tab w:val="left" w:pos="1861"/>
              </w:tabs>
              <w:spacing w:line="276" w:lineRule="auto"/>
              <w:rPr>
                <w:rFonts w:cs="Arial"/>
                <w:lang w:val="en-GB"/>
              </w:rPr>
            </w:pPr>
            <w:r w:rsidRPr="00E24C4B">
              <w:rPr>
                <w:rFonts w:cs="Arial"/>
                <w:lang w:val="en-GB"/>
              </w:rPr>
              <w:t xml:space="preserve">Methotrexate </w:t>
            </w:r>
          </w:p>
        </w:tc>
        <w:tc>
          <w:tcPr>
            <w:tcW w:w="2084" w:type="dxa"/>
            <w:noWrap/>
          </w:tcPr>
          <w:p w14:paraId="062546C2" w14:textId="77777777" w:rsidR="004F1002" w:rsidRPr="00E24C4B" w:rsidRDefault="004F1002" w:rsidP="001007F0">
            <w:pPr>
              <w:tabs>
                <w:tab w:val="left" w:pos="1861"/>
              </w:tabs>
              <w:spacing w:line="276" w:lineRule="auto"/>
              <w:rPr>
                <w:rFonts w:cs="Arial"/>
                <w:lang w:val="en-GB"/>
              </w:rPr>
            </w:pPr>
            <w:r w:rsidRPr="00E24C4B">
              <w:rPr>
                <w:rFonts w:cs="Arial"/>
                <w:lang w:val="en-GB"/>
              </w:rPr>
              <w:t>12.5mg</w:t>
            </w:r>
          </w:p>
        </w:tc>
        <w:tc>
          <w:tcPr>
            <w:tcW w:w="2506" w:type="dxa"/>
            <w:noWrap/>
          </w:tcPr>
          <w:p w14:paraId="5F1838BF" w14:textId="77777777" w:rsidR="004F1002" w:rsidRPr="00E24C4B" w:rsidRDefault="004F1002" w:rsidP="001007F0">
            <w:pPr>
              <w:tabs>
                <w:tab w:val="left" w:pos="1861"/>
              </w:tabs>
              <w:spacing w:line="276" w:lineRule="auto"/>
              <w:rPr>
                <w:rFonts w:cs="Arial"/>
                <w:lang w:val="en-GB"/>
              </w:rPr>
            </w:pPr>
            <w:r w:rsidRPr="00E24C4B">
              <w:rPr>
                <w:rFonts w:cs="Arial"/>
                <w:lang w:val="en-GB"/>
              </w:rPr>
              <w:t>IT</w:t>
            </w:r>
          </w:p>
        </w:tc>
        <w:tc>
          <w:tcPr>
            <w:tcW w:w="2703" w:type="dxa"/>
            <w:noWrap/>
          </w:tcPr>
          <w:p w14:paraId="3F45E109" w14:textId="77777777" w:rsidR="004F1002" w:rsidRPr="00E24C4B" w:rsidRDefault="004F1002" w:rsidP="001007F0">
            <w:pPr>
              <w:tabs>
                <w:tab w:val="left" w:pos="1861"/>
              </w:tabs>
              <w:spacing w:line="276" w:lineRule="auto"/>
              <w:rPr>
                <w:rFonts w:cs="Arial"/>
                <w:lang w:val="en-GB"/>
              </w:rPr>
            </w:pPr>
            <w:r w:rsidRPr="00E24C4B">
              <w:rPr>
                <w:rFonts w:cs="Arial"/>
                <w:lang w:val="en-GB"/>
              </w:rPr>
              <w:t>Day 1</w:t>
            </w:r>
          </w:p>
        </w:tc>
      </w:tr>
      <w:tr w:rsidR="00811425" w:rsidRPr="00E24C4B" w14:paraId="186EBFAD" w14:textId="77777777" w:rsidTr="001D38A2">
        <w:trPr>
          <w:trHeight w:val="330"/>
        </w:trPr>
        <w:tc>
          <w:tcPr>
            <w:tcW w:w="3056" w:type="dxa"/>
            <w:vMerge/>
            <w:noWrap/>
          </w:tcPr>
          <w:p w14:paraId="2F6CEC58" w14:textId="77777777" w:rsidR="004F1002" w:rsidRPr="00E24C4B" w:rsidRDefault="004F1002" w:rsidP="001007F0">
            <w:pPr>
              <w:tabs>
                <w:tab w:val="left" w:pos="1861"/>
              </w:tabs>
              <w:spacing w:line="276" w:lineRule="auto"/>
              <w:rPr>
                <w:rFonts w:cs="Arial"/>
                <w:lang w:val="en-GB"/>
              </w:rPr>
            </w:pPr>
          </w:p>
        </w:tc>
        <w:tc>
          <w:tcPr>
            <w:tcW w:w="1588" w:type="dxa"/>
            <w:vMerge/>
            <w:noWrap/>
          </w:tcPr>
          <w:p w14:paraId="00B3BC85" w14:textId="77777777" w:rsidR="004F1002" w:rsidRPr="00E24C4B" w:rsidRDefault="004F1002" w:rsidP="001007F0">
            <w:pPr>
              <w:tabs>
                <w:tab w:val="left" w:pos="1861"/>
              </w:tabs>
              <w:spacing w:line="276" w:lineRule="auto"/>
              <w:rPr>
                <w:rFonts w:cs="Arial"/>
                <w:lang w:val="en-GB"/>
              </w:rPr>
            </w:pPr>
          </w:p>
        </w:tc>
        <w:tc>
          <w:tcPr>
            <w:tcW w:w="2339" w:type="dxa"/>
            <w:noWrap/>
          </w:tcPr>
          <w:p w14:paraId="0A53F7E9" w14:textId="77777777" w:rsidR="004F1002" w:rsidRPr="00E24C4B" w:rsidRDefault="004F1002" w:rsidP="001007F0">
            <w:pPr>
              <w:tabs>
                <w:tab w:val="left" w:pos="1861"/>
              </w:tabs>
              <w:spacing w:line="276" w:lineRule="auto"/>
              <w:rPr>
                <w:rFonts w:cs="Arial"/>
                <w:lang w:val="en-GB"/>
              </w:rPr>
            </w:pPr>
            <w:r w:rsidRPr="00E24C4B">
              <w:rPr>
                <w:rFonts w:cs="Arial"/>
                <w:lang w:val="en-GB"/>
              </w:rPr>
              <w:t>Pegaspargase</w:t>
            </w:r>
          </w:p>
        </w:tc>
        <w:tc>
          <w:tcPr>
            <w:tcW w:w="2084" w:type="dxa"/>
            <w:noWrap/>
          </w:tcPr>
          <w:p w14:paraId="525A64F6" w14:textId="77777777" w:rsidR="004F1002" w:rsidRPr="00E24C4B" w:rsidRDefault="004F1002" w:rsidP="001007F0">
            <w:pPr>
              <w:tabs>
                <w:tab w:val="left" w:pos="1861"/>
              </w:tabs>
              <w:spacing w:line="276" w:lineRule="auto"/>
              <w:rPr>
                <w:rFonts w:cs="Arial"/>
                <w:lang w:val="en-GB"/>
              </w:rPr>
            </w:pPr>
            <w:r w:rsidRPr="00E24C4B">
              <w:rPr>
                <w:rFonts w:cs="Arial"/>
                <w:lang w:val="en-GB"/>
              </w:rPr>
              <w:t>2000IU/m²</w:t>
            </w:r>
          </w:p>
        </w:tc>
        <w:tc>
          <w:tcPr>
            <w:tcW w:w="2506" w:type="dxa"/>
            <w:noWrap/>
          </w:tcPr>
          <w:p w14:paraId="70E00300" w14:textId="77777777" w:rsidR="004F1002" w:rsidRPr="00E24C4B" w:rsidRDefault="004F1002" w:rsidP="001007F0">
            <w:pPr>
              <w:tabs>
                <w:tab w:val="left" w:pos="1861"/>
              </w:tabs>
              <w:spacing w:line="276" w:lineRule="auto"/>
              <w:rPr>
                <w:rFonts w:cs="Arial"/>
                <w:lang w:val="en-GB"/>
              </w:rPr>
            </w:pPr>
            <w:r w:rsidRPr="00E24C4B">
              <w:rPr>
                <w:rFonts w:cs="Arial"/>
                <w:lang w:val="en-GB"/>
              </w:rPr>
              <w:t>IV</w:t>
            </w:r>
          </w:p>
        </w:tc>
        <w:tc>
          <w:tcPr>
            <w:tcW w:w="2703" w:type="dxa"/>
            <w:noWrap/>
          </w:tcPr>
          <w:p w14:paraId="5CE0000C" w14:textId="77777777" w:rsidR="004F1002" w:rsidRPr="00E24C4B" w:rsidRDefault="004F1002" w:rsidP="001007F0">
            <w:pPr>
              <w:tabs>
                <w:tab w:val="left" w:pos="1861"/>
              </w:tabs>
              <w:spacing w:line="276" w:lineRule="auto"/>
              <w:rPr>
                <w:rFonts w:cs="Arial"/>
                <w:lang w:val="en-GB"/>
              </w:rPr>
            </w:pPr>
            <w:r w:rsidRPr="00E24C4B">
              <w:rPr>
                <w:rFonts w:cs="Arial"/>
                <w:lang w:val="en-GB"/>
              </w:rPr>
              <w:t>Day 5</w:t>
            </w:r>
          </w:p>
        </w:tc>
      </w:tr>
      <w:tr w:rsidR="00811425" w:rsidRPr="00E24C4B" w14:paraId="7C400DCF" w14:textId="77777777" w:rsidTr="001D38A2">
        <w:trPr>
          <w:trHeight w:val="330"/>
        </w:trPr>
        <w:tc>
          <w:tcPr>
            <w:tcW w:w="3056" w:type="dxa"/>
            <w:vMerge w:val="restart"/>
            <w:noWrap/>
          </w:tcPr>
          <w:p w14:paraId="6BBC183A" w14:textId="77777777" w:rsidR="004F1002" w:rsidRPr="00E24C4B" w:rsidRDefault="004F1002" w:rsidP="001007F0">
            <w:pPr>
              <w:tabs>
                <w:tab w:val="left" w:pos="1861"/>
              </w:tabs>
              <w:spacing w:line="276" w:lineRule="auto"/>
              <w:rPr>
                <w:rFonts w:cs="Arial"/>
                <w:lang w:val="en-GB"/>
              </w:rPr>
            </w:pPr>
            <w:r w:rsidRPr="00E24C4B">
              <w:rPr>
                <w:rFonts w:cs="Arial"/>
                <w:lang w:val="en-GB"/>
              </w:rPr>
              <w:t>Consolidation Cycle 2</w:t>
            </w:r>
          </w:p>
        </w:tc>
        <w:tc>
          <w:tcPr>
            <w:tcW w:w="1588" w:type="dxa"/>
            <w:vMerge w:val="restart"/>
            <w:noWrap/>
          </w:tcPr>
          <w:p w14:paraId="29FA54BE" w14:textId="77777777" w:rsidR="004F1002" w:rsidRPr="00E24C4B" w:rsidRDefault="004F1002" w:rsidP="001007F0">
            <w:pPr>
              <w:tabs>
                <w:tab w:val="left" w:pos="1861"/>
              </w:tabs>
              <w:spacing w:line="276" w:lineRule="auto"/>
              <w:rPr>
                <w:rFonts w:cs="Arial"/>
                <w:lang w:val="en-GB"/>
              </w:rPr>
            </w:pPr>
            <w:r w:rsidRPr="00E24C4B">
              <w:rPr>
                <w:rFonts w:cs="Arial"/>
                <w:lang w:val="en-GB"/>
              </w:rPr>
              <w:t>28 days</w:t>
            </w:r>
          </w:p>
        </w:tc>
        <w:tc>
          <w:tcPr>
            <w:tcW w:w="2339" w:type="dxa"/>
            <w:noWrap/>
          </w:tcPr>
          <w:p w14:paraId="0391D79E" w14:textId="77777777" w:rsidR="004F1002" w:rsidRPr="00E24C4B" w:rsidRDefault="004F1002" w:rsidP="001007F0">
            <w:pPr>
              <w:tabs>
                <w:tab w:val="left" w:pos="1861"/>
              </w:tabs>
              <w:spacing w:line="276" w:lineRule="auto"/>
              <w:rPr>
                <w:rFonts w:cs="Arial"/>
                <w:lang w:val="en-GB"/>
              </w:rPr>
            </w:pPr>
            <w:r w:rsidRPr="00E24C4B">
              <w:rPr>
                <w:rFonts w:cs="Arial"/>
                <w:lang w:val="en-GB"/>
              </w:rPr>
              <w:t>Cytarabine</w:t>
            </w:r>
          </w:p>
        </w:tc>
        <w:tc>
          <w:tcPr>
            <w:tcW w:w="2084" w:type="dxa"/>
            <w:noWrap/>
          </w:tcPr>
          <w:p w14:paraId="0D096CAB" w14:textId="77777777" w:rsidR="004F1002" w:rsidRPr="00E24C4B" w:rsidRDefault="004F1002" w:rsidP="001007F0">
            <w:pPr>
              <w:tabs>
                <w:tab w:val="left" w:pos="1861"/>
              </w:tabs>
              <w:spacing w:line="276" w:lineRule="auto"/>
              <w:rPr>
                <w:rFonts w:cs="Arial"/>
                <w:lang w:val="en-GB"/>
              </w:rPr>
            </w:pPr>
            <w:r w:rsidRPr="00E24C4B">
              <w:rPr>
                <w:rFonts w:cs="Arial"/>
                <w:lang w:val="en-GB"/>
              </w:rPr>
              <w:t>75mg/m²</w:t>
            </w:r>
          </w:p>
        </w:tc>
        <w:tc>
          <w:tcPr>
            <w:tcW w:w="2506" w:type="dxa"/>
            <w:noWrap/>
          </w:tcPr>
          <w:p w14:paraId="3D9A8C4D" w14:textId="77777777" w:rsidR="004F1002" w:rsidRPr="00E24C4B" w:rsidRDefault="004F1002" w:rsidP="001007F0">
            <w:pPr>
              <w:tabs>
                <w:tab w:val="left" w:pos="1861"/>
              </w:tabs>
              <w:spacing w:line="276" w:lineRule="auto"/>
              <w:rPr>
                <w:rFonts w:cs="Arial"/>
                <w:lang w:val="en-GB"/>
              </w:rPr>
            </w:pPr>
            <w:r w:rsidRPr="00E24C4B">
              <w:rPr>
                <w:rFonts w:cs="Arial"/>
                <w:lang w:val="en-GB"/>
              </w:rPr>
              <w:t>IV or SC</w:t>
            </w:r>
          </w:p>
        </w:tc>
        <w:tc>
          <w:tcPr>
            <w:tcW w:w="2703" w:type="dxa"/>
            <w:noWrap/>
          </w:tcPr>
          <w:p w14:paraId="6D0537F1" w14:textId="77777777" w:rsidR="004F1002" w:rsidRPr="00E24C4B" w:rsidRDefault="004F1002" w:rsidP="001007F0">
            <w:pPr>
              <w:tabs>
                <w:tab w:val="left" w:pos="1861"/>
              </w:tabs>
              <w:spacing w:line="276" w:lineRule="auto"/>
              <w:rPr>
                <w:rFonts w:cs="Arial"/>
                <w:lang w:val="en-GB"/>
              </w:rPr>
            </w:pPr>
            <w:r w:rsidRPr="00E24C4B">
              <w:rPr>
                <w:rFonts w:cs="Arial"/>
                <w:lang w:val="en-GB"/>
              </w:rPr>
              <w:t>Day 1 - 5</w:t>
            </w:r>
          </w:p>
        </w:tc>
      </w:tr>
      <w:tr w:rsidR="00811425" w:rsidRPr="00E24C4B" w14:paraId="10E02887" w14:textId="77777777" w:rsidTr="001D38A2">
        <w:trPr>
          <w:trHeight w:val="330"/>
        </w:trPr>
        <w:tc>
          <w:tcPr>
            <w:tcW w:w="3056" w:type="dxa"/>
            <w:vMerge/>
            <w:noWrap/>
          </w:tcPr>
          <w:p w14:paraId="405EC8BE" w14:textId="77777777" w:rsidR="004F1002" w:rsidRPr="00E24C4B" w:rsidRDefault="004F1002" w:rsidP="001007F0">
            <w:pPr>
              <w:tabs>
                <w:tab w:val="left" w:pos="1861"/>
              </w:tabs>
              <w:spacing w:line="276" w:lineRule="auto"/>
              <w:rPr>
                <w:rFonts w:cs="Arial"/>
                <w:lang w:val="en-GB"/>
              </w:rPr>
            </w:pPr>
          </w:p>
        </w:tc>
        <w:tc>
          <w:tcPr>
            <w:tcW w:w="1588" w:type="dxa"/>
            <w:vMerge/>
            <w:noWrap/>
          </w:tcPr>
          <w:p w14:paraId="0F47F552" w14:textId="77777777" w:rsidR="004F1002" w:rsidRPr="00E24C4B" w:rsidRDefault="004F1002" w:rsidP="001007F0">
            <w:pPr>
              <w:tabs>
                <w:tab w:val="left" w:pos="1861"/>
              </w:tabs>
              <w:spacing w:line="276" w:lineRule="auto"/>
              <w:rPr>
                <w:rFonts w:cs="Arial"/>
                <w:lang w:val="en-GB"/>
              </w:rPr>
            </w:pPr>
          </w:p>
        </w:tc>
        <w:tc>
          <w:tcPr>
            <w:tcW w:w="2339" w:type="dxa"/>
            <w:noWrap/>
          </w:tcPr>
          <w:p w14:paraId="569B0B87" w14:textId="77777777" w:rsidR="004F1002" w:rsidRPr="00E24C4B" w:rsidRDefault="004F1002" w:rsidP="001007F0">
            <w:pPr>
              <w:tabs>
                <w:tab w:val="left" w:pos="1861"/>
              </w:tabs>
              <w:spacing w:line="276" w:lineRule="auto"/>
              <w:rPr>
                <w:rFonts w:cs="Arial"/>
                <w:lang w:val="en-GB"/>
              </w:rPr>
            </w:pPr>
            <w:r w:rsidRPr="00E24C4B">
              <w:rPr>
                <w:rFonts w:cs="Arial"/>
                <w:lang w:val="en-GB"/>
              </w:rPr>
              <w:t>Etoposide</w:t>
            </w:r>
          </w:p>
        </w:tc>
        <w:tc>
          <w:tcPr>
            <w:tcW w:w="2084" w:type="dxa"/>
            <w:noWrap/>
          </w:tcPr>
          <w:p w14:paraId="1516117D" w14:textId="77777777" w:rsidR="004F1002" w:rsidRPr="00E24C4B" w:rsidRDefault="004F1002" w:rsidP="001007F0">
            <w:pPr>
              <w:tabs>
                <w:tab w:val="left" w:pos="1861"/>
              </w:tabs>
              <w:spacing w:line="276" w:lineRule="auto"/>
              <w:rPr>
                <w:rFonts w:cs="Arial"/>
                <w:lang w:val="en-GB"/>
              </w:rPr>
            </w:pPr>
            <w:r w:rsidRPr="00E24C4B">
              <w:rPr>
                <w:rFonts w:cs="Arial"/>
                <w:lang w:val="en-GB"/>
              </w:rPr>
              <w:t>100mg/m²</w:t>
            </w:r>
          </w:p>
        </w:tc>
        <w:tc>
          <w:tcPr>
            <w:tcW w:w="2506" w:type="dxa"/>
            <w:noWrap/>
          </w:tcPr>
          <w:p w14:paraId="0AA99AEA" w14:textId="77777777" w:rsidR="004F1002" w:rsidRPr="00E24C4B" w:rsidRDefault="004F1002" w:rsidP="001007F0">
            <w:pPr>
              <w:tabs>
                <w:tab w:val="left" w:pos="1861"/>
              </w:tabs>
              <w:spacing w:line="276" w:lineRule="auto"/>
              <w:rPr>
                <w:rFonts w:cs="Arial"/>
                <w:lang w:val="en-GB"/>
              </w:rPr>
            </w:pPr>
            <w:r w:rsidRPr="00E24C4B">
              <w:rPr>
                <w:rFonts w:cs="Arial"/>
                <w:lang w:val="en-GB"/>
              </w:rPr>
              <w:t>IV</w:t>
            </w:r>
          </w:p>
        </w:tc>
        <w:tc>
          <w:tcPr>
            <w:tcW w:w="2703" w:type="dxa"/>
            <w:noWrap/>
          </w:tcPr>
          <w:p w14:paraId="27A8C6D2" w14:textId="77777777" w:rsidR="004F1002" w:rsidRPr="00E24C4B" w:rsidRDefault="004F1002" w:rsidP="001007F0">
            <w:pPr>
              <w:tabs>
                <w:tab w:val="left" w:pos="1861"/>
              </w:tabs>
              <w:spacing w:line="276" w:lineRule="auto"/>
              <w:rPr>
                <w:rFonts w:cs="Arial"/>
                <w:lang w:val="en-GB"/>
              </w:rPr>
            </w:pPr>
            <w:r w:rsidRPr="00E24C4B">
              <w:rPr>
                <w:rFonts w:cs="Arial"/>
                <w:lang w:val="en-GB"/>
              </w:rPr>
              <w:t>Day 1 - 5</w:t>
            </w:r>
          </w:p>
        </w:tc>
      </w:tr>
      <w:tr w:rsidR="00811425" w:rsidRPr="00E24C4B" w14:paraId="61DA0695" w14:textId="77777777" w:rsidTr="001D38A2">
        <w:trPr>
          <w:trHeight w:val="330"/>
        </w:trPr>
        <w:tc>
          <w:tcPr>
            <w:tcW w:w="3056" w:type="dxa"/>
            <w:vMerge/>
            <w:noWrap/>
          </w:tcPr>
          <w:p w14:paraId="027F8C67" w14:textId="77777777" w:rsidR="004F1002" w:rsidRPr="00E24C4B" w:rsidRDefault="004F1002" w:rsidP="001007F0">
            <w:pPr>
              <w:tabs>
                <w:tab w:val="left" w:pos="1861"/>
              </w:tabs>
              <w:spacing w:line="276" w:lineRule="auto"/>
              <w:rPr>
                <w:rFonts w:cs="Arial"/>
                <w:lang w:val="en-GB"/>
              </w:rPr>
            </w:pPr>
          </w:p>
        </w:tc>
        <w:tc>
          <w:tcPr>
            <w:tcW w:w="1588" w:type="dxa"/>
            <w:vMerge/>
            <w:noWrap/>
          </w:tcPr>
          <w:p w14:paraId="7239F839" w14:textId="77777777" w:rsidR="004F1002" w:rsidRPr="00E24C4B" w:rsidRDefault="004F1002" w:rsidP="001007F0">
            <w:pPr>
              <w:tabs>
                <w:tab w:val="left" w:pos="1861"/>
              </w:tabs>
              <w:spacing w:line="276" w:lineRule="auto"/>
              <w:rPr>
                <w:rFonts w:cs="Arial"/>
                <w:lang w:val="en-GB"/>
              </w:rPr>
            </w:pPr>
          </w:p>
        </w:tc>
        <w:tc>
          <w:tcPr>
            <w:tcW w:w="2339" w:type="dxa"/>
            <w:noWrap/>
          </w:tcPr>
          <w:p w14:paraId="34F49460" w14:textId="77777777" w:rsidR="004F1002" w:rsidRPr="00E24C4B" w:rsidRDefault="004F1002" w:rsidP="001007F0">
            <w:pPr>
              <w:tabs>
                <w:tab w:val="left" w:pos="1861"/>
              </w:tabs>
              <w:spacing w:line="276" w:lineRule="auto"/>
              <w:rPr>
                <w:rFonts w:cs="Arial"/>
                <w:lang w:val="en-GB"/>
              </w:rPr>
            </w:pPr>
            <w:r w:rsidRPr="00E24C4B">
              <w:rPr>
                <w:rFonts w:cs="Arial"/>
                <w:lang w:val="en-GB"/>
              </w:rPr>
              <w:t>Methotrexate</w:t>
            </w:r>
          </w:p>
        </w:tc>
        <w:tc>
          <w:tcPr>
            <w:tcW w:w="2084" w:type="dxa"/>
            <w:noWrap/>
          </w:tcPr>
          <w:p w14:paraId="25ED0669" w14:textId="77777777" w:rsidR="004F1002" w:rsidRPr="00E24C4B" w:rsidRDefault="004F1002" w:rsidP="001007F0">
            <w:pPr>
              <w:tabs>
                <w:tab w:val="left" w:pos="1861"/>
              </w:tabs>
              <w:spacing w:line="276" w:lineRule="auto"/>
              <w:rPr>
                <w:rFonts w:cs="Arial"/>
                <w:lang w:val="en-GB"/>
              </w:rPr>
            </w:pPr>
            <w:r w:rsidRPr="00E24C4B">
              <w:rPr>
                <w:rFonts w:cs="Arial"/>
                <w:lang w:val="en-GB"/>
              </w:rPr>
              <w:t>12.5mg</w:t>
            </w:r>
          </w:p>
        </w:tc>
        <w:tc>
          <w:tcPr>
            <w:tcW w:w="2506" w:type="dxa"/>
            <w:noWrap/>
          </w:tcPr>
          <w:p w14:paraId="111BB454" w14:textId="77777777" w:rsidR="004F1002" w:rsidRPr="00E24C4B" w:rsidRDefault="004F1002" w:rsidP="001007F0">
            <w:pPr>
              <w:tabs>
                <w:tab w:val="left" w:pos="1861"/>
              </w:tabs>
              <w:spacing w:line="276" w:lineRule="auto"/>
              <w:rPr>
                <w:rFonts w:cs="Arial"/>
                <w:lang w:val="en-GB"/>
              </w:rPr>
            </w:pPr>
            <w:r w:rsidRPr="00E24C4B">
              <w:rPr>
                <w:rFonts w:cs="Arial"/>
                <w:lang w:val="en-GB"/>
              </w:rPr>
              <w:t>IT</w:t>
            </w:r>
          </w:p>
        </w:tc>
        <w:tc>
          <w:tcPr>
            <w:tcW w:w="2703" w:type="dxa"/>
            <w:noWrap/>
          </w:tcPr>
          <w:p w14:paraId="6EE1A73F" w14:textId="77777777" w:rsidR="004F1002" w:rsidRPr="00E24C4B" w:rsidRDefault="004F1002" w:rsidP="001007F0">
            <w:pPr>
              <w:tabs>
                <w:tab w:val="left" w:pos="1861"/>
              </w:tabs>
              <w:spacing w:line="276" w:lineRule="auto"/>
              <w:rPr>
                <w:rFonts w:cs="Arial"/>
                <w:lang w:val="en-GB"/>
              </w:rPr>
            </w:pPr>
            <w:r w:rsidRPr="00E24C4B">
              <w:rPr>
                <w:rFonts w:cs="Arial"/>
                <w:lang w:val="en-GB"/>
              </w:rPr>
              <w:t>Day 1</w:t>
            </w:r>
          </w:p>
        </w:tc>
      </w:tr>
      <w:tr w:rsidR="00811425" w:rsidRPr="00E24C4B" w14:paraId="46B90791" w14:textId="77777777" w:rsidTr="001D38A2">
        <w:trPr>
          <w:trHeight w:val="330"/>
        </w:trPr>
        <w:tc>
          <w:tcPr>
            <w:tcW w:w="3056" w:type="dxa"/>
            <w:vMerge w:val="restart"/>
            <w:noWrap/>
          </w:tcPr>
          <w:p w14:paraId="043B7526" w14:textId="77777777" w:rsidR="004F1002" w:rsidRPr="00E24C4B" w:rsidRDefault="004F1002" w:rsidP="001007F0">
            <w:pPr>
              <w:tabs>
                <w:tab w:val="left" w:pos="1861"/>
              </w:tabs>
              <w:spacing w:line="276" w:lineRule="auto"/>
              <w:rPr>
                <w:rFonts w:cs="Arial"/>
                <w:lang w:val="en-GB"/>
              </w:rPr>
            </w:pPr>
            <w:r w:rsidRPr="00E24C4B">
              <w:rPr>
                <w:rFonts w:cs="Arial"/>
                <w:lang w:val="en-GB"/>
              </w:rPr>
              <w:t>Consolidation Cycle 3</w:t>
            </w:r>
          </w:p>
        </w:tc>
        <w:tc>
          <w:tcPr>
            <w:tcW w:w="1588" w:type="dxa"/>
            <w:vMerge w:val="restart"/>
            <w:noWrap/>
          </w:tcPr>
          <w:p w14:paraId="7809DF4F" w14:textId="77777777" w:rsidR="004F1002" w:rsidRPr="00E24C4B" w:rsidRDefault="004F1002" w:rsidP="001007F0">
            <w:pPr>
              <w:tabs>
                <w:tab w:val="left" w:pos="1861"/>
              </w:tabs>
              <w:spacing w:line="276" w:lineRule="auto"/>
              <w:rPr>
                <w:rFonts w:cs="Arial"/>
                <w:lang w:val="en-GB"/>
              </w:rPr>
            </w:pPr>
            <w:r w:rsidRPr="00E24C4B">
              <w:rPr>
                <w:rFonts w:cs="Arial"/>
                <w:lang w:val="en-GB"/>
              </w:rPr>
              <w:t>42 days</w:t>
            </w:r>
          </w:p>
        </w:tc>
        <w:tc>
          <w:tcPr>
            <w:tcW w:w="2339" w:type="dxa"/>
            <w:noWrap/>
          </w:tcPr>
          <w:p w14:paraId="2DC8D5DB" w14:textId="77777777" w:rsidR="004F1002" w:rsidRPr="00E24C4B" w:rsidRDefault="004F1002" w:rsidP="001007F0">
            <w:pPr>
              <w:tabs>
                <w:tab w:val="left" w:pos="1861"/>
              </w:tabs>
              <w:spacing w:line="276" w:lineRule="auto"/>
              <w:rPr>
                <w:rFonts w:cs="Arial"/>
                <w:lang w:val="en-GB"/>
              </w:rPr>
            </w:pPr>
            <w:r w:rsidRPr="00E24C4B">
              <w:rPr>
                <w:rFonts w:cs="Arial"/>
                <w:lang w:val="en-GB"/>
              </w:rPr>
              <w:t>Daunorubicin hydrochloride</w:t>
            </w:r>
          </w:p>
        </w:tc>
        <w:tc>
          <w:tcPr>
            <w:tcW w:w="2084" w:type="dxa"/>
            <w:noWrap/>
          </w:tcPr>
          <w:p w14:paraId="0CC10BA7" w14:textId="77777777" w:rsidR="004F1002" w:rsidRPr="00E24C4B" w:rsidRDefault="004F1002" w:rsidP="001007F0">
            <w:pPr>
              <w:tabs>
                <w:tab w:val="left" w:pos="1861"/>
              </w:tabs>
              <w:spacing w:line="276" w:lineRule="auto"/>
              <w:rPr>
                <w:rFonts w:cs="Arial"/>
                <w:lang w:val="en-GB"/>
              </w:rPr>
            </w:pPr>
            <w:r w:rsidRPr="00E24C4B">
              <w:rPr>
                <w:rFonts w:cs="Arial"/>
                <w:lang w:val="en-GB"/>
              </w:rPr>
              <w:t>25mg/m²</w:t>
            </w:r>
          </w:p>
        </w:tc>
        <w:tc>
          <w:tcPr>
            <w:tcW w:w="2506" w:type="dxa"/>
            <w:noWrap/>
          </w:tcPr>
          <w:p w14:paraId="64E8B805" w14:textId="77777777" w:rsidR="004F1002" w:rsidRPr="00E24C4B" w:rsidRDefault="004F1002" w:rsidP="001007F0">
            <w:pPr>
              <w:tabs>
                <w:tab w:val="left" w:pos="1861"/>
              </w:tabs>
              <w:spacing w:line="276" w:lineRule="auto"/>
              <w:rPr>
                <w:rFonts w:cs="Arial"/>
                <w:lang w:val="en-GB"/>
              </w:rPr>
            </w:pPr>
            <w:r w:rsidRPr="00E24C4B">
              <w:rPr>
                <w:rFonts w:cs="Arial"/>
                <w:lang w:val="en-GB"/>
              </w:rPr>
              <w:t>IV</w:t>
            </w:r>
          </w:p>
        </w:tc>
        <w:tc>
          <w:tcPr>
            <w:tcW w:w="2703" w:type="dxa"/>
            <w:noWrap/>
          </w:tcPr>
          <w:p w14:paraId="4EE8740D" w14:textId="77777777" w:rsidR="004F1002" w:rsidRPr="00E24C4B" w:rsidRDefault="004F1002" w:rsidP="001007F0">
            <w:pPr>
              <w:tabs>
                <w:tab w:val="left" w:pos="1861"/>
              </w:tabs>
              <w:spacing w:line="276" w:lineRule="auto"/>
              <w:rPr>
                <w:rFonts w:cs="Arial"/>
                <w:lang w:val="en-GB"/>
              </w:rPr>
            </w:pPr>
            <w:r w:rsidRPr="00E24C4B">
              <w:rPr>
                <w:rFonts w:cs="Arial"/>
                <w:lang w:val="en-GB"/>
              </w:rPr>
              <w:t>Days 1, 8, 15, 22</w:t>
            </w:r>
          </w:p>
        </w:tc>
      </w:tr>
      <w:tr w:rsidR="00811425" w:rsidRPr="00E24C4B" w14:paraId="187108D1" w14:textId="77777777" w:rsidTr="001D38A2">
        <w:trPr>
          <w:trHeight w:val="330"/>
        </w:trPr>
        <w:tc>
          <w:tcPr>
            <w:tcW w:w="3056" w:type="dxa"/>
            <w:vMerge/>
            <w:noWrap/>
          </w:tcPr>
          <w:p w14:paraId="43640E48" w14:textId="77777777" w:rsidR="004F1002" w:rsidRPr="00E24C4B" w:rsidRDefault="004F1002" w:rsidP="001007F0">
            <w:pPr>
              <w:tabs>
                <w:tab w:val="left" w:pos="1861"/>
              </w:tabs>
              <w:spacing w:line="276" w:lineRule="auto"/>
              <w:rPr>
                <w:rFonts w:cs="Arial"/>
                <w:lang w:val="en-GB"/>
              </w:rPr>
            </w:pPr>
          </w:p>
        </w:tc>
        <w:tc>
          <w:tcPr>
            <w:tcW w:w="1588" w:type="dxa"/>
            <w:vMerge/>
            <w:noWrap/>
          </w:tcPr>
          <w:p w14:paraId="7084BA5E" w14:textId="77777777" w:rsidR="004F1002" w:rsidRPr="00E24C4B" w:rsidRDefault="004F1002" w:rsidP="001007F0">
            <w:pPr>
              <w:tabs>
                <w:tab w:val="left" w:pos="1861"/>
              </w:tabs>
              <w:spacing w:line="276" w:lineRule="auto"/>
              <w:rPr>
                <w:rFonts w:cs="Arial"/>
                <w:lang w:val="en-GB"/>
              </w:rPr>
            </w:pPr>
          </w:p>
        </w:tc>
        <w:tc>
          <w:tcPr>
            <w:tcW w:w="2339" w:type="dxa"/>
            <w:noWrap/>
          </w:tcPr>
          <w:p w14:paraId="2EEE9CAA" w14:textId="77777777" w:rsidR="004F1002" w:rsidRPr="00E24C4B" w:rsidRDefault="004F1002" w:rsidP="001007F0">
            <w:pPr>
              <w:tabs>
                <w:tab w:val="left" w:pos="1861"/>
              </w:tabs>
              <w:spacing w:line="276" w:lineRule="auto"/>
              <w:rPr>
                <w:rFonts w:cs="Arial"/>
                <w:lang w:val="en-GB"/>
              </w:rPr>
            </w:pPr>
            <w:r w:rsidRPr="00E24C4B">
              <w:rPr>
                <w:rFonts w:cs="Arial"/>
                <w:lang w:val="en-GB"/>
              </w:rPr>
              <w:t>Vincristine sulfate</w:t>
            </w:r>
          </w:p>
        </w:tc>
        <w:tc>
          <w:tcPr>
            <w:tcW w:w="2084" w:type="dxa"/>
            <w:noWrap/>
          </w:tcPr>
          <w:p w14:paraId="12FCEA9F" w14:textId="77777777" w:rsidR="004F1002" w:rsidRPr="00E24C4B" w:rsidRDefault="004F1002" w:rsidP="001007F0">
            <w:pPr>
              <w:tabs>
                <w:tab w:val="left" w:pos="1861"/>
              </w:tabs>
              <w:spacing w:line="276" w:lineRule="auto"/>
              <w:rPr>
                <w:rFonts w:cs="Arial"/>
                <w:lang w:val="en-GB"/>
              </w:rPr>
            </w:pPr>
            <w:r w:rsidRPr="00E24C4B">
              <w:rPr>
                <w:rFonts w:cs="Arial"/>
                <w:lang w:val="en-GB"/>
              </w:rPr>
              <w:t>1.4mg/m²</w:t>
            </w:r>
          </w:p>
        </w:tc>
        <w:tc>
          <w:tcPr>
            <w:tcW w:w="2506" w:type="dxa"/>
            <w:noWrap/>
          </w:tcPr>
          <w:p w14:paraId="0BC18678" w14:textId="77777777" w:rsidR="004F1002" w:rsidRPr="00E24C4B" w:rsidRDefault="004F1002" w:rsidP="001007F0">
            <w:pPr>
              <w:tabs>
                <w:tab w:val="left" w:pos="1861"/>
              </w:tabs>
              <w:spacing w:line="276" w:lineRule="auto"/>
              <w:rPr>
                <w:rFonts w:cs="Arial"/>
                <w:lang w:val="en-GB"/>
              </w:rPr>
            </w:pPr>
            <w:r w:rsidRPr="00E24C4B">
              <w:rPr>
                <w:rFonts w:cs="Arial"/>
                <w:lang w:val="en-GB"/>
              </w:rPr>
              <w:t>IV</w:t>
            </w:r>
          </w:p>
        </w:tc>
        <w:tc>
          <w:tcPr>
            <w:tcW w:w="2703" w:type="dxa"/>
            <w:noWrap/>
          </w:tcPr>
          <w:p w14:paraId="1A505F9F" w14:textId="77777777" w:rsidR="004F1002" w:rsidRPr="00E24C4B" w:rsidRDefault="004F1002" w:rsidP="001007F0">
            <w:pPr>
              <w:tabs>
                <w:tab w:val="left" w:pos="1861"/>
              </w:tabs>
              <w:spacing w:line="276" w:lineRule="auto"/>
              <w:rPr>
                <w:rFonts w:cs="Arial"/>
                <w:lang w:val="en-GB"/>
              </w:rPr>
            </w:pPr>
            <w:r w:rsidRPr="00E24C4B">
              <w:rPr>
                <w:rFonts w:cs="Arial"/>
                <w:lang w:val="en-GB"/>
              </w:rPr>
              <w:t>Days 1, 8, 15, 22</w:t>
            </w:r>
          </w:p>
        </w:tc>
      </w:tr>
      <w:tr w:rsidR="00811425" w:rsidRPr="00E24C4B" w14:paraId="0EB501E0" w14:textId="77777777" w:rsidTr="001D38A2">
        <w:trPr>
          <w:trHeight w:val="330"/>
        </w:trPr>
        <w:tc>
          <w:tcPr>
            <w:tcW w:w="3056" w:type="dxa"/>
            <w:vMerge/>
            <w:noWrap/>
          </w:tcPr>
          <w:p w14:paraId="436BFA4A" w14:textId="77777777" w:rsidR="004F1002" w:rsidRPr="00E24C4B" w:rsidRDefault="004F1002" w:rsidP="001007F0">
            <w:pPr>
              <w:tabs>
                <w:tab w:val="left" w:pos="1861"/>
              </w:tabs>
              <w:spacing w:line="276" w:lineRule="auto"/>
              <w:rPr>
                <w:rFonts w:cs="Arial"/>
                <w:lang w:val="en-GB"/>
              </w:rPr>
            </w:pPr>
          </w:p>
        </w:tc>
        <w:tc>
          <w:tcPr>
            <w:tcW w:w="1588" w:type="dxa"/>
            <w:vMerge/>
            <w:noWrap/>
          </w:tcPr>
          <w:p w14:paraId="206DC3D9" w14:textId="77777777" w:rsidR="004F1002" w:rsidRPr="00E24C4B" w:rsidRDefault="004F1002" w:rsidP="001007F0">
            <w:pPr>
              <w:tabs>
                <w:tab w:val="left" w:pos="1861"/>
              </w:tabs>
              <w:spacing w:line="276" w:lineRule="auto"/>
              <w:rPr>
                <w:rFonts w:cs="Arial"/>
                <w:lang w:val="en-GB"/>
              </w:rPr>
            </w:pPr>
          </w:p>
        </w:tc>
        <w:tc>
          <w:tcPr>
            <w:tcW w:w="2339" w:type="dxa"/>
            <w:noWrap/>
          </w:tcPr>
          <w:p w14:paraId="2DFF22F1" w14:textId="77777777" w:rsidR="004F1002" w:rsidRPr="00E24C4B" w:rsidRDefault="004F1002" w:rsidP="001007F0">
            <w:pPr>
              <w:tabs>
                <w:tab w:val="left" w:pos="1861"/>
              </w:tabs>
              <w:spacing w:line="276" w:lineRule="auto"/>
              <w:rPr>
                <w:rFonts w:cs="Arial"/>
                <w:lang w:val="en-GB"/>
              </w:rPr>
            </w:pPr>
            <w:r w:rsidRPr="00E24C4B">
              <w:rPr>
                <w:rFonts w:cs="Arial"/>
                <w:lang w:val="en-GB"/>
              </w:rPr>
              <w:t>Cyclophosphamide</w:t>
            </w:r>
          </w:p>
        </w:tc>
        <w:tc>
          <w:tcPr>
            <w:tcW w:w="2084" w:type="dxa"/>
            <w:noWrap/>
          </w:tcPr>
          <w:p w14:paraId="2FEC397D" w14:textId="77777777" w:rsidR="004F1002" w:rsidRPr="00E24C4B" w:rsidRDefault="004F1002" w:rsidP="001007F0">
            <w:pPr>
              <w:tabs>
                <w:tab w:val="left" w:pos="1861"/>
              </w:tabs>
              <w:spacing w:line="276" w:lineRule="auto"/>
              <w:rPr>
                <w:rFonts w:cs="Arial"/>
                <w:lang w:val="en-GB"/>
              </w:rPr>
            </w:pPr>
            <w:r w:rsidRPr="00E24C4B">
              <w:rPr>
                <w:rFonts w:cs="Arial"/>
                <w:lang w:val="en-GB"/>
              </w:rPr>
              <w:t>650mg/m²</w:t>
            </w:r>
          </w:p>
        </w:tc>
        <w:tc>
          <w:tcPr>
            <w:tcW w:w="2506" w:type="dxa"/>
            <w:noWrap/>
          </w:tcPr>
          <w:p w14:paraId="14664442" w14:textId="77777777" w:rsidR="004F1002" w:rsidRPr="00E24C4B" w:rsidRDefault="004F1002" w:rsidP="001007F0">
            <w:pPr>
              <w:tabs>
                <w:tab w:val="left" w:pos="1861"/>
              </w:tabs>
              <w:spacing w:line="276" w:lineRule="auto"/>
              <w:rPr>
                <w:rFonts w:cs="Arial"/>
                <w:lang w:val="en-GB"/>
              </w:rPr>
            </w:pPr>
            <w:r w:rsidRPr="00E24C4B">
              <w:rPr>
                <w:rFonts w:cs="Arial"/>
                <w:lang w:val="en-GB"/>
              </w:rPr>
              <w:t>IV</w:t>
            </w:r>
          </w:p>
        </w:tc>
        <w:tc>
          <w:tcPr>
            <w:tcW w:w="2703" w:type="dxa"/>
            <w:noWrap/>
          </w:tcPr>
          <w:p w14:paraId="32555545" w14:textId="77777777" w:rsidR="004F1002" w:rsidRPr="00E24C4B" w:rsidRDefault="004F1002" w:rsidP="001007F0">
            <w:pPr>
              <w:tabs>
                <w:tab w:val="left" w:pos="1861"/>
              </w:tabs>
              <w:spacing w:line="276" w:lineRule="auto"/>
              <w:rPr>
                <w:rFonts w:cs="Arial"/>
                <w:lang w:val="en-GB"/>
              </w:rPr>
            </w:pPr>
            <w:r w:rsidRPr="00E24C4B">
              <w:rPr>
                <w:rFonts w:cs="Arial"/>
                <w:lang w:val="en-GB"/>
              </w:rPr>
              <w:t>Day 29</w:t>
            </w:r>
          </w:p>
        </w:tc>
      </w:tr>
      <w:tr w:rsidR="00811425" w:rsidRPr="00E24C4B" w14:paraId="3A7D19C9" w14:textId="77777777" w:rsidTr="001D38A2">
        <w:trPr>
          <w:trHeight w:val="330"/>
        </w:trPr>
        <w:tc>
          <w:tcPr>
            <w:tcW w:w="3056" w:type="dxa"/>
            <w:vMerge/>
            <w:noWrap/>
          </w:tcPr>
          <w:p w14:paraId="51159EA1" w14:textId="77777777" w:rsidR="004F1002" w:rsidRPr="00E24C4B" w:rsidRDefault="004F1002" w:rsidP="001007F0">
            <w:pPr>
              <w:tabs>
                <w:tab w:val="left" w:pos="1861"/>
              </w:tabs>
              <w:spacing w:line="276" w:lineRule="auto"/>
              <w:rPr>
                <w:rFonts w:cs="Arial"/>
                <w:lang w:val="en-GB"/>
              </w:rPr>
            </w:pPr>
          </w:p>
        </w:tc>
        <w:tc>
          <w:tcPr>
            <w:tcW w:w="1588" w:type="dxa"/>
            <w:vMerge/>
            <w:noWrap/>
          </w:tcPr>
          <w:p w14:paraId="45735F6E" w14:textId="77777777" w:rsidR="004F1002" w:rsidRPr="00E24C4B" w:rsidRDefault="004F1002" w:rsidP="001007F0">
            <w:pPr>
              <w:tabs>
                <w:tab w:val="left" w:pos="1861"/>
              </w:tabs>
              <w:spacing w:line="276" w:lineRule="auto"/>
              <w:rPr>
                <w:rFonts w:cs="Arial"/>
                <w:lang w:val="en-GB"/>
              </w:rPr>
            </w:pPr>
          </w:p>
        </w:tc>
        <w:tc>
          <w:tcPr>
            <w:tcW w:w="2339" w:type="dxa"/>
            <w:noWrap/>
          </w:tcPr>
          <w:p w14:paraId="7620C9BD" w14:textId="77777777" w:rsidR="004F1002" w:rsidRPr="00E24C4B" w:rsidRDefault="004F1002" w:rsidP="001007F0">
            <w:pPr>
              <w:tabs>
                <w:tab w:val="left" w:pos="1861"/>
              </w:tabs>
              <w:spacing w:line="276" w:lineRule="auto"/>
              <w:rPr>
                <w:rFonts w:cs="Arial"/>
                <w:lang w:val="en-GB"/>
              </w:rPr>
            </w:pPr>
            <w:r w:rsidRPr="00E24C4B">
              <w:rPr>
                <w:rFonts w:cs="Arial"/>
                <w:lang w:val="en-GB"/>
              </w:rPr>
              <w:t>Cytarabine</w:t>
            </w:r>
          </w:p>
        </w:tc>
        <w:tc>
          <w:tcPr>
            <w:tcW w:w="2084" w:type="dxa"/>
            <w:noWrap/>
          </w:tcPr>
          <w:p w14:paraId="62E83C23" w14:textId="77777777" w:rsidR="004F1002" w:rsidRPr="00E24C4B" w:rsidRDefault="004F1002" w:rsidP="001007F0">
            <w:pPr>
              <w:tabs>
                <w:tab w:val="left" w:pos="1861"/>
              </w:tabs>
              <w:spacing w:line="276" w:lineRule="auto"/>
              <w:rPr>
                <w:rFonts w:cs="Arial"/>
                <w:lang w:val="en-GB"/>
              </w:rPr>
            </w:pPr>
            <w:r w:rsidRPr="00E24C4B">
              <w:rPr>
                <w:rFonts w:cs="Arial"/>
                <w:lang w:val="en-GB"/>
              </w:rPr>
              <w:t>75mg/m²</w:t>
            </w:r>
          </w:p>
        </w:tc>
        <w:tc>
          <w:tcPr>
            <w:tcW w:w="2506" w:type="dxa"/>
            <w:noWrap/>
          </w:tcPr>
          <w:p w14:paraId="0257FAE3" w14:textId="77777777" w:rsidR="004F1002" w:rsidRPr="00E24C4B" w:rsidRDefault="004F1002" w:rsidP="001007F0">
            <w:pPr>
              <w:tabs>
                <w:tab w:val="left" w:pos="1861"/>
              </w:tabs>
              <w:spacing w:line="276" w:lineRule="auto"/>
              <w:rPr>
                <w:rFonts w:cs="Arial"/>
                <w:lang w:val="en-GB"/>
              </w:rPr>
            </w:pPr>
            <w:r w:rsidRPr="00E24C4B">
              <w:rPr>
                <w:rFonts w:cs="Arial"/>
                <w:lang w:val="en-GB"/>
              </w:rPr>
              <w:t>IV or SC</w:t>
            </w:r>
          </w:p>
        </w:tc>
        <w:tc>
          <w:tcPr>
            <w:tcW w:w="2703" w:type="dxa"/>
            <w:noWrap/>
          </w:tcPr>
          <w:p w14:paraId="044086B9" w14:textId="77777777" w:rsidR="004F1002" w:rsidRPr="00E24C4B" w:rsidRDefault="004F1002" w:rsidP="001007F0">
            <w:pPr>
              <w:tabs>
                <w:tab w:val="left" w:pos="1861"/>
              </w:tabs>
              <w:spacing w:line="276" w:lineRule="auto"/>
              <w:rPr>
                <w:rFonts w:cs="Arial"/>
                <w:lang w:val="en-GB"/>
              </w:rPr>
            </w:pPr>
            <w:r w:rsidRPr="00E24C4B">
              <w:rPr>
                <w:rFonts w:cs="Arial"/>
                <w:lang w:val="en-GB"/>
              </w:rPr>
              <w:t>Days 30 - 33, 37 - 40</w:t>
            </w:r>
          </w:p>
        </w:tc>
      </w:tr>
      <w:tr w:rsidR="00811425" w:rsidRPr="00E24C4B" w14:paraId="471C75A5" w14:textId="77777777" w:rsidTr="001D38A2">
        <w:trPr>
          <w:trHeight w:val="330"/>
        </w:trPr>
        <w:tc>
          <w:tcPr>
            <w:tcW w:w="3056" w:type="dxa"/>
            <w:vMerge/>
            <w:noWrap/>
          </w:tcPr>
          <w:p w14:paraId="6C5315CA" w14:textId="77777777" w:rsidR="004F1002" w:rsidRPr="00E24C4B" w:rsidRDefault="004F1002" w:rsidP="001007F0">
            <w:pPr>
              <w:tabs>
                <w:tab w:val="left" w:pos="1861"/>
              </w:tabs>
              <w:spacing w:line="276" w:lineRule="auto"/>
              <w:rPr>
                <w:rFonts w:cs="Arial"/>
                <w:lang w:val="en-GB"/>
              </w:rPr>
            </w:pPr>
          </w:p>
        </w:tc>
        <w:tc>
          <w:tcPr>
            <w:tcW w:w="1588" w:type="dxa"/>
            <w:vMerge/>
            <w:noWrap/>
          </w:tcPr>
          <w:p w14:paraId="4A77D8DF" w14:textId="77777777" w:rsidR="004F1002" w:rsidRPr="00E24C4B" w:rsidRDefault="004F1002" w:rsidP="001007F0">
            <w:pPr>
              <w:tabs>
                <w:tab w:val="left" w:pos="1861"/>
              </w:tabs>
              <w:spacing w:line="276" w:lineRule="auto"/>
              <w:rPr>
                <w:rFonts w:cs="Arial"/>
                <w:lang w:val="en-GB"/>
              </w:rPr>
            </w:pPr>
          </w:p>
        </w:tc>
        <w:tc>
          <w:tcPr>
            <w:tcW w:w="2339" w:type="dxa"/>
            <w:noWrap/>
          </w:tcPr>
          <w:p w14:paraId="72C7D1D4" w14:textId="77777777" w:rsidR="004F1002" w:rsidRPr="00E24C4B" w:rsidRDefault="004F1002" w:rsidP="001007F0">
            <w:pPr>
              <w:tabs>
                <w:tab w:val="left" w:pos="1861"/>
              </w:tabs>
              <w:spacing w:line="276" w:lineRule="auto"/>
              <w:rPr>
                <w:rFonts w:cs="Arial"/>
                <w:lang w:val="en-GB"/>
              </w:rPr>
            </w:pPr>
            <w:r w:rsidRPr="00E24C4B">
              <w:rPr>
                <w:rFonts w:cs="Arial"/>
                <w:lang w:val="en-GB"/>
              </w:rPr>
              <w:t>Mercaptopurine</w:t>
            </w:r>
          </w:p>
        </w:tc>
        <w:tc>
          <w:tcPr>
            <w:tcW w:w="2084" w:type="dxa"/>
            <w:noWrap/>
          </w:tcPr>
          <w:p w14:paraId="76C9A4A7" w14:textId="77777777" w:rsidR="004F1002" w:rsidRPr="00E24C4B" w:rsidRDefault="004F1002" w:rsidP="001007F0">
            <w:pPr>
              <w:tabs>
                <w:tab w:val="left" w:pos="1861"/>
              </w:tabs>
              <w:spacing w:line="276" w:lineRule="auto"/>
              <w:rPr>
                <w:rFonts w:cs="Arial"/>
                <w:lang w:val="en-GB"/>
              </w:rPr>
            </w:pPr>
            <w:r w:rsidRPr="00E24C4B">
              <w:rPr>
                <w:rFonts w:cs="Arial"/>
                <w:lang w:val="en-GB"/>
              </w:rPr>
              <w:t>60mg/m²</w:t>
            </w:r>
          </w:p>
        </w:tc>
        <w:tc>
          <w:tcPr>
            <w:tcW w:w="2506" w:type="dxa"/>
            <w:noWrap/>
          </w:tcPr>
          <w:p w14:paraId="30BE9793" w14:textId="77777777" w:rsidR="004F1002" w:rsidRPr="00E24C4B" w:rsidRDefault="004F1002" w:rsidP="001007F0">
            <w:pPr>
              <w:tabs>
                <w:tab w:val="left" w:pos="1861"/>
              </w:tabs>
              <w:spacing w:line="276" w:lineRule="auto"/>
              <w:rPr>
                <w:rFonts w:cs="Arial"/>
                <w:lang w:val="en-GB"/>
              </w:rPr>
            </w:pPr>
            <w:r w:rsidRPr="00E24C4B">
              <w:rPr>
                <w:rFonts w:cs="Arial"/>
                <w:lang w:val="en-GB"/>
              </w:rPr>
              <w:t>PO</w:t>
            </w:r>
          </w:p>
        </w:tc>
        <w:tc>
          <w:tcPr>
            <w:tcW w:w="2703" w:type="dxa"/>
            <w:noWrap/>
          </w:tcPr>
          <w:p w14:paraId="1AC9B474" w14:textId="77777777" w:rsidR="004F1002" w:rsidRPr="00E24C4B" w:rsidRDefault="004F1002" w:rsidP="001007F0">
            <w:pPr>
              <w:tabs>
                <w:tab w:val="left" w:pos="1861"/>
              </w:tabs>
              <w:spacing w:line="276" w:lineRule="auto"/>
              <w:rPr>
                <w:rFonts w:cs="Arial"/>
                <w:lang w:val="en-GB"/>
              </w:rPr>
            </w:pPr>
            <w:r w:rsidRPr="00E24C4B">
              <w:rPr>
                <w:rFonts w:cs="Arial"/>
                <w:lang w:val="en-GB"/>
              </w:rPr>
              <w:t>Days 29 - 42</w:t>
            </w:r>
          </w:p>
        </w:tc>
      </w:tr>
      <w:tr w:rsidR="00811425" w:rsidRPr="00E24C4B" w14:paraId="681BF039" w14:textId="77777777" w:rsidTr="001D38A2">
        <w:trPr>
          <w:trHeight w:val="330"/>
        </w:trPr>
        <w:tc>
          <w:tcPr>
            <w:tcW w:w="3056" w:type="dxa"/>
            <w:vMerge/>
            <w:noWrap/>
          </w:tcPr>
          <w:p w14:paraId="29DA1AED" w14:textId="77777777" w:rsidR="004F1002" w:rsidRPr="00E24C4B" w:rsidRDefault="004F1002" w:rsidP="001007F0">
            <w:pPr>
              <w:tabs>
                <w:tab w:val="left" w:pos="1861"/>
              </w:tabs>
              <w:spacing w:line="276" w:lineRule="auto"/>
              <w:rPr>
                <w:rFonts w:cs="Arial"/>
                <w:lang w:val="en-GB"/>
              </w:rPr>
            </w:pPr>
          </w:p>
        </w:tc>
        <w:tc>
          <w:tcPr>
            <w:tcW w:w="1588" w:type="dxa"/>
            <w:vMerge/>
            <w:noWrap/>
          </w:tcPr>
          <w:p w14:paraId="2F47C3BA" w14:textId="77777777" w:rsidR="004F1002" w:rsidRPr="00E24C4B" w:rsidRDefault="004F1002" w:rsidP="001007F0">
            <w:pPr>
              <w:tabs>
                <w:tab w:val="left" w:pos="1861"/>
              </w:tabs>
              <w:spacing w:line="276" w:lineRule="auto"/>
              <w:rPr>
                <w:rFonts w:cs="Arial"/>
                <w:lang w:val="en-GB"/>
              </w:rPr>
            </w:pPr>
          </w:p>
        </w:tc>
        <w:tc>
          <w:tcPr>
            <w:tcW w:w="2339" w:type="dxa"/>
            <w:noWrap/>
          </w:tcPr>
          <w:p w14:paraId="6F2C70F0" w14:textId="77777777" w:rsidR="004F1002" w:rsidRPr="00E24C4B" w:rsidRDefault="004F1002" w:rsidP="001007F0">
            <w:pPr>
              <w:tabs>
                <w:tab w:val="left" w:pos="1861"/>
              </w:tabs>
              <w:spacing w:line="276" w:lineRule="auto"/>
              <w:rPr>
                <w:rFonts w:cs="Arial"/>
                <w:lang w:val="en-GB"/>
              </w:rPr>
            </w:pPr>
            <w:r w:rsidRPr="00E24C4B">
              <w:rPr>
                <w:rFonts w:cs="Arial"/>
                <w:lang w:val="en-GB"/>
              </w:rPr>
              <w:t xml:space="preserve">Methotrexate </w:t>
            </w:r>
          </w:p>
        </w:tc>
        <w:tc>
          <w:tcPr>
            <w:tcW w:w="2084" w:type="dxa"/>
            <w:noWrap/>
          </w:tcPr>
          <w:p w14:paraId="16F59423" w14:textId="77777777" w:rsidR="004F1002" w:rsidRPr="00E24C4B" w:rsidRDefault="004F1002" w:rsidP="001007F0">
            <w:pPr>
              <w:tabs>
                <w:tab w:val="left" w:pos="1861"/>
              </w:tabs>
              <w:spacing w:line="276" w:lineRule="auto"/>
              <w:rPr>
                <w:rFonts w:cs="Arial"/>
                <w:lang w:val="en-GB"/>
              </w:rPr>
            </w:pPr>
            <w:r w:rsidRPr="00E24C4B">
              <w:rPr>
                <w:rFonts w:cs="Arial"/>
                <w:lang w:val="en-GB"/>
              </w:rPr>
              <w:t>12.5mg</w:t>
            </w:r>
          </w:p>
        </w:tc>
        <w:tc>
          <w:tcPr>
            <w:tcW w:w="2506" w:type="dxa"/>
            <w:noWrap/>
          </w:tcPr>
          <w:p w14:paraId="6640BA62" w14:textId="77777777" w:rsidR="004F1002" w:rsidRPr="00E24C4B" w:rsidRDefault="004F1002" w:rsidP="001007F0">
            <w:pPr>
              <w:tabs>
                <w:tab w:val="left" w:pos="1861"/>
              </w:tabs>
              <w:spacing w:line="276" w:lineRule="auto"/>
              <w:rPr>
                <w:rFonts w:cs="Arial"/>
                <w:lang w:val="en-GB"/>
              </w:rPr>
            </w:pPr>
            <w:r w:rsidRPr="00E24C4B">
              <w:rPr>
                <w:rFonts w:cs="Arial"/>
                <w:lang w:val="en-GB"/>
              </w:rPr>
              <w:t>IT</w:t>
            </w:r>
          </w:p>
        </w:tc>
        <w:tc>
          <w:tcPr>
            <w:tcW w:w="2703" w:type="dxa"/>
            <w:noWrap/>
          </w:tcPr>
          <w:p w14:paraId="5C3B403B" w14:textId="77777777" w:rsidR="004F1002" w:rsidRPr="00E24C4B" w:rsidRDefault="004F1002" w:rsidP="001007F0">
            <w:pPr>
              <w:tabs>
                <w:tab w:val="left" w:pos="1861"/>
              </w:tabs>
              <w:spacing w:line="276" w:lineRule="auto"/>
              <w:rPr>
                <w:rFonts w:cs="Arial"/>
                <w:lang w:val="en-GB"/>
              </w:rPr>
            </w:pPr>
            <w:r w:rsidRPr="00E24C4B">
              <w:rPr>
                <w:rFonts w:cs="Arial"/>
                <w:lang w:val="en-GB"/>
              </w:rPr>
              <w:t>Day 2</w:t>
            </w:r>
          </w:p>
        </w:tc>
      </w:tr>
      <w:tr w:rsidR="00811425" w:rsidRPr="00E24C4B" w14:paraId="41D41D3A" w14:textId="77777777" w:rsidTr="001D38A2">
        <w:trPr>
          <w:trHeight w:val="330"/>
        </w:trPr>
        <w:tc>
          <w:tcPr>
            <w:tcW w:w="3056" w:type="dxa"/>
            <w:vMerge/>
            <w:noWrap/>
          </w:tcPr>
          <w:p w14:paraId="12DB9DEA" w14:textId="77777777" w:rsidR="004F1002" w:rsidRPr="00E24C4B" w:rsidRDefault="004F1002" w:rsidP="001007F0">
            <w:pPr>
              <w:tabs>
                <w:tab w:val="left" w:pos="1861"/>
              </w:tabs>
              <w:spacing w:line="276" w:lineRule="auto"/>
              <w:rPr>
                <w:rFonts w:cs="Arial"/>
                <w:lang w:val="en-GB"/>
              </w:rPr>
            </w:pPr>
          </w:p>
        </w:tc>
        <w:tc>
          <w:tcPr>
            <w:tcW w:w="1588" w:type="dxa"/>
            <w:vMerge/>
            <w:noWrap/>
          </w:tcPr>
          <w:p w14:paraId="0E45E05E" w14:textId="77777777" w:rsidR="004F1002" w:rsidRPr="00E24C4B" w:rsidRDefault="004F1002" w:rsidP="001007F0">
            <w:pPr>
              <w:tabs>
                <w:tab w:val="left" w:pos="1861"/>
              </w:tabs>
              <w:spacing w:line="276" w:lineRule="auto"/>
              <w:rPr>
                <w:rFonts w:cs="Arial"/>
                <w:lang w:val="en-GB"/>
              </w:rPr>
            </w:pPr>
          </w:p>
        </w:tc>
        <w:tc>
          <w:tcPr>
            <w:tcW w:w="2339" w:type="dxa"/>
            <w:noWrap/>
          </w:tcPr>
          <w:p w14:paraId="29BD3F21" w14:textId="77777777" w:rsidR="004F1002" w:rsidRPr="00E24C4B" w:rsidRDefault="004F1002" w:rsidP="001007F0">
            <w:pPr>
              <w:tabs>
                <w:tab w:val="left" w:pos="1861"/>
              </w:tabs>
              <w:spacing w:line="276" w:lineRule="auto"/>
              <w:rPr>
                <w:rFonts w:cs="Arial"/>
                <w:lang w:val="en-GB"/>
              </w:rPr>
            </w:pPr>
            <w:r w:rsidRPr="00E24C4B">
              <w:rPr>
                <w:rFonts w:cs="Arial"/>
                <w:lang w:val="en-GB"/>
              </w:rPr>
              <w:t>Dexamethasone</w:t>
            </w:r>
          </w:p>
        </w:tc>
        <w:tc>
          <w:tcPr>
            <w:tcW w:w="2084" w:type="dxa"/>
            <w:noWrap/>
          </w:tcPr>
          <w:p w14:paraId="5C2BABAE" w14:textId="77777777" w:rsidR="004F1002" w:rsidRPr="00E24C4B" w:rsidRDefault="004F1002" w:rsidP="001007F0">
            <w:pPr>
              <w:tabs>
                <w:tab w:val="left" w:pos="1861"/>
              </w:tabs>
              <w:spacing w:line="276" w:lineRule="auto"/>
              <w:rPr>
                <w:rFonts w:cs="Arial"/>
                <w:lang w:val="en-GB"/>
              </w:rPr>
            </w:pPr>
            <w:r w:rsidRPr="00E24C4B">
              <w:rPr>
                <w:rFonts w:cs="Arial"/>
                <w:lang w:val="en-GB"/>
              </w:rPr>
              <w:t>10mg/m²</w:t>
            </w:r>
          </w:p>
        </w:tc>
        <w:tc>
          <w:tcPr>
            <w:tcW w:w="2506" w:type="dxa"/>
            <w:noWrap/>
          </w:tcPr>
          <w:p w14:paraId="1266121F" w14:textId="77777777" w:rsidR="004F1002" w:rsidRPr="00E24C4B" w:rsidRDefault="004F1002" w:rsidP="001007F0">
            <w:pPr>
              <w:tabs>
                <w:tab w:val="left" w:pos="1861"/>
              </w:tabs>
              <w:spacing w:line="276" w:lineRule="auto"/>
              <w:rPr>
                <w:rFonts w:cs="Arial"/>
                <w:lang w:val="en-GB"/>
              </w:rPr>
            </w:pPr>
            <w:r w:rsidRPr="00E24C4B">
              <w:rPr>
                <w:rFonts w:cs="Arial"/>
                <w:lang w:val="en-GB"/>
              </w:rPr>
              <w:t>PO</w:t>
            </w:r>
          </w:p>
        </w:tc>
        <w:tc>
          <w:tcPr>
            <w:tcW w:w="2703" w:type="dxa"/>
            <w:noWrap/>
          </w:tcPr>
          <w:p w14:paraId="70D1F5EB" w14:textId="77777777" w:rsidR="004F1002" w:rsidRPr="00E24C4B" w:rsidRDefault="004F1002" w:rsidP="001007F0">
            <w:pPr>
              <w:tabs>
                <w:tab w:val="left" w:pos="1861"/>
              </w:tabs>
              <w:spacing w:line="276" w:lineRule="auto"/>
              <w:rPr>
                <w:rFonts w:cs="Arial"/>
                <w:lang w:val="en-GB"/>
              </w:rPr>
            </w:pPr>
            <w:r w:rsidRPr="00E24C4B">
              <w:rPr>
                <w:rFonts w:cs="Arial"/>
                <w:lang w:val="en-GB"/>
              </w:rPr>
              <w:t>Days 1 - 7, 15 - 21</w:t>
            </w:r>
          </w:p>
        </w:tc>
      </w:tr>
      <w:tr w:rsidR="00811425" w:rsidRPr="00E24C4B" w14:paraId="3D6488C6" w14:textId="77777777" w:rsidTr="001D38A2">
        <w:trPr>
          <w:trHeight w:val="330"/>
        </w:trPr>
        <w:tc>
          <w:tcPr>
            <w:tcW w:w="3056" w:type="dxa"/>
            <w:vMerge w:val="restart"/>
            <w:noWrap/>
          </w:tcPr>
          <w:p w14:paraId="0172006F" w14:textId="77777777" w:rsidR="004F1002" w:rsidRPr="00E24C4B" w:rsidRDefault="004F1002" w:rsidP="001007F0">
            <w:pPr>
              <w:tabs>
                <w:tab w:val="left" w:pos="1861"/>
              </w:tabs>
              <w:spacing w:line="276" w:lineRule="auto"/>
              <w:rPr>
                <w:rFonts w:cs="Arial"/>
                <w:lang w:val="en-GB"/>
              </w:rPr>
            </w:pPr>
            <w:r w:rsidRPr="00E24C4B">
              <w:rPr>
                <w:rFonts w:cs="Arial"/>
                <w:lang w:val="en-GB"/>
              </w:rPr>
              <w:t>Consolidation Cycle 4</w:t>
            </w:r>
          </w:p>
        </w:tc>
        <w:tc>
          <w:tcPr>
            <w:tcW w:w="1588" w:type="dxa"/>
            <w:vMerge w:val="restart"/>
            <w:noWrap/>
          </w:tcPr>
          <w:p w14:paraId="0D8744F2" w14:textId="77777777" w:rsidR="004F1002" w:rsidRPr="00E24C4B" w:rsidRDefault="004F1002" w:rsidP="001007F0">
            <w:pPr>
              <w:tabs>
                <w:tab w:val="left" w:pos="1861"/>
              </w:tabs>
              <w:spacing w:line="276" w:lineRule="auto"/>
              <w:rPr>
                <w:rFonts w:cs="Arial"/>
                <w:lang w:val="en-GB"/>
              </w:rPr>
            </w:pPr>
            <w:r w:rsidRPr="00E24C4B">
              <w:rPr>
                <w:rFonts w:cs="Arial"/>
                <w:lang w:val="en-GB"/>
              </w:rPr>
              <w:t>28 days</w:t>
            </w:r>
          </w:p>
        </w:tc>
        <w:tc>
          <w:tcPr>
            <w:tcW w:w="2339" w:type="dxa"/>
            <w:noWrap/>
          </w:tcPr>
          <w:p w14:paraId="196CA83F" w14:textId="77777777" w:rsidR="004F1002" w:rsidRPr="00E24C4B" w:rsidRDefault="004F1002" w:rsidP="001007F0">
            <w:pPr>
              <w:tabs>
                <w:tab w:val="left" w:pos="1861"/>
              </w:tabs>
              <w:spacing w:line="276" w:lineRule="auto"/>
              <w:rPr>
                <w:rFonts w:cs="Arial"/>
                <w:lang w:val="en-GB"/>
              </w:rPr>
            </w:pPr>
            <w:r w:rsidRPr="00E24C4B">
              <w:rPr>
                <w:rFonts w:cs="Arial"/>
                <w:lang w:val="en-GB"/>
              </w:rPr>
              <w:t>Cytarabine</w:t>
            </w:r>
          </w:p>
        </w:tc>
        <w:tc>
          <w:tcPr>
            <w:tcW w:w="2084" w:type="dxa"/>
            <w:noWrap/>
          </w:tcPr>
          <w:p w14:paraId="787F3DEE" w14:textId="77777777" w:rsidR="004F1002" w:rsidRPr="00E24C4B" w:rsidRDefault="004F1002" w:rsidP="001007F0">
            <w:pPr>
              <w:tabs>
                <w:tab w:val="left" w:pos="1861"/>
              </w:tabs>
              <w:spacing w:line="276" w:lineRule="auto"/>
              <w:rPr>
                <w:rFonts w:cs="Arial"/>
                <w:lang w:val="en-GB"/>
              </w:rPr>
            </w:pPr>
            <w:r w:rsidRPr="00E24C4B">
              <w:rPr>
                <w:rFonts w:cs="Arial"/>
                <w:lang w:val="en-GB"/>
              </w:rPr>
              <w:t>75mg/m²</w:t>
            </w:r>
          </w:p>
        </w:tc>
        <w:tc>
          <w:tcPr>
            <w:tcW w:w="2506" w:type="dxa"/>
            <w:noWrap/>
          </w:tcPr>
          <w:p w14:paraId="4477CF21" w14:textId="77777777" w:rsidR="004F1002" w:rsidRPr="00E24C4B" w:rsidRDefault="004F1002" w:rsidP="001007F0">
            <w:pPr>
              <w:tabs>
                <w:tab w:val="left" w:pos="1861"/>
              </w:tabs>
              <w:spacing w:line="276" w:lineRule="auto"/>
              <w:rPr>
                <w:rFonts w:cs="Arial"/>
                <w:lang w:val="en-GB"/>
              </w:rPr>
            </w:pPr>
            <w:r w:rsidRPr="00E24C4B">
              <w:rPr>
                <w:rFonts w:cs="Arial"/>
                <w:lang w:val="en-GB"/>
              </w:rPr>
              <w:t>IV or SC</w:t>
            </w:r>
          </w:p>
        </w:tc>
        <w:tc>
          <w:tcPr>
            <w:tcW w:w="2703" w:type="dxa"/>
            <w:noWrap/>
          </w:tcPr>
          <w:p w14:paraId="43520A5E" w14:textId="77777777" w:rsidR="004F1002" w:rsidRPr="00E24C4B" w:rsidRDefault="004F1002" w:rsidP="001007F0">
            <w:pPr>
              <w:tabs>
                <w:tab w:val="left" w:pos="1861"/>
              </w:tabs>
              <w:spacing w:line="276" w:lineRule="auto"/>
              <w:rPr>
                <w:rFonts w:cs="Arial"/>
                <w:lang w:val="en-GB"/>
              </w:rPr>
            </w:pPr>
            <w:r w:rsidRPr="00E24C4B">
              <w:rPr>
                <w:rFonts w:cs="Arial"/>
                <w:lang w:val="en-GB"/>
              </w:rPr>
              <w:t>Day 1 - 5</w:t>
            </w:r>
          </w:p>
        </w:tc>
      </w:tr>
      <w:tr w:rsidR="00811425" w:rsidRPr="00E24C4B" w14:paraId="5F38047D" w14:textId="77777777" w:rsidTr="001D38A2">
        <w:trPr>
          <w:trHeight w:val="330"/>
        </w:trPr>
        <w:tc>
          <w:tcPr>
            <w:tcW w:w="3056" w:type="dxa"/>
            <w:vMerge/>
            <w:noWrap/>
          </w:tcPr>
          <w:p w14:paraId="54DFD87D" w14:textId="77777777" w:rsidR="004F1002" w:rsidRPr="00E24C4B" w:rsidRDefault="004F1002" w:rsidP="001007F0">
            <w:pPr>
              <w:tabs>
                <w:tab w:val="left" w:pos="1861"/>
              </w:tabs>
              <w:spacing w:line="276" w:lineRule="auto"/>
              <w:rPr>
                <w:rFonts w:cs="Arial"/>
                <w:lang w:val="en-GB"/>
              </w:rPr>
            </w:pPr>
          </w:p>
        </w:tc>
        <w:tc>
          <w:tcPr>
            <w:tcW w:w="1588" w:type="dxa"/>
            <w:vMerge/>
            <w:noWrap/>
          </w:tcPr>
          <w:p w14:paraId="2A8114F8" w14:textId="77777777" w:rsidR="004F1002" w:rsidRPr="00E24C4B" w:rsidRDefault="004F1002" w:rsidP="001007F0">
            <w:pPr>
              <w:tabs>
                <w:tab w:val="left" w:pos="1861"/>
              </w:tabs>
              <w:spacing w:line="276" w:lineRule="auto"/>
              <w:rPr>
                <w:rFonts w:cs="Arial"/>
                <w:lang w:val="en-GB"/>
              </w:rPr>
            </w:pPr>
          </w:p>
        </w:tc>
        <w:tc>
          <w:tcPr>
            <w:tcW w:w="2339" w:type="dxa"/>
            <w:noWrap/>
          </w:tcPr>
          <w:p w14:paraId="350E349A" w14:textId="77777777" w:rsidR="004F1002" w:rsidRPr="00E24C4B" w:rsidRDefault="004F1002" w:rsidP="001007F0">
            <w:pPr>
              <w:tabs>
                <w:tab w:val="left" w:pos="1861"/>
              </w:tabs>
              <w:spacing w:line="276" w:lineRule="auto"/>
              <w:rPr>
                <w:rFonts w:cs="Arial"/>
                <w:lang w:val="en-GB"/>
              </w:rPr>
            </w:pPr>
            <w:r w:rsidRPr="00E24C4B">
              <w:rPr>
                <w:rFonts w:cs="Arial"/>
                <w:lang w:val="en-GB"/>
              </w:rPr>
              <w:t>Etoposide</w:t>
            </w:r>
          </w:p>
        </w:tc>
        <w:tc>
          <w:tcPr>
            <w:tcW w:w="2084" w:type="dxa"/>
            <w:noWrap/>
          </w:tcPr>
          <w:p w14:paraId="7D04CEDC" w14:textId="77777777" w:rsidR="004F1002" w:rsidRPr="00E24C4B" w:rsidRDefault="004F1002" w:rsidP="001007F0">
            <w:pPr>
              <w:tabs>
                <w:tab w:val="left" w:pos="1861"/>
              </w:tabs>
              <w:spacing w:line="276" w:lineRule="auto"/>
              <w:rPr>
                <w:rFonts w:cs="Arial"/>
                <w:lang w:val="en-GB"/>
              </w:rPr>
            </w:pPr>
            <w:r w:rsidRPr="00E24C4B">
              <w:rPr>
                <w:rFonts w:cs="Arial"/>
                <w:lang w:val="en-GB"/>
              </w:rPr>
              <w:t>100mg/m²</w:t>
            </w:r>
          </w:p>
        </w:tc>
        <w:tc>
          <w:tcPr>
            <w:tcW w:w="2506" w:type="dxa"/>
            <w:noWrap/>
          </w:tcPr>
          <w:p w14:paraId="3C80C2BC" w14:textId="77777777" w:rsidR="004F1002" w:rsidRPr="00E24C4B" w:rsidRDefault="004F1002" w:rsidP="001007F0">
            <w:pPr>
              <w:tabs>
                <w:tab w:val="left" w:pos="1861"/>
              </w:tabs>
              <w:spacing w:line="276" w:lineRule="auto"/>
              <w:rPr>
                <w:rFonts w:cs="Arial"/>
                <w:lang w:val="en-GB"/>
              </w:rPr>
            </w:pPr>
            <w:r w:rsidRPr="00E24C4B">
              <w:rPr>
                <w:rFonts w:cs="Arial"/>
                <w:lang w:val="en-GB"/>
              </w:rPr>
              <w:t>IV</w:t>
            </w:r>
          </w:p>
        </w:tc>
        <w:tc>
          <w:tcPr>
            <w:tcW w:w="2703" w:type="dxa"/>
            <w:noWrap/>
          </w:tcPr>
          <w:p w14:paraId="32BB8708" w14:textId="77777777" w:rsidR="004F1002" w:rsidRPr="00E24C4B" w:rsidRDefault="004F1002" w:rsidP="001007F0">
            <w:pPr>
              <w:tabs>
                <w:tab w:val="left" w:pos="1861"/>
              </w:tabs>
              <w:spacing w:line="276" w:lineRule="auto"/>
              <w:rPr>
                <w:rFonts w:cs="Arial"/>
                <w:lang w:val="en-GB"/>
              </w:rPr>
            </w:pPr>
            <w:r w:rsidRPr="00E24C4B">
              <w:rPr>
                <w:rFonts w:cs="Arial"/>
                <w:lang w:val="en-GB"/>
              </w:rPr>
              <w:t>Day 1 - 5</w:t>
            </w:r>
          </w:p>
        </w:tc>
      </w:tr>
      <w:tr w:rsidR="00811425" w:rsidRPr="00E24C4B" w14:paraId="0925A617" w14:textId="77777777" w:rsidTr="001D38A2">
        <w:trPr>
          <w:trHeight w:val="330"/>
        </w:trPr>
        <w:tc>
          <w:tcPr>
            <w:tcW w:w="3056" w:type="dxa"/>
            <w:vMerge/>
            <w:noWrap/>
          </w:tcPr>
          <w:p w14:paraId="03110D4D" w14:textId="77777777" w:rsidR="004F1002" w:rsidRPr="00E24C4B" w:rsidRDefault="004F1002" w:rsidP="001007F0">
            <w:pPr>
              <w:tabs>
                <w:tab w:val="left" w:pos="1861"/>
              </w:tabs>
              <w:spacing w:line="276" w:lineRule="auto"/>
              <w:rPr>
                <w:rFonts w:cs="Arial"/>
                <w:lang w:val="en-GB"/>
              </w:rPr>
            </w:pPr>
          </w:p>
        </w:tc>
        <w:tc>
          <w:tcPr>
            <w:tcW w:w="1588" w:type="dxa"/>
            <w:vMerge/>
            <w:noWrap/>
          </w:tcPr>
          <w:p w14:paraId="4037E6F0" w14:textId="77777777" w:rsidR="004F1002" w:rsidRPr="00E24C4B" w:rsidRDefault="004F1002" w:rsidP="001007F0">
            <w:pPr>
              <w:tabs>
                <w:tab w:val="left" w:pos="1861"/>
              </w:tabs>
              <w:spacing w:line="276" w:lineRule="auto"/>
              <w:rPr>
                <w:rFonts w:cs="Arial"/>
                <w:lang w:val="en-GB"/>
              </w:rPr>
            </w:pPr>
          </w:p>
        </w:tc>
        <w:tc>
          <w:tcPr>
            <w:tcW w:w="2339" w:type="dxa"/>
            <w:noWrap/>
          </w:tcPr>
          <w:p w14:paraId="3BA36639" w14:textId="77777777" w:rsidR="004F1002" w:rsidRPr="00E24C4B" w:rsidRDefault="004F1002" w:rsidP="001007F0">
            <w:pPr>
              <w:tabs>
                <w:tab w:val="left" w:pos="1861"/>
              </w:tabs>
              <w:spacing w:line="276" w:lineRule="auto"/>
              <w:rPr>
                <w:rFonts w:cs="Arial"/>
                <w:lang w:val="en-GB"/>
              </w:rPr>
            </w:pPr>
            <w:r w:rsidRPr="00E24C4B">
              <w:rPr>
                <w:rFonts w:cs="Arial"/>
                <w:lang w:val="en-GB"/>
              </w:rPr>
              <w:t>Methotrexate</w:t>
            </w:r>
          </w:p>
        </w:tc>
        <w:tc>
          <w:tcPr>
            <w:tcW w:w="2084" w:type="dxa"/>
            <w:noWrap/>
          </w:tcPr>
          <w:p w14:paraId="06956BCE" w14:textId="77777777" w:rsidR="004F1002" w:rsidRPr="00E24C4B" w:rsidRDefault="004F1002" w:rsidP="001007F0">
            <w:pPr>
              <w:tabs>
                <w:tab w:val="left" w:pos="1861"/>
              </w:tabs>
              <w:spacing w:line="276" w:lineRule="auto"/>
              <w:rPr>
                <w:rFonts w:cs="Arial"/>
                <w:lang w:val="en-GB"/>
              </w:rPr>
            </w:pPr>
            <w:r w:rsidRPr="00E24C4B">
              <w:rPr>
                <w:rFonts w:cs="Arial"/>
                <w:lang w:val="en-GB"/>
              </w:rPr>
              <w:t>12.5mg</w:t>
            </w:r>
          </w:p>
        </w:tc>
        <w:tc>
          <w:tcPr>
            <w:tcW w:w="2506" w:type="dxa"/>
            <w:noWrap/>
          </w:tcPr>
          <w:p w14:paraId="2D55822C" w14:textId="77777777" w:rsidR="004F1002" w:rsidRPr="00E24C4B" w:rsidRDefault="004F1002" w:rsidP="001007F0">
            <w:pPr>
              <w:tabs>
                <w:tab w:val="left" w:pos="1861"/>
              </w:tabs>
              <w:spacing w:line="276" w:lineRule="auto"/>
              <w:rPr>
                <w:rFonts w:cs="Arial"/>
                <w:lang w:val="en-GB"/>
              </w:rPr>
            </w:pPr>
            <w:r w:rsidRPr="00E24C4B">
              <w:rPr>
                <w:rFonts w:cs="Arial"/>
                <w:lang w:val="en-GB"/>
              </w:rPr>
              <w:t>IT</w:t>
            </w:r>
          </w:p>
        </w:tc>
        <w:tc>
          <w:tcPr>
            <w:tcW w:w="2703" w:type="dxa"/>
            <w:noWrap/>
          </w:tcPr>
          <w:p w14:paraId="446F9EA3" w14:textId="77777777" w:rsidR="004F1002" w:rsidRPr="00E24C4B" w:rsidRDefault="004F1002" w:rsidP="001007F0">
            <w:pPr>
              <w:tabs>
                <w:tab w:val="left" w:pos="1861"/>
              </w:tabs>
              <w:spacing w:line="276" w:lineRule="auto"/>
              <w:rPr>
                <w:rFonts w:cs="Arial"/>
                <w:lang w:val="en-GB"/>
              </w:rPr>
            </w:pPr>
            <w:r w:rsidRPr="00E24C4B">
              <w:rPr>
                <w:rFonts w:cs="Arial"/>
                <w:lang w:val="en-GB"/>
              </w:rPr>
              <w:t>Day 1</w:t>
            </w:r>
          </w:p>
        </w:tc>
      </w:tr>
      <w:tr w:rsidR="00811425" w:rsidRPr="00E24C4B" w14:paraId="290A4B09" w14:textId="77777777" w:rsidTr="001007F0">
        <w:trPr>
          <w:trHeight w:val="330"/>
        </w:trPr>
        <w:tc>
          <w:tcPr>
            <w:tcW w:w="14276" w:type="dxa"/>
            <w:gridSpan w:val="6"/>
            <w:shd w:val="clear" w:color="auto" w:fill="BFBFBF" w:themeFill="background1" w:themeFillShade="BF"/>
            <w:noWrap/>
          </w:tcPr>
          <w:p w14:paraId="04616FCA" w14:textId="77777777" w:rsidR="004F1002" w:rsidRPr="00E24C4B" w:rsidRDefault="004F1002" w:rsidP="001007F0">
            <w:pPr>
              <w:tabs>
                <w:tab w:val="left" w:pos="1861"/>
              </w:tabs>
              <w:spacing w:line="276" w:lineRule="auto"/>
              <w:rPr>
                <w:rFonts w:cs="Arial"/>
                <w:lang w:val="en-GB"/>
              </w:rPr>
            </w:pPr>
            <w:r w:rsidRPr="00E24C4B">
              <w:rPr>
                <w:rFonts w:cs="Arial"/>
                <w:b/>
                <w:bCs/>
                <w:lang w:val="en-GB"/>
              </w:rPr>
              <w:t>Maintenance therapy</w:t>
            </w:r>
          </w:p>
        </w:tc>
      </w:tr>
      <w:tr w:rsidR="00811425" w:rsidRPr="00E24C4B" w14:paraId="5584DC4C" w14:textId="77777777" w:rsidTr="001D38A2">
        <w:trPr>
          <w:trHeight w:val="330"/>
        </w:trPr>
        <w:tc>
          <w:tcPr>
            <w:tcW w:w="3056" w:type="dxa"/>
            <w:vMerge w:val="restart"/>
            <w:noWrap/>
          </w:tcPr>
          <w:p w14:paraId="0AED6A05" w14:textId="77777777" w:rsidR="004F1002" w:rsidRPr="00E24C4B" w:rsidRDefault="004F1002" w:rsidP="001007F0">
            <w:pPr>
              <w:tabs>
                <w:tab w:val="left" w:pos="1861"/>
              </w:tabs>
              <w:spacing w:line="276" w:lineRule="auto"/>
              <w:rPr>
                <w:rFonts w:cs="Arial"/>
                <w:lang w:val="en-GB"/>
              </w:rPr>
            </w:pPr>
            <w:r w:rsidRPr="00E24C4B">
              <w:rPr>
                <w:rFonts w:cs="Arial"/>
                <w:lang w:val="en-GB"/>
              </w:rPr>
              <w:t>NA</w:t>
            </w:r>
          </w:p>
        </w:tc>
        <w:tc>
          <w:tcPr>
            <w:tcW w:w="1588" w:type="dxa"/>
            <w:vMerge w:val="restart"/>
            <w:noWrap/>
          </w:tcPr>
          <w:p w14:paraId="5108FBCF" w14:textId="77777777" w:rsidR="004F1002" w:rsidRPr="00E24C4B" w:rsidRDefault="004F1002" w:rsidP="001007F0">
            <w:pPr>
              <w:tabs>
                <w:tab w:val="left" w:pos="1861"/>
              </w:tabs>
              <w:spacing w:line="276" w:lineRule="auto"/>
              <w:rPr>
                <w:rFonts w:cs="Arial"/>
                <w:lang w:val="en-GB"/>
              </w:rPr>
            </w:pPr>
            <w:r w:rsidRPr="00E24C4B">
              <w:rPr>
                <w:rFonts w:cs="Arial"/>
                <w:lang w:val="en-GB"/>
              </w:rPr>
              <w:t>NA</w:t>
            </w:r>
          </w:p>
        </w:tc>
        <w:tc>
          <w:tcPr>
            <w:tcW w:w="2339" w:type="dxa"/>
            <w:noWrap/>
          </w:tcPr>
          <w:p w14:paraId="60B124AA" w14:textId="77777777" w:rsidR="004F1002" w:rsidRPr="00E24C4B" w:rsidRDefault="004F1002" w:rsidP="001007F0">
            <w:pPr>
              <w:tabs>
                <w:tab w:val="left" w:pos="1861"/>
              </w:tabs>
              <w:spacing w:line="276" w:lineRule="auto"/>
              <w:rPr>
                <w:rFonts w:cs="Arial"/>
                <w:lang w:val="en-GB"/>
              </w:rPr>
            </w:pPr>
            <w:r w:rsidRPr="00E24C4B">
              <w:rPr>
                <w:rFonts w:cs="Arial"/>
                <w:lang w:val="en-GB"/>
              </w:rPr>
              <w:t xml:space="preserve">Mercaptopurine </w:t>
            </w:r>
          </w:p>
        </w:tc>
        <w:tc>
          <w:tcPr>
            <w:tcW w:w="2084" w:type="dxa"/>
            <w:noWrap/>
          </w:tcPr>
          <w:p w14:paraId="06D88041" w14:textId="77777777" w:rsidR="004F1002" w:rsidRPr="00E24C4B" w:rsidRDefault="004F1002" w:rsidP="001007F0">
            <w:pPr>
              <w:tabs>
                <w:tab w:val="left" w:pos="1861"/>
              </w:tabs>
              <w:spacing w:line="276" w:lineRule="auto"/>
              <w:rPr>
                <w:rFonts w:cs="Arial"/>
                <w:lang w:val="en-GB"/>
              </w:rPr>
            </w:pPr>
            <w:r w:rsidRPr="00E24C4B">
              <w:rPr>
                <w:rFonts w:cs="Arial"/>
                <w:lang w:val="en-GB"/>
              </w:rPr>
              <w:t>75.0 mg/m²</w:t>
            </w:r>
          </w:p>
        </w:tc>
        <w:tc>
          <w:tcPr>
            <w:tcW w:w="2506" w:type="dxa"/>
            <w:noWrap/>
          </w:tcPr>
          <w:p w14:paraId="3ABCDFB5" w14:textId="77777777" w:rsidR="004F1002" w:rsidRPr="00E24C4B" w:rsidRDefault="004F1002" w:rsidP="001007F0">
            <w:pPr>
              <w:tabs>
                <w:tab w:val="left" w:pos="1861"/>
              </w:tabs>
              <w:spacing w:line="276" w:lineRule="auto"/>
              <w:rPr>
                <w:rFonts w:cs="Arial"/>
                <w:lang w:val="en-GB"/>
              </w:rPr>
            </w:pPr>
            <w:r w:rsidRPr="00E24C4B">
              <w:rPr>
                <w:rFonts w:cs="Arial"/>
                <w:lang w:val="en-GB"/>
              </w:rPr>
              <w:t>PO</w:t>
            </w:r>
          </w:p>
        </w:tc>
        <w:tc>
          <w:tcPr>
            <w:tcW w:w="2703" w:type="dxa"/>
            <w:noWrap/>
          </w:tcPr>
          <w:p w14:paraId="7ADEEF07" w14:textId="77777777" w:rsidR="004F1002" w:rsidRPr="00E24C4B" w:rsidRDefault="004F1002" w:rsidP="001007F0">
            <w:pPr>
              <w:tabs>
                <w:tab w:val="left" w:pos="1861"/>
              </w:tabs>
              <w:spacing w:line="276" w:lineRule="auto"/>
              <w:rPr>
                <w:rFonts w:cs="Arial"/>
                <w:lang w:val="en-GB"/>
              </w:rPr>
            </w:pPr>
            <w:r w:rsidRPr="00E24C4B">
              <w:rPr>
                <w:rFonts w:cs="Arial"/>
                <w:lang w:val="en-GB"/>
              </w:rPr>
              <w:t>Daily</w:t>
            </w:r>
          </w:p>
        </w:tc>
      </w:tr>
      <w:tr w:rsidR="00811425" w:rsidRPr="00E24C4B" w14:paraId="56F836B5" w14:textId="77777777" w:rsidTr="001D38A2">
        <w:trPr>
          <w:trHeight w:val="330"/>
        </w:trPr>
        <w:tc>
          <w:tcPr>
            <w:tcW w:w="3056" w:type="dxa"/>
            <w:vMerge/>
            <w:noWrap/>
          </w:tcPr>
          <w:p w14:paraId="65043A15" w14:textId="77777777" w:rsidR="004F1002" w:rsidRPr="00E24C4B" w:rsidRDefault="004F1002" w:rsidP="001007F0">
            <w:pPr>
              <w:tabs>
                <w:tab w:val="left" w:pos="1861"/>
              </w:tabs>
              <w:spacing w:line="276" w:lineRule="auto"/>
              <w:rPr>
                <w:rFonts w:cs="Arial"/>
                <w:lang w:val="en-GB"/>
              </w:rPr>
            </w:pPr>
          </w:p>
        </w:tc>
        <w:tc>
          <w:tcPr>
            <w:tcW w:w="1588" w:type="dxa"/>
            <w:vMerge/>
            <w:noWrap/>
          </w:tcPr>
          <w:p w14:paraId="6E3515BD" w14:textId="77777777" w:rsidR="004F1002" w:rsidRPr="00E24C4B" w:rsidRDefault="004F1002" w:rsidP="001007F0">
            <w:pPr>
              <w:tabs>
                <w:tab w:val="left" w:pos="1861"/>
              </w:tabs>
              <w:spacing w:line="276" w:lineRule="auto"/>
              <w:rPr>
                <w:rFonts w:cs="Arial"/>
                <w:lang w:val="en-GB"/>
              </w:rPr>
            </w:pPr>
          </w:p>
        </w:tc>
        <w:tc>
          <w:tcPr>
            <w:tcW w:w="2339" w:type="dxa"/>
            <w:noWrap/>
          </w:tcPr>
          <w:p w14:paraId="058FD2E6" w14:textId="77777777" w:rsidR="004F1002" w:rsidRPr="00E24C4B" w:rsidRDefault="004F1002" w:rsidP="001007F0">
            <w:pPr>
              <w:tabs>
                <w:tab w:val="left" w:pos="1861"/>
              </w:tabs>
              <w:spacing w:line="276" w:lineRule="auto"/>
              <w:rPr>
                <w:rFonts w:cs="Arial"/>
                <w:lang w:val="en-GB"/>
              </w:rPr>
            </w:pPr>
            <w:r w:rsidRPr="00E24C4B">
              <w:rPr>
                <w:rFonts w:cs="Arial"/>
                <w:lang w:val="en-GB"/>
              </w:rPr>
              <w:t xml:space="preserve">Methotrexate </w:t>
            </w:r>
          </w:p>
        </w:tc>
        <w:tc>
          <w:tcPr>
            <w:tcW w:w="2084" w:type="dxa"/>
            <w:noWrap/>
          </w:tcPr>
          <w:p w14:paraId="799A6FEF" w14:textId="77777777" w:rsidR="004F1002" w:rsidRPr="00E24C4B" w:rsidRDefault="004F1002" w:rsidP="001007F0">
            <w:pPr>
              <w:tabs>
                <w:tab w:val="left" w:pos="1861"/>
              </w:tabs>
              <w:spacing w:line="276" w:lineRule="auto"/>
              <w:rPr>
                <w:rFonts w:cs="Arial"/>
                <w:lang w:val="en-GB"/>
              </w:rPr>
            </w:pPr>
            <w:r w:rsidRPr="00E24C4B">
              <w:rPr>
                <w:rFonts w:cs="Arial"/>
                <w:lang w:val="en-GB"/>
              </w:rPr>
              <w:t>20.0 mg/m²</w:t>
            </w:r>
          </w:p>
        </w:tc>
        <w:tc>
          <w:tcPr>
            <w:tcW w:w="2506" w:type="dxa"/>
            <w:noWrap/>
          </w:tcPr>
          <w:p w14:paraId="34C50E60" w14:textId="77777777" w:rsidR="004F1002" w:rsidRPr="00E24C4B" w:rsidRDefault="004F1002" w:rsidP="001007F0">
            <w:pPr>
              <w:tabs>
                <w:tab w:val="left" w:pos="1861"/>
              </w:tabs>
              <w:spacing w:line="276" w:lineRule="auto"/>
              <w:rPr>
                <w:rFonts w:cs="Arial"/>
                <w:lang w:val="en-GB"/>
              </w:rPr>
            </w:pPr>
            <w:r w:rsidRPr="00E24C4B">
              <w:rPr>
                <w:rFonts w:cs="Arial"/>
                <w:lang w:val="en-GB"/>
              </w:rPr>
              <w:t>PO</w:t>
            </w:r>
          </w:p>
        </w:tc>
        <w:tc>
          <w:tcPr>
            <w:tcW w:w="2703" w:type="dxa"/>
            <w:noWrap/>
          </w:tcPr>
          <w:p w14:paraId="06C537BE" w14:textId="77777777" w:rsidR="004F1002" w:rsidRPr="00E24C4B" w:rsidRDefault="004F1002" w:rsidP="001007F0">
            <w:pPr>
              <w:tabs>
                <w:tab w:val="left" w:pos="1861"/>
              </w:tabs>
              <w:spacing w:line="276" w:lineRule="auto"/>
              <w:rPr>
                <w:rFonts w:cs="Arial"/>
                <w:lang w:val="en-GB"/>
              </w:rPr>
            </w:pPr>
            <w:r w:rsidRPr="00E24C4B">
              <w:rPr>
                <w:rFonts w:cs="Arial"/>
                <w:lang w:val="en-GB"/>
              </w:rPr>
              <w:t>Weekly</w:t>
            </w:r>
          </w:p>
        </w:tc>
      </w:tr>
      <w:tr w:rsidR="00811425" w:rsidRPr="00E24C4B" w14:paraId="55EA0A4B" w14:textId="77777777" w:rsidTr="001D38A2">
        <w:trPr>
          <w:trHeight w:val="330"/>
        </w:trPr>
        <w:tc>
          <w:tcPr>
            <w:tcW w:w="3056" w:type="dxa"/>
            <w:vMerge/>
            <w:noWrap/>
          </w:tcPr>
          <w:p w14:paraId="0B57B0EC" w14:textId="77777777" w:rsidR="004F1002" w:rsidRPr="00E24C4B" w:rsidRDefault="004F1002" w:rsidP="001007F0">
            <w:pPr>
              <w:tabs>
                <w:tab w:val="left" w:pos="1861"/>
              </w:tabs>
              <w:spacing w:line="276" w:lineRule="auto"/>
              <w:rPr>
                <w:rFonts w:cs="Arial"/>
                <w:lang w:val="en-GB"/>
              </w:rPr>
            </w:pPr>
          </w:p>
        </w:tc>
        <w:tc>
          <w:tcPr>
            <w:tcW w:w="1588" w:type="dxa"/>
            <w:vMerge/>
            <w:noWrap/>
          </w:tcPr>
          <w:p w14:paraId="3E2B082E" w14:textId="77777777" w:rsidR="004F1002" w:rsidRPr="00E24C4B" w:rsidRDefault="004F1002" w:rsidP="001007F0">
            <w:pPr>
              <w:tabs>
                <w:tab w:val="left" w:pos="1861"/>
              </w:tabs>
              <w:spacing w:line="276" w:lineRule="auto"/>
              <w:rPr>
                <w:rFonts w:cs="Arial"/>
                <w:lang w:val="en-GB"/>
              </w:rPr>
            </w:pPr>
          </w:p>
        </w:tc>
        <w:tc>
          <w:tcPr>
            <w:tcW w:w="2339" w:type="dxa"/>
            <w:noWrap/>
          </w:tcPr>
          <w:p w14:paraId="13E59A44" w14:textId="1515F983" w:rsidR="004F1002" w:rsidRPr="00E24C4B" w:rsidRDefault="004F1002" w:rsidP="001007F0">
            <w:pPr>
              <w:tabs>
                <w:tab w:val="left" w:pos="1861"/>
              </w:tabs>
              <w:spacing w:line="276" w:lineRule="auto"/>
              <w:rPr>
                <w:rFonts w:cs="Arial"/>
                <w:lang w:val="en-GB"/>
              </w:rPr>
            </w:pPr>
            <w:r w:rsidRPr="00E24C4B">
              <w:rPr>
                <w:rFonts w:cs="Arial"/>
                <w:lang w:val="en-GB"/>
              </w:rPr>
              <w:t xml:space="preserve">Vincristine </w:t>
            </w:r>
            <w:r w:rsidR="002E1D08" w:rsidRPr="00E24C4B">
              <w:rPr>
                <w:rFonts w:cs="Arial"/>
                <w:lang w:val="en-GB"/>
              </w:rPr>
              <w:t>sulphate</w:t>
            </w:r>
          </w:p>
        </w:tc>
        <w:tc>
          <w:tcPr>
            <w:tcW w:w="2084" w:type="dxa"/>
            <w:noWrap/>
          </w:tcPr>
          <w:p w14:paraId="6A5BD61A" w14:textId="77777777" w:rsidR="004F1002" w:rsidRPr="00E24C4B" w:rsidRDefault="004F1002" w:rsidP="001007F0">
            <w:pPr>
              <w:tabs>
                <w:tab w:val="left" w:pos="1861"/>
              </w:tabs>
              <w:spacing w:line="276" w:lineRule="auto"/>
              <w:rPr>
                <w:rFonts w:cs="Arial"/>
                <w:lang w:val="en-GB"/>
              </w:rPr>
            </w:pPr>
            <w:r w:rsidRPr="00E24C4B">
              <w:rPr>
                <w:rFonts w:cs="Arial"/>
                <w:lang w:val="en-GB"/>
              </w:rPr>
              <w:t>1.4 mg/m²</w:t>
            </w:r>
          </w:p>
        </w:tc>
        <w:tc>
          <w:tcPr>
            <w:tcW w:w="2506" w:type="dxa"/>
            <w:noWrap/>
          </w:tcPr>
          <w:p w14:paraId="60319483" w14:textId="77777777" w:rsidR="004F1002" w:rsidRPr="00E24C4B" w:rsidRDefault="004F1002" w:rsidP="001007F0">
            <w:pPr>
              <w:tabs>
                <w:tab w:val="left" w:pos="1861"/>
              </w:tabs>
              <w:spacing w:line="276" w:lineRule="auto"/>
              <w:rPr>
                <w:rFonts w:cs="Arial"/>
                <w:lang w:val="en-GB"/>
              </w:rPr>
            </w:pPr>
            <w:r w:rsidRPr="00E24C4B">
              <w:rPr>
                <w:rFonts w:cs="Arial"/>
                <w:lang w:val="en-GB"/>
              </w:rPr>
              <w:t>IV (Outpatient)</w:t>
            </w:r>
          </w:p>
        </w:tc>
        <w:tc>
          <w:tcPr>
            <w:tcW w:w="2703" w:type="dxa"/>
            <w:noWrap/>
          </w:tcPr>
          <w:p w14:paraId="691B4319" w14:textId="77777777" w:rsidR="004F1002" w:rsidRPr="00E24C4B" w:rsidRDefault="004F1002" w:rsidP="001007F0">
            <w:pPr>
              <w:tabs>
                <w:tab w:val="left" w:pos="1861"/>
              </w:tabs>
              <w:spacing w:line="276" w:lineRule="auto"/>
              <w:rPr>
                <w:rFonts w:cs="Arial"/>
                <w:lang w:val="en-GB"/>
              </w:rPr>
            </w:pPr>
            <w:r w:rsidRPr="00E24C4B">
              <w:rPr>
                <w:rFonts w:cs="Arial"/>
                <w:lang w:val="en-GB"/>
              </w:rPr>
              <w:t>Day 1, every 3 months</w:t>
            </w:r>
          </w:p>
        </w:tc>
      </w:tr>
      <w:tr w:rsidR="00811425" w:rsidRPr="00E24C4B" w14:paraId="0EB874B3" w14:textId="77777777" w:rsidTr="001D38A2">
        <w:trPr>
          <w:trHeight w:val="330"/>
        </w:trPr>
        <w:tc>
          <w:tcPr>
            <w:tcW w:w="3056" w:type="dxa"/>
            <w:vMerge/>
            <w:noWrap/>
          </w:tcPr>
          <w:p w14:paraId="0E99D4E3" w14:textId="77777777" w:rsidR="004F1002" w:rsidRPr="00E24C4B" w:rsidRDefault="004F1002" w:rsidP="001007F0">
            <w:pPr>
              <w:tabs>
                <w:tab w:val="left" w:pos="1861"/>
              </w:tabs>
              <w:spacing w:line="276" w:lineRule="auto"/>
              <w:rPr>
                <w:rFonts w:cs="Arial"/>
                <w:lang w:val="en-GB"/>
              </w:rPr>
            </w:pPr>
          </w:p>
        </w:tc>
        <w:tc>
          <w:tcPr>
            <w:tcW w:w="1588" w:type="dxa"/>
            <w:vMerge/>
            <w:noWrap/>
          </w:tcPr>
          <w:p w14:paraId="3E88C2AF" w14:textId="77777777" w:rsidR="004F1002" w:rsidRPr="00E24C4B" w:rsidRDefault="004F1002" w:rsidP="001007F0">
            <w:pPr>
              <w:tabs>
                <w:tab w:val="left" w:pos="1861"/>
              </w:tabs>
              <w:spacing w:line="276" w:lineRule="auto"/>
              <w:rPr>
                <w:rFonts w:cs="Arial"/>
                <w:lang w:val="en-GB"/>
              </w:rPr>
            </w:pPr>
          </w:p>
        </w:tc>
        <w:tc>
          <w:tcPr>
            <w:tcW w:w="2339" w:type="dxa"/>
            <w:noWrap/>
          </w:tcPr>
          <w:p w14:paraId="1FA19296" w14:textId="77777777" w:rsidR="004F1002" w:rsidRPr="00E24C4B" w:rsidRDefault="004F1002" w:rsidP="001007F0">
            <w:pPr>
              <w:tabs>
                <w:tab w:val="left" w:pos="1861"/>
              </w:tabs>
              <w:spacing w:line="276" w:lineRule="auto"/>
              <w:rPr>
                <w:rFonts w:cs="Arial"/>
                <w:lang w:val="en-GB"/>
              </w:rPr>
            </w:pPr>
            <w:r w:rsidRPr="00E24C4B">
              <w:rPr>
                <w:rFonts w:cs="Arial"/>
                <w:lang w:val="en-GB"/>
              </w:rPr>
              <w:t>Prednisolone</w:t>
            </w:r>
          </w:p>
        </w:tc>
        <w:tc>
          <w:tcPr>
            <w:tcW w:w="2084" w:type="dxa"/>
            <w:noWrap/>
          </w:tcPr>
          <w:p w14:paraId="14814442" w14:textId="77777777" w:rsidR="004F1002" w:rsidRPr="00E24C4B" w:rsidRDefault="004F1002" w:rsidP="001007F0">
            <w:pPr>
              <w:tabs>
                <w:tab w:val="left" w:pos="1861"/>
              </w:tabs>
              <w:spacing w:line="276" w:lineRule="auto"/>
              <w:rPr>
                <w:rFonts w:cs="Arial"/>
                <w:lang w:val="en-GB"/>
              </w:rPr>
            </w:pPr>
            <w:r w:rsidRPr="00E24C4B">
              <w:rPr>
                <w:rFonts w:cs="Arial"/>
                <w:lang w:val="en-GB"/>
              </w:rPr>
              <w:t>60.0 mg/m²</w:t>
            </w:r>
          </w:p>
        </w:tc>
        <w:tc>
          <w:tcPr>
            <w:tcW w:w="2506" w:type="dxa"/>
            <w:noWrap/>
          </w:tcPr>
          <w:p w14:paraId="3E24618E" w14:textId="77777777" w:rsidR="004F1002" w:rsidRPr="00E24C4B" w:rsidRDefault="004F1002" w:rsidP="001007F0">
            <w:pPr>
              <w:tabs>
                <w:tab w:val="left" w:pos="1861"/>
              </w:tabs>
              <w:spacing w:line="276" w:lineRule="auto"/>
              <w:rPr>
                <w:rFonts w:cs="Arial"/>
                <w:lang w:val="en-GB"/>
              </w:rPr>
            </w:pPr>
            <w:r w:rsidRPr="00E24C4B">
              <w:rPr>
                <w:rFonts w:cs="Arial"/>
                <w:lang w:val="en-GB"/>
              </w:rPr>
              <w:t>PO</w:t>
            </w:r>
          </w:p>
        </w:tc>
        <w:tc>
          <w:tcPr>
            <w:tcW w:w="2703" w:type="dxa"/>
            <w:noWrap/>
          </w:tcPr>
          <w:p w14:paraId="14BF6CAA" w14:textId="77777777" w:rsidR="004F1002" w:rsidRPr="00E24C4B" w:rsidRDefault="004F1002" w:rsidP="001007F0">
            <w:pPr>
              <w:tabs>
                <w:tab w:val="left" w:pos="1861"/>
              </w:tabs>
              <w:spacing w:line="276" w:lineRule="auto"/>
              <w:rPr>
                <w:rFonts w:cs="Arial"/>
                <w:lang w:val="en-GB"/>
              </w:rPr>
            </w:pPr>
            <w:r w:rsidRPr="00E24C4B">
              <w:rPr>
                <w:rFonts w:cs="Arial"/>
                <w:lang w:val="en-GB"/>
              </w:rPr>
              <w:t>Days 1 - 5, every 3 months</w:t>
            </w:r>
          </w:p>
        </w:tc>
      </w:tr>
      <w:tr w:rsidR="004F1002" w:rsidRPr="00E24C4B" w14:paraId="3236AA0B" w14:textId="77777777" w:rsidTr="00B23DFB">
        <w:trPr>
          <w:trHeight w:val="330"/>
        </w:trPr>
        <w:tc>
          <w:tcPr>
            <w:tcW w:w="3056" w:type="dxa"/>
            <w:vMerge/>
            <w:noWrap/>
          </w:tcPr>
          <w:p w14:paraId="5561C0AE" w14:textId="77777777" w:rsidR="004F1002" w:rsidRPr="00E24C4B" w:rsidRDefault="004F1002" w:rsidP="001007F0">
            <w:pPr>
              <w:tabs>
                <w:tab w:val="left" w:pos="1861"/>
              </w:tabs>
              <w:spacing w:line="276" w:lineRule="auto"/>
              <w:rPr>
                <w:rFonts w:cs="Arial"/>
                <w:lang w:val="en-GB"/>
              </w:rPr>
            </w:pPr>
          </w:p>
        </w:tc>
        <w:tc>
          <w:tcPr>
            <w:tcW w:w="1588" w:type="dxa"/>
            <w:vMerge/>
            <w:noWrap/>
          </w:tcPr>
          <w:p w14:paraId="2229C242" w14:textId="77777777" w:rsidR="004F1002" w:rsidRPr="00E24C4B" w:rsidRDefault="004F1002" w:rsidP="001007F0">
            <w:pPr>
              <w:tabs>
                <w:tab w:val="left" w:pos="1861"/>
              </w:tabs>
              <w:spacing w:line="276" w:lineRule="auto"/>
              <w:rPr>
                <w:rFonts w:cs="Arial"/>
                <w:lang w:val="en-GB"/>
              </w:rPr>
            </w:pPr>
          </w:p>
        </w:tc>
        <w:tc>
          <w:tcPr>
            <w:tcW w:w="2339" w:type="dxa"/>
            <w:noWrap/>
            <w:vAlign w:val="center"/>
          </w:tcPr>
          <w:p w14:paraId="370E18CC" w14:textId="1BDFBBBA" w:rsidR="004F1002" w:rsidRPr="00E24C4B" w:rsidRDefault="004F1002" w:rsidP="001007F0">
            <w:pPr>
              <w:tabs>
                <w:tab w:val="left" w:pos="1861"/>
              </w:tabs>
              <w:spacing w:line="276" w:lineRule="auto"/>
              <w:rPr>
                <w:rFonts w:cs="Arial"/>
                <w:lang w:val="en-GB"/>
              </w:rPr>
            </w:pPr>
            <w:r w:rsidRPr="00E24C4B">
              <w:rPr>
                <w:rFonts w:cs="Arial"/>
                <w:lang w:val="en-GB"/>
              </w:rPr>
              <w:t>Methotrexate</w:t>
            </w:r>
          </w:p>
        </w:tc>
        <w:tc>
          <w:tcPr>
            <w:tcW w:w="2084" w:type="dxa"/>
            <w:noWrap/>
            <w:vAlign w:val="center"/>
          </w:tcPr>
          <w:p w14:paraId="32DA1424" w14:textId="77777777" w:rsidR="004F1002" w:rsidRPr="00E24C4B" w:rsidRDefault="004F1002" w:rsidP="001007F0">
            <w:pPr>
              <w:tabs>
                <w:tab w:val="left" w:pos="1861"/>
              </w:tabs>
              <w:spacing w:line="276" w:lineRule="auto"/>
              <w:jc w:val="center"/>
              <w:rPr>
                <w:rFonts w:cs="Arial"/>
                <w:lang w:val="en-GB"/>
              </w:rPr>
            </w:pPr>
            <w:r w:rsidRPr="00E24C4B">
              <w:rPr>
                <w:rFonts w:cs="Arial"/>
                <w:lang w:val="en-GB"/>
              </w:rPr>
              <w:t>12.5 mg</w:t>
            </w:r>
          </w:p>
        </w:tc>
        <w:tc>
          <w:tcPr>
            <w:tcW w:w="2506" w:type="dxa"/>
            <w:noWrap/>
            <w:vAlign w:val="center"/>
          </w:tcPr>
          <w:p w14:paraId="7CE8E6BC" w14:textId="305B17CD" w:rsidR="004F1002" w:rsidRPr="00E24C4B" w:rsidRDefault="004F1002" w:rsidP="00E24C4B">
            <w:pPr>
              <w:tabs>
                <w:tab w:val="left" w:pos="1861"/>
              </w:tabs>
              <w:spacing w:line="276" w:lineRule="auto"/>
              <w:rPr>
                <w:rFonts w:cs="Arial"/>
                <w:lang w:val="en-GB"/>
              </w:rPr>
            </w:pPr>
            <w:r w:rsidRPr="00E24C4B">
              <w:rPr>
                <w:rFonts w:cs="Arial"/>
                <w:lang w:val="en-GB"/>
              </w:rPr>
              <w:t>IT</w:t>
            </w:r>
            <w:r w:rsidR="00E24C4B">
              <w:rPr>
                <w:rFonts w:cs="Arial"/>
                <w:lang w:val="en-GB"/>
              </w:rPr>
              <w:t xml:space="preserve"> </w:t>
            </w:r>
            <w:r w:rsidRPr="00E24C4B">
              <w:rPr>
                <w:rFonts w:cs="Arial"/>
                <w:lang w:val="en-GB"/>
              </w:rPr>
              <w:t>(chemotherapy into CNS) (Outpatient)</w:t>
            </w:r>
          </w:p>
        </w:tc>
        <w:tc>
          <w:tcPr>
            <w:tcW w:w="2703" w:type="dxa"/>
            <w:noWrap/>
            <w:vAlign w:val="center"/>
          </w:tcPr>
          <w:p w14:paraId="0DE8ACB7" w14:textId="77777777" w:rsidR="004F1002" w:rsidRPr="00E24C4B" w:rsidRDefault="004F1002" w:rsidP="00866A9A">
            <w:pPr>
              <w:tabs>
                <w:tab w:val="left" w:pos="1861"/>
              </w:tabs>
              <w:spacing w:line="276" w:lineRule="auto"/>
              <w:rPr>
                <w:rFonts w:cs="Arial"/>
                <w:lang w:val="en-GB"/>
              </w:rPr>
            </w:pPr>
            <w:r w:rsidRPr="00E24C4B">
              <w:rPr>
                <w:rFonts w:cs="Arial"/>
                <w:lang w:val="en-GB"/>
              </w:rPr>
              <w:t>Day 1, every 3 months</w:t>
            </w:r>
          </w:p>
        </w:tc>
      </w:tr>
    </w:tbl>
    <w:p w14:paraId="7275D8D1" w14:textId="7EBD000A" w:rsidR="004F1002" w:rsidRPr="00AC28DF" w:rsidRDefault="001F71E4" w:rsidP="004F1002">
      <w:pPr>
        <w:tabs>
          <w:tab w:val="left" w:pos="1861"/>
        </w:tabs>
        <w:jc w:val="both"/>
        <w:rPr>
          <w:bCs/>
          <w:lang w:val="en-US"/>
        </w:rPr>
      </w:pPr>
      <w:r w:rsidRPr="001F71E4">
        <w:rPr>
          <w:bCs/>
          <w:lang w:val="en-US"/>
        </w:rPr>
        <w:t>Abbreviations</w:t>
      </w:r>
      <w:r w:rsidRPr="001F71E4">
        <w:rPr>
          <w:rFonts w:cs="Arial"/>
          <w:bCs/>
          <w:szCs w:val="20"/>
          <w:lang w:val="en-US"/>
        </w:rPr>
        <w:t xml:space="preserve">: </w:t>
      </w:r>
      <w:r w:rsidR="008856E5" w:rsidRPr="00AC28DF">
        <w:rPr>
          <w:bCs/>
          <w:lang w:val="en-US"/>
        </w:rPr>
        <w:t>cIV</w:t>
      </w:r>
      <w:r w:rsidR="0084718F" w:rsidRPr="00AC28DF">
        <w:rPr>
          <w:bCs/>
          <w:lang w:val="en-US"/>
        </w:rPr>
        <w:t>,</w:t>
      </w:r>
      <w:r w:rsidR="008856E5" w:rsidRPr="00AC28DF">
        <w:rPr>
          <w:bCs/>
          <w:lang w:val="en-US"/>
        </w:rPr>
        <w:t xml:space="preserve"> continuous intravenous; IT, intrathecal; IV, intravenous; NA, not applicable; NICE, National Institute for Health and Care Excellence; PO, oral administration; SC, subcutaneous; SoC, standard of care.</w:t>
      </w:r>
    </w:p>
    <w:p w14:paraId="2E0BCCD4" w14:textId="405A58A9" w:rsidR="004F1002" w:rsidRPr="00102B2D" w:rsidRDefault="00102B2D" w:rsidP="00AC28DF">
      <w:pPr>
        <w:spacing w:after="160" w:line="259" w:lineRule="auto"/>
        <w:rPr>
          <w:rFonts w:eastAsia="Times New Roman" w:cs="Arial"/>
          <w:szCs w:val="20"/>
          <w:lang w:val="en-GB" w:eastAsia="it-IT"/>
        </w:rPr>
      </w:pPr>
      <w:r w:rsidRPr="00AC28DF">
        <w:rPr>
          <w:bCs/>
          <w:lang w:val="en-US"/>
        </w:rPr>
        <w:br w:type="page"/>
      </w:r>
      <w:r w:rsidR="00A61152" w:rsidRPr="00102B2D">
        <w:rPr>
          <w:rFonts w:eastAsia="Times New Roman" w:cs="Arial"/>
          <w:b/>
          <w:bCs/>
          <w:szCs w:val="20"/>
          <w:lang w:val="en-GB" w:eastAsia="it-IT"/>
        </w:rPr>
        <w:lastRenderedPageBreak/>
        <w:t>Supplementa</w:t>
      </w:r>
      <w:r w:rsidR="001375D9" w:rsidRPr="00102B2D">
        <w:rPr>
          <w:rFonts w:eastAsia="Times New Roman" w:cs="Arial"/>
          <w:b/>
          <w:bCs/>
          <w:szCs w:val="20"/>
          <w:lang w:val="en-GB" w:eastAsia="it-IT"/>
        </w:rPr>
        <w:t>l</w:t>
      </w:r>
      <w:r w:rsidR="002C327F" w:rsidRPr="00102B2D">
        <w:rPr>
          <w:rFonts w:eastAsia="Times New Roman" w:cs="Arial"/>
          <w:b/>
          <w:bCs/>
          <w:szCs w:val="20"/>
          <w:lang w:val="en-GB" w:eastAsia="it-IT"/>
        </w:rPr>
        <w:t xml:space="preserve"> Table 3 </w:t>
      </w:r>
      <w:r w:rsidR="002C327F" w:rsidRPr="00102B2D">
        <w:rPr>
          <w:rFonts w:eastAsia="Times New Roman" w:cs="Arial"/>
          <w:szCs w:val="20"/>
          <w:lang w:val="en-GB" w:eastAsia="it-IT"/>
        </w:rPr>
        <w:t>Subsequent therapies’ posology</w:t>
      </w:r>
      <w:r w:rsidR="001007F0" w:rsidRPr="00102B2D">
        <w:rPr>
          <w:rFonts w:eastAsia="Times New Roman" w:cs="Arial"/>
          <w:szCs w:val="20"/>
          <w:lang w:val="en-GB" w:eastAsia="it-IT"/>
        </w:rPr>
        <w:t xml:space="preserve"> </w:t>
      </w:r>
    </w:p>
    <w:tbl>
      <w:tblPr>
        <w:tblStyle w:val="Grigliatabella"/>
        <w:tblW w:w="0" w:type="auto"/>
        <w:tblLayout w:type="fixed"/>
        <w:tblLook w:val="04A0" w:firstRow="1" w:lastRow="0" w:firstColumn="1" w:lastColumn="0" w:noHBand="0" w:noVBand="1"/>
      </w:tblPr>
      <w:tblGrid>
        <w:gridCol w:w="3056"/>
        <w:gridCol w:w="11220"/>
      </w:tblGrid>
      <w:tr w:rsidR="00811425" w:rsidRPr="00E24C4B" w14:paraId="1275EAA9" w14:textId="77777777" w:rsidTr="001007F0">
        <w:trPr>
          <w:trHeight w:val="329"/>
        </w:trPr>
        <w:tc>
          <w:tcPr>
            <w:tcW w:w="3056" w:type="dxa"/>
            <w:shd w:val="clear" w:color="auto" w:fill="808080" w:themeFill="background1" w:themeFillShade="80"/>
            <w:noWrap/>
          </w:tcPr>
          <w:p w14:paraId="358871E6" w14:textId="6864964B" w:rsidR="002C327F" w:rsidRPr="00E24C4B" w:rsidRDefault="002C327F" w:rsidP="001007F0">
            <w:pPr>
              <w:tabs>
                <w:tab w:val="left" w:pos="1861"/>
              </w:tabs>
              <w:spacing w:line="276" w:lineRule="auto"/>
              <w:rPr>
                <w:rFonts w:cs="Arial"/>
                <w:b/>
                <w:bCs/>
                <w:color w:val="FFFFFF" w:themeColor="background1"/>
                <w:lang w:val="en-GB"/>
              </w:rPr>
            </w:pPr>
            <w:r w:rsidRPr="00E24C4B">
              <w:rPr>
                <w:rFonts w:cs="Arial"/>
                <w:b/>
                <w:bCs/>
                <w:color w:val="FFFFFF" w:themeColor="background1"/>
                <w:lang w:val="en-GB"/>
              </w:rPr>
              <w:t>Drug</w:t>
            </w:r>
          </w:p>
        </w:tc>
        <w:tc>
          <w:tcPr>
            <w:tcW w:w="11220" w:type="dxa"/>
            <w:shd w:val="clear" w:color="auto" w:fill="808080" w:themeFill="background1" w:themeFillShade="80"/>
            <w:noWrap/>
          </w:tcPr>
          <w:p w14:paraId="4E8654F4" w14:textId="0E46A930" w:rsidR="002C327F" w:rsidRPr="00E24C4B" w:rsidRDefault="002C327F" w:rsidP="001007F0">
            <w:pPr>
              <w:spacing w:line="276" w:lineRule="auto"/>
              <w:jc w:val="both"/>
              <w:rPr>
                <w:rFonts w:cs="Arial"/>
                <w:b/>
                <w:bCs/>
                <w:color w:val="FFFFFF" w:themeColor="background1"/>
                <w:lang w:val="en-GB"/>
              </w:rPr>
            </w:pPr>
            <w:r w:rsidRPr="00E24C4B">
              <w:rPr>
                <w:rFonts w:cs="Arial"/>
                <w:b/>
                <w:bCs/>
                <w:color w:val="FFFFFF" w:themeColor="background1"/>
                <w:lang w:val="en-GB"/>
              </w:rPr>
              <w:t>Posology</w:t>
            </w:r>
          </w:p>
        </w:tc>
      </w:tr>
      <w:tr w:rsidR="00811425" w:rsidRPr="008849A6" w14:paraId="4B505C00" w14:textId="77777777" w:rsidTr="001D38A2">
        <w:trPr>
          <w:trHeight w:val="330"/>
        </w:trPr>
        <w:tc>
          <w:tcPr>
            <w:tcW w:w="3056" w:type="dxa"/>
            <w:noWrap/>
          </w:tcPr>
          <w:p w14:paraId="5418AB1C" w14:textId="77777777" w:rsidR="002C327F" w:rsidRPr="00E24C4B" w:rsidRDefault="002C327F" w:rsidP="001007F0">
            <w:pPr>
              <w:tabs>
                <w:tab w:val="left" w:pos="1861"/>
              </w:tabs>
              <w:spacing w:line="276" w:lineRule="auto"/>
              <w:rPr>
                <w:rFonts w:cs="Arial"/>
                <w:lang w:val="en-GB"/>
              </w:rPr>
            </w:pPr>
            <w:r w:rsidRPr="00E24C4B">
              <w:rPr>
                <w:rFonts w:cs="Arial"/>
                <w:lang w:val="en-GB"/>
              </w:rPr>
              <w:t>Blinatumomab</w:t>
            </w:r>
          </w:p>
        </w:tc>
        <w:tc>
          <w:tcPr>
            <w:tcW w:w="11220" w:type="dxa"/>
            <w:noWrap/>
          </w:tcPr>
          <w:p w14:paraId="51692F81" w14:textId="00338984" w:rsidR="002C327F" w:rsidRPr="00E24C4B" w:rsidRDefault="002C327F" w:rsidP="001007F0">
            <w:pPr>
              <w:spacing w:line="276" w:lineRule="auto"/>
              <w:jc w:val="both"/>
              <w:rPr>
                <w:rFonts w:cs="Arial"/>
                <w:lang w:val="en-GB"/>
              </w:rPr>
            </w:pPr>
            <w:r w:rsidRPr="00E24C4B">
              <w:rPr>
                <w:rFonts w:cs="Arial"/>
                <w:lang w:val="en-GB"/>
              </w:rPr>
              <w:t>The posology for 2L treatment assumed was a dose of 9 µg/day on days 1-7 of the first cycle, followed by a dose of 28 µg/day for the remaining days of the first cycle, and for all subsequent cycles, for a maximum of 9 cycles, according to the TOWE</w:t>
            </w:r>
            <w:r w:rsidR="00866A9A" w:rsidRPr="00E24C4B">
              <w:rPr>
                <w:rFonts w:cs="Arial"/>
                <w:lang w:val="en-GB"/>
              </w:rPr>
              <w:t>R</w:t>
            </w:r>
            <w:r w:rsidRPr="00E24C4B">
              <w:rPr>
                <w:rFonts w:cs="Arial"/>
                <w:lang w:val="en-GB"/>
              </w:rPr>
              <w:t xml:space="preserve"> </w:t>
            </w:r>
            <w:r w:rsidR="00866A9A" w:rsidRPr="00E24C4B">
              <w:rPr>
                <w:rFonts w:cs="Arial"/>
                <w:lang w:val="en-GB"/>
              </w:rPr>
              <w:t>trial</w:t>
            </w:r>
            <w:r w:rsidRPr="00E24C4B">
              <w:rPr>
                <w:rFonts w:cs="Arial"/>
                <w:lang w:val="en-GB"/>
              </w:rPr>
              <w:t xml:space="preserve">. Blinatumomab’s administration was similar to that of first-line treatment, with an initial hospitalization period followed by outpatient bag changes. </w:t>
            </w:r>
          </w:p>
        </w:tc>
      </w:tr>
      <w:tr w:rsidR="00811425" w:rsidRPr="008849A6" w14:paraId="1F111B4A" w14:textId="77777777" w:rsidTr="001D38A2">
        <w:trPr>
          <w:trHeight w:val="330"/>
        </w:trPr>
        <w:tc>
          <w:tcPr>
            <w:tcW w:w="3056" w:type="dxa"/>
            <w:noWrap/>
          </w:tcPr>
          <w:p w14:paraId="64E65AAB" w14:textId="77777777" w:rsidR="002C327F" w:rsidRPr="00E24C4B" w:rsidRDefault="002C327F" w:rsidP="001007F0">
            <w:pPr>
              <w:tabs>
                <w:tab w:val="left" w:pos="1861"/>
              </w:tabs>
              <w:spacing w:line="276" w:lineRule="auto"/>
              <w:rPr>
                <w:rFonts w:cs="Arial"/>
                <w:b/>
                <w:bCs/>
                <w:highlight w:val="yellow"/>
                <w:lang w:val="en-GB"/>
              </w:rPr>
            </w:pPr>
            <w:r w:rsidRPr="00E24C4B">
              <w:rPr>
                <w:rFonts w:cs="Arial"/>
                <w:lang w:val="en-GB"/>
              </w:rPr>
              <w:t>Inotuzumab ozogamicin</w:t>
            </w:r>
          </w:p>
        </w:tc>
        <w:tc>
          <w:tcPr>
            <w:tcW w:w="11220" w:type="dxa"/>
            <w:noWrap/>
          </w:tcPr>
          <w:p w14:paraId="743136D2" w14:textId="4B1B67E9" w:rsidR="002C327F" w:rsidRPr="00E24C4B" w:rsidRDefault="002C327F" w:rsidP="001007F0">
            <w:pPr>
              <w:spacing w:line="276" w:lineRule="auto"/>
              <w:jc w:val="both"/>
              <w:rPr>
                <w:rFonts w:cs="Arial"/>
                <w:lang w:val="en-GB"/>
              </w:rPr>
            </w:pPr>
            <w:r w:rsidRPr="00E24C4B">
              <w:rPr>
                <w:rFonts w:cs="Arial"/>
                <w:lang w:val="en-GB"/>
              </w:rPr>
              <w:t>It was assumed that patients received, on average 9.49 vials during treatment. The acquisition cost was estimated by multiplying the number of vials by the cost per vial, which was administered in line with the NICE TA541</w:t>
            </w:r>
            <w:r w:rsidR="002F6056">
              <w:rPr>
                <w:rFonts w:cs="Arial"/>
                <w:kern w:val="0"/>
                <w:vertAlign w:val="superscript"/>
                <w:lang w:val="en-US"/>
              </w:rPr>
              <w:t>5</w:t>
            </w:r>
            <w:r w:rsidR="00843045">
              <w:rPr>
                <w:rFonts w:cs="Arial"/>
                <w:kern w:val="0"/>
                <w:vertAlign w:val="superscript"/>
                <w:lang w:val="en-US"/>
              </w:rPr>
              <w:t>5</w:t>
            </w:r>
            <w:r w:rsidRPr="00E24C4B">
              <w:rPr>
                <w:rFonts w:cs="Arial"/>
                <w:lang w:val="en-GB"/>
              </w:rPr>
              <w:t xml:space="preserve"> submission, assuming that the first two administrations took place in the hospital and the subsequent ones in outpatient settings. </w:t>
            </w:r>
          </w:p>
        </w:tc>
      </w:tr>
      <w:tr w:rsidR="00811425" w:rsidRPr="008849A6" w14:paraId="7E499313" w14:textId="77777777" w:rsidTr="001D38A2">
        <w:trPr>
          <w:trHeight w:val="330"/>
        </w:trPr>
        <w:tc>
          <w:tcPr>
            <w:tcW w:w="3056" w:type="dxa"/>
            <w:noWrap/>
          </w:tcPr>
          <w:p w14:paraId="6E50A93E" w14:textId="77777777" w:rsidR="002C327F" w:rsidRPr="00E24C4B" w:rsidRDefault="002C327F" w:rsidP="001007F0">
            <w:pPr>
              <w:tabs>
                <w:tab w:val="left" w:pos="1861"/>
              </w:tabs>
              <w:spacing w:line="276" w:lineRule="auto"/>
              <w:rPr>
                <w:rFonts w:cs="Arial"/>
                <w:b/>
                <w:bCs/>
                <w:highlight w:val="yellow"/>
                <w:lang w:val="en-GB"/>
              </w:rPr>
            </w:pPr>
            <w:r w:rsidRPr="00E24C4B">
              <w:rPr>
                <w:rFonts w:cs="Arial"/>
                <w:lang w:val="en-GB"/>
              </w:rPr>
              <w:t>CAR-T</w:t>
            </w:r>
          </w:p>
        </w:tc>
        <w:tc>
          <w:tcPr>
            <w:tcW w:w="11220" w:type="dxa"/>
            <w:noWrap/>
          </w:tcPr>
          <w:p w14:paraId="277994AE" w14:textId="3A7CB582" w:rsidR="002C327F" w:rsidRPr="00E24C4B" w:rsidRDefault="002C327F" w:rsidP="001007F0">
            <w:pPr>
              <w:spacing w:line="276" w:lineRule="auto"/>
              <w:jc w:val="both"/>
              <w:rPr>
                <w:rFonts w:cs="Arial"/>
                <w:lang w:val="en-GB"/>
              </w:rPr>
            </w:pPr>
            <w:r w:rsidRPr="00E24C4B">
              <w:rPr>
                <w:rFonts w:cs="Arial"/>
                <w:lang w:val="en-GB"/>
              </w:rPr>
              <w:t>Brexucabtagene autoleucel was the only CAR-T reimbursed in Italy for the treatment of adult patients aged 26 years or older with relapsed or refractory B-cell ALL. The analysis included the cost of the entire process: leukapheresis, bridging therapy (oral and IV), conditioning therapy, and CAR-T infusion. In line with 2021 NICE TA893</w:t>
            </w:r>
            <w:r w:rsidR="00843045">
              <w:rPr>
                <w:rFonts w:cs="Arial"/>
                <w:kern w:val="0"/>
                <w:vertAlign w:val="superscript"/>
                <w:lang w:val="en-US"/>
              </w:rPr>
              <w:t>18</w:t>
            </w:r>
            <w:r w:rsidRPr="00E24C4B">
              <w:rPr>
                <w:rFonts w:cs="Arial"/>
                <w:lang w:val="en-GB"/>
              </w:rPr>
              <w:t xml:space="preserve"> submission, it was assumed that each patient received 1.27 leukapheresis to account for patients who did not receive CAR-T infusion.</w:t>
            </w:r>
          </w:p>
        </w:tc>
      </w:tr>
      <w:tr w:rsidR="00811425" w:rsidRPr="008849A6" w14:paraId="426F477D" w14:textId="77777777" w:rsidTr="001D38A2">
        <w:trPr>
          <w:trHeight w:val="330"/>
        </w:trPr>
        <w:tc>
          <w:tcPr>
            <w:tcW w:w="3056" w:type="dxa"/>
            <w:noWrap/>
          </w:tcPr>
          <w:p w14:paraId="679C451F" w14:textId="77777777" w:rsidR="002C327F" w:rsidRPr="00E24C4B" w:rsidRDefault="002C327F" w:rsidP="001007F0">
            <w:pPr>
              <w:tabs>
                <w:tab w:val="left" w:pos="1861"/>
              </w:tabs>
              <w:spacing w:line="276" w:lineRule="auto"/>
              <w:rPr>
                <w:rFonts w:cs="Arial"/>
                <w:b/>
                <w:bCs/>
                <w:highlight w:val="yellow"/>
                <w:lang w:val="en-GB"/>
              </w:rPr>
            </w:pPr>
            <w:r w:rsidRPr="00E24C4B">
              <w:rPr>
                <w:rFonts w:cs="Arial"/>
                <w:lang w:val="en-GB"/>
              </w:rPr>
              <w:t>FLAG-IDA</w:t>
            </w:r>
          </w:p>
        </w:tc>
        <w:tc>
          <w:tcPr>
            <w:tcW w:w="11220" w:type="dxa"/>
            <w:noWrap/>
          </w:tcPr>
          <w:p w14:paraId="7114B4F6" w14:textId="77777777" w:rsidR="002C327F" w:rsidRPr="00E24C4B" w:rsidRDefault="002C327F" w:rsidP="001007F0">
            <w:pPr>
              <w:tabs>
                <w:tab w:val="left" w:pos="1861"/>
              </w:tabs>
              <w:spacing w:line="276" w:lineRule="auto"/>
              <w:rPr>
                <w:rFonts w:cs="Arial"/>
                <w:lang w:val="en-GB"/>
              </w:rPr>
            </w:pPr>
            <w:r w:rsidRPr="00E24C4B">
              <w:rPr>
                <w:rFonts w:cs="Arial"/>
                <w:lang w:val="en-GB"/>
              </w:rPr>
              <w:t>The administration of chemotherapy was assumed to happen entirely in the hospital setting for an average of 16.8 days per cycle.</w:t>
            </w:r>
          </w:p>
        </w:tc>
      </w:tr>
    </w:tbl>
    <w:p w14:paraId="6932A6C1" w14:textId="0602D108" w:rsidR="002C327F" w:rsidRPr="002E1D08" w:rsidRDefault="001F71E4" w:rsidP="00102B2D">
      <w:pPr>
        <w:spacing w:before="120"/>
        <w:rPr>
          <w:rFonts w:eastAsia="Times New Roman"/>
          <w:lang w:val="en-GB" w:eastAsia="it-IT"/>
        </w:rPr>
      </w:pPr>
      <w:r w:rsidRPr="001F71E4">
        <w:rPr>
          <w:bCs/>
          <w:lang w:val="en-US"/>
        </w:rPr>
        <w:t>Abbreviations</w:t>
      </w:r>
      <w:r w:rsidRPr="001F71E4">
        <w:rPr>
          <w:rFonts w:cs="Arial"/>
          <w:bCs/>
          <w:szCs w:val="20"/>
          <w:lang w:val="en-US"/>
        </w:rPr>
        <w:t xml:space="preserve">: </w:t>
      </w:r>
      <w:r w:rsidR="008856E5" w:rsidRPr="00187F3C">
        <w:rPr>
          <w:lang w:val="en-GB"/>
        </w:rPr>
        <w:t>2L</w:t>
      </w:r>
      <w:r>
        <w:rPr>
          <w:lang w:val="en-GB"/>
        </w:rPr>
        <w:t>,</w:t>
      </w:r>
      <w:r w:rsidR="008856E5" w:rsidRPr="00187F3C">
        <w:rPr>
          <w:lang w:val="en-GB"/>
        </w:rPr>
        <w:t xml:space="preserve"> second-line; CAR-T</w:t>
      </w:r>
      <w:r>
        <w:rPr>
          <w:lang w:val="en-GB"/>
        </w:rPr>
        <w:t>,</w:t>
      </w:r>
      <w:r w:rsidR="008856E5" w:rsidRPr="00187F3C">
        <w:rPr>
          <w:lang w:val="en-GB"/>
        </w:rPr>
        <w:t xml:space="preserve"> chimeric antigen receptor therapy; FLAG-IDA</w:t>
      </w:r>
      <w:r>
        <w:rPr>
          <w:lang w:val="en-GB"/>
        </w:rPr>
        <w:t>,</w:t>
      </w:r>
      <w:r w:rsidR="008856E5" w:rsidRPr="00187F3C">
        <w:rPr>
          <w:lang w:val="en-GB"/>
        </w:rPr>
        <w:t xml:space="preserve"> combination of fludarabine, cytarabine, idarubicin, and granulocyte colony-stimulating factor (G-CSF); IV</w:t>
      </w:r>
      <w:r>
        <w:rPr>
          <w:lang w:val="en-GB"/>
        </w:rPr>
        <w:t>,</w:t>
      </w:r>
      <w:r w:rsidR="008856E5" w:rsidRPr="00187F3C">
        <w:rPr>
          <w:lang w:val="en-GB"/>
        </w:rPr>
        <w:t xml:space="preserve"> intravenous</w:t>
      </w:r>
      <w:r w:rsidR="00FC19BF">
        <w:rPr>
          <w:lang w:val="en-GB"/>
        </w:rPr>
        <w:t>;</w:t>
      </w:r>
      <w:r w:rsidR="00FC19BF" w:rsidRPr="00FC19BF">
        <w:rPr>
          <w:lang w:val="en-GB"/>
        </w:rPr>
        <w:t xml:space="preserve"> </w:t>
      </w:r>
      <w:r w:rsidR="00FC19BF" w:rsidRPr="00187F3C">
        <w:rPr>
          <w:lang w:val="en-GB"/>
        </w:rPr>
        <w:t>NICE</w:t>
      </w:r>
      <w:r>
        <w:rPr>
          <w:lang w:val="en-GB"/>
        </w:rPr>
        <w:t>,</w:t>
      </w:r>
      <w:r w:rsidR="00FC19BF" w:rsidRPr="00187F3C">
        <w:rPr>
          <w:lang w:val="en-GB"/>
        </w:rPr>
        <w:t xml:space="preserve"> National Institute for Health and Care Excellence</w:t>
      </w:r>
      <w:r w:rsidR="008856E5">
        <w:rPr>
          <w:lang w:val="en-GB"/>
        </w:rPr>
        <w:t>.</w:t>
      </w:r>
    </w:p>
    <w:p w14:paraId="076C4119" w14:textId="77777777" w:rsidR="002C327F" w:rsidRPr="002E1D08" w:rsidRDefault="002C327F" w:rsidP="004F1002">
      <w:pPr>
        <w:tabs>
          <w:tab w:val="left" w:pos="1861"/>
        </w:tabs>
        <w:jc w:val="both"/>
        <w:rPr>
          <w:rFonts w:ascii="Times New Roman" w:eastAsia="Times New Roman" w:hAnsi="Times New Roman" w:cs="Times New Roman"/>
          <w:lang w:val="en-GB" w:eastAsia="it-IT"/>
        </w:rPr>
      </w:pPr>
    </w:p>
    <w:p w14:paraId="4F4CE5CC" w14:textId="101C9E08" w:rsidR="001007F0" w:rsidRPr="002E1D08" w:rsidRDefault="001007F0">
      <w:pPr>
        <w:spacing w:after="160" w:line="259" w:lineRule="auto"/>
        <w:rPr>
          <w:rFonts w:ascii="Times New Roman" w:eastAsia="Times New Roman" w:hAnsi="Times New Roman" w:cs="Times New Roman"/>
          <w:lang w:val="en-GB" w:eastAsia="it-IT"/>
        </w:rPr>
      </w:pPr>
      <w:r w:rsidRPr="002E1D08">
        <w:rPr>
          <w:rFonts w:ascii="Times New Roman" w:eastAsia="Times New Roman" w:hAnsi="Times New Roman" w:cs="Times New Roman"/>
          <w:lang w:val="en-GB" w:eastAsia="it-IT"/>
        </w:rPr>
        <w:br w:type="page"/>
      </w:r>
    </w:p>
    <w:p w14:paraId="15BDA115" w14:textId="05655F6C" w:rsidR="004F1002" w:rsidRPr="00102B2D" w:rsidRDefault="00A61152" w:rsidP="00753AB2">
      <w:pPr>
        <w:tabs>
          <w:tab w:val="left" w:pos="1861"/>
        </w:tabs>
        <w:spacing w:after="120" w:line="276" w:lineRule="auto"/>
        <w:rPr>
          <w:rFonts w:eastAsia="Times New Roman" w:cs="Arial"/>
          <w:szCs w:val="20"/>
          <w:lang w:val="en-GB" w:eastAsia="it-IT"/>
        </w:rPr>
      </w:pPr>
      <w:r w:rsidRPr="00102B2D">
        <w:rPr>
          <w:rFonts w:eastAsia="Times New Roman" w:cs="Arial"/>
          <w:b/>
          <w:bCs/>
          <w:szCs w:val="20"/>
          <w:lang w:val="en-GB" w:eastAsia="it-IT"/>
        </w:rPr>
        <w:lastRenderedPageBreak/>
        <w:t>Supplementa</w:t>
      </w:r>
      <w:r w:rsidR="001375D9" w:rsidRPr="00102B2D">
        <w:rPr>
          <w:rFonts w:eastAsia="Times New Roman" w:cs="Arial"/>
          <w:b/>
          <w:bCs/>
          <w:szCs w:val="20"/>
          <w:lang w:val="en-GB" w:eastAsia="it-IT"/>
        </w:rPr>
        <w:t>l</w:t>
      </w:r>
      <w:r w:rsidR="007411D4" w:rsidRPr="00102B2D">
        <w:rPr>
          <w:rFonts w:eastAsia="Times New Roman" w:cs="Arial"/>
          <w:b/>
          <w:bCs/>
          <w:szCs w:val="20"/>
          <w:lang w:val="en-GB" w:eastAsia="it-IT"/>
        </w:rPr>
        <w:t xml:space="preserve"> </w:t>
      </w:r>
      <w:r w:rsidR="004F1002" w:rsidRPr="00102B2D">
        <w:rPr>
          <w:rFonts w:eastAsia="Times New Roman" w:cs="Arial"/>
          <w:b/>
          <w:bCs/>
          <w:szCs w:val="20"/>
          <w:lang w:val="en-GB" w:eastAsia="it-IT"/>
        </w:rPr>
        <w:t xml:space="preserve">Table </w:t>
      </w:r>
      <w:r w:rsidR="007411D4" w:rsidRPr="00102B2D">
        <w:rPr>
          <w:rFonts w:eastAsia="Times New Roman" w:cs="Arial"/>
          <w:b/>
          <w:bCs/>
          <w:szCs w:val="20"/>
          <w:lang w:val="en-GB" w:eastAsia="it-IT"/>
        </w:rPr>
        <w:t>4</w:t>
      </w:r>
      <w:r w:rsidR="004F1002" w:rsidRPr="00102B2D">
        <w:rPr>
          <w:rFonts w:eastAsia="Times New Roman" w:cs="Arial"/>
          <w:b/>
          <w:bCs/>
          <w:szCs w:val="20"/>
          <w:lang w:val="en-GB" w:eastAsia="it-IT"/>
        </w:rPr>
        <w:t xml:space="preserve"> </w:t>
      </w:r>
      <w:r w:rsidR="004F1002" w:rsidRPr="00102B2D">
        <w:rPr>
          <w:rFonts w:eastAsia="Times New Roman" w:cs="Arial"/>
          <w:szCs w:val="20"/>
          <w:lang w:val="en-GB" w:eastAsia="it-IT"/>
        </w:rPr>
        <w:t>Scenario analysis variable inputs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727"/>
        <w:gridCol w:w="2101"/>
        <w:gridCol w:w="2524"/>
        <w:gridCol w:w="6924"/>
      </w:tblGrid>
      <w:tr w:rsidR="00811425" w:rsidRPr="000434F4" w14:paraId="25AADDF0" w14:textId="77777777" w:rsidTr="001007F0">
        <w:trPr>
          <w:trHeight w:val="329"/>
          <w:tblHeader/>
        </w:trPr>
        <w:tc>
          <w:tcPr>
            <w:tcW w:w="955" w:type="pct"/>
            <w:shd w:val="clear" w:color="auto" w:fill="808080" w:themeFill="background1" w:themeFillShade="80"/>
            <w:tcMar>
              <w:top w:w="0" w:type="dxa"/>
              <w:left w:w="108" w:type="dxa"/>
              <w:bottom w:w="0" w:type="dxa"/>
              <w:right w:w="108" w:type="dxa"/>
            </w:tcMar>
            <w:vAlign w:val="center"/>
          </w:tcPr>
          <w:p w14:paraId="26D961B8" w14:textId="77777777" w:rsidR="004F1002" w:rsidRPr="000434F4" w:rsidRDefault="004F1002" w:rsidP="001007F0">
            <w:pPr>
              <w:autoSpaceDE w:val="0"/>
              <w:spacing w:line="276" w:lineRule="auto"/>
              <w:rPr>
                <w:rFonts w:cs="Arial"/>
                <w:b/>
                <w:color w:val="FFFFFF" w:themeColor="background1"/>
                <w:lang w:val="en-GB"/>
              </w:rPr>
            </w:pPr>
            <w:r w:rsidRPr="000434F4">
              <w:rPr>
                <w:rFonts w:cs="Arial"/>
                <w:b/>
                <w:color w:val="FFFFFF" w:themeColor="background1"/>
                <w:lang w:val="en-GB"/>
              </w:rPr>
              <w:t>Parameter</w:t>
            </w:r>
          </w:p>
        </w:tc>
        <w:tc>
          <w:tcPr>
            <w:tcW w:w="736" w:type="pct"/>
            <w:shd w:val="clear" w:color="auto" w:fill="808080" w:themeFill="background1" w:themeFillShade="80"/>
            <w:tcMar>
              <w:top w:w="0" w:type="dxa"/>
              <w:left w:w="108" w:type="dxa"/>
              <w:bottom w:w="0" w:type="dxa"/>
              <w:right w:w="108" w:type="dxa"/>
            </w:tcMar>
            <w:vAlign w:val="center"/>
          </w:tcPr>
          <w:p w14:paraId="7C86A76E" w14:textId="77777777" w:rsidR="004F1002" w:rsidRPr="000434F4" w:rsidRDefault="004F1002" w:rsidP="001007F0">
            <w:pPr>
              <w:autoSpaceDE w:val="0"/>
              <w:spacing w:line="276" w:lineRule="auto"/>
              <w:jc w:val="center"/>
              <w:rPr>
                <w:rFonts w:cs="Arial"/>
                <w:b/>
                <w:color w:val="FFFFFF" w:themeColor="background1"/>
                <w:lang w:val="en-GB"/>
              </w:rPr>
            </w:pPr>
            <w:r w:rsidRPr="000434F4">
              <w:rPr>
                <w:rFonts w:cs="Arial"/>
                <w:b/>
                <w:color w:val="FFFFFF" w:themeColor="background1"/>
                <w:lang w:val="en-GB"/>
              </w:rPr>
              <w:t>Base case</w:t>
            </w:r>
          </w:p>
        </w:tc>
        <w:tc>
          <w:tcPr>
            <w:tcW w:w="884" w:type="pct"/>
            <w:shd w:val="clear" w:color="auto" w:fill="808080" w:themeFill="background1" w:themeFillShade="80"/>
          </w:tcPr>
          <w:p w14:paraId="54D23420" w14:textId="77777777" w:rsidR="004F1002" w:rsidRPr="000434F4" w:rsidRDefault="004F1002" w:rsidP="001007F0">
            <w:pPr>
              <w:autoSpaceDE w:val="0"/>
              <w:spacing w:line="276" w:lineRule="auto"/>
              <w:jc w:val="center"/>
              <w:rPr>
                <w:rFonts w:cs="Arial"/>
                <w:b/>
                <w:color w:val="FFFFFF" w:themeColor="background1"/>
                <w:lang w:val="en-GB"/>
              </w:rPr>
            </w:pPr>
            <w:r w:rsidRPr="000434F4">
              <w:rPr>
                <w:rFonts w:cs="Arial"/>
                <w:b/>
                <w:color w:val="FFFFFF" w:themeColor="background1"/>
                <w:lang w:val="en-GB"/>
              </w:rPr>
              <w:t>Assumed scenario</w:t>
            </w:r>
          </w:p>
        </w:tc>
        <w:tc>
          <w:tcPr>
            <w:tcW w:w="2425" w:type="pct"/>
            <w:shd w:val="clear" w:color="auto" w:fill="808080" w:themeFill="background1" w:themeFillShade="80"/>
          </w:tcPr>
          <w:p w14:paraId="1F26918F" w14:textId="77777777" w:rsidR="004F1002" w:rsidRPr="000434F4" w:rsidRDefault="004F1002" w:rsidP="001007F0">
            <w:pPr>
              <w:autoSpaceDE w:val="0"/>
              <w:spacing w:line="276" w:lineRule="auto"/>
              <w:jc w:val="center"/>
              <w:rPr>
                <w:rFonts w:cs="Arial"/>
                <w:b/>
                <w:color w:val="FFFFFF" w:themeColor="background1"/>
                <w:lang w:val="en-GB"/>
              </w:rPr>
            </w:pPr>
            <w:r w:rsidRPr="000434F4">
              <w:rPr>
                <w:rFonts w:cs="Arial"/>
                <w:b/>
                <w:color w:val="FFFFFF" w:themeColor="background1"/>
                <w:lang w:val="en-GB"/>
              </w:rPr>
              <w:t>Rationale</w:t>
            </w:r>
          </w:p>
        </w:tc>
      </w:tr>
      <w:tr w:rsidR="00811425" w:rsidRPr="000434F4" w14:paraId="31DB35B3" w14:textId="77777777" w:rsidTr="001D38A2">
        <w:trPr>
          <w:trHeight w:val="420"/>
        </w:trPr>
        <w:tc>
          <w:tcPr>
            <w:tcW w:w="955" w:type="pct"/>
            <w:vMerge w:val="restart"/>
            <w:tcMar>
              <w:top w:w="0" w:type="dxa"/>
              <w:left w:w="108" w:type="dxa"/>
              <w:bottom w:w="0" w:type="dxa"/>
              <w:right w:w="108" w:type="dxa"/>
            </w:tcMar>
            <w:vAlign w:val="center"/>
          </w:tcPr>
          <w:p w14:paraId="27110280" w14:textId="77777777" w:rsidR="004F1002" w:rsidRPr="000434F4" w:rsidRDefault="004F1002" w:rsidP="001007F0">
            <w:pPr>
              <w:autoSpaceDE w:val="0"/>
              <w:spacing w:line="276" w:lineRule="auto"/>
              <w:rPr>
                <w:rFonts w:cs="Arial"/>
                <w:iCs/>
                <w:lang w:val="en-GB"/>
              </w:rPr>
            </w:pPr>
            <w:r w:rsidRPr="000434F4">
              <w:rPr>
                <w:rFonts w:cs="Arial"/>
                <w:iCs/>
                <w:lang w:val="en-GB"/>
              </w:rPr>
              <w:t>Discount rate</w:t>
            </w:r>
          </w:p>
        </w:tc>
        <w:tc>
          <w:tcPr>
            <w:tcW w:w="736" w:type="pct"/>
            <w:vMerge w:val="restart"/>
            <w:tcMar>
              <w:top w:w="0" w:type="dxa"/>
              <w:left w:w="108" w:type="dxa"/>
              <w:bottom w:w="0" w:type="dxa"/>
              <w:right w:w="108" w:type="dxa"/>
            </w:tcMar>
            <w:vAlign w:val="center"/>
          </w:tcPr>
          <w:p w14:paraId="5299B8D3" w14:textId="77777777" w:rsidR="004F1002" w:rsidRPr="000434F4" w:rsidRDefault="004F1002" w:rsidP="001007F0">
            <w:pPr>
              <w:autoSpaceDE w:val="0"/>
              <w:spacing w:line="276" w:lineRule="auto"/>
              <w:jc w:val="center"/>
              <w:rPr>
                <w:rFonts w:cs="Arial"/>
                <w:iCs/>
                <w:lang w:val="en-GB"/>
              </w:rPr>
            </w:pPr>
            <w:r w:rsidRPr="000434F4">
              <w:rPr>
                <w:rFonts w:cs="Arial"/>
                <w:iCs/>
                <w:lang w:val="en-GB"/>
              </w:rPr>
              <w:t>3.0%</w:t>
            </w:r>
          </w:p>
        </w:tc>
        <w:tc>
          <w:tcPr>
            <w:tcW w:w="884" w:type="pct"/>
            <w:vAlign w:val="center"/>
          </w:tcPr>
          <w:p w14:paraId="6E5445B3" w14:textId="77777777" w:rsidR="004F1002" w:rsidRPr="000434F4" w:rsidRDefault="004F1002" w:rsidP="001007F0">
            <w:pPr>
              <w:autoSpaceDE w:val="0"/>
              <w:spacing w:line="276" w:lineRule="auto"/>
              <w:jc w:val="center"/>
              <w:rPr>
                <w:rFonts w:cs="Arial"/>
                <w:iCs/>
                <w:lang w:val="en-GB"/>
              </w:rPr>
            </w:pPr>
            <w:r w:rsidRPr="000434F4">
              <w:rPr>
                <w:rFonts w:cs="Arial"/>
                <w:iCs/>
                <w:lang w:val="en-GB"/>
              </w:rPr>
              <w:t>1.5%</w:t>
            </w:r>
          </w:p>
        </w:tc>
        <w:tc>
          <w:tcPr>
            <w:tcW w:w="2425" w:type="pct"/>
            <w:vMerge w:val="restart"/>
            <w:vAlign w:val="center"/>
          </w:tcPr>
          <w:p w14:paraId="3202D612" w14:textId="77777777" w:rsidR="004F1002" w:rsidRPr="000434F4" w:rsidRDefault="004F1002" w:rsidP="001007F0">
            <w:pPr>
              <w:autoSpaceDE w:val="0"/>
              <w:spacing w:line="276" w:lineRule="auto"/>
              <w:ind w:left="113"/>
              <w:rPr>
                <w:rFonts w:cs="Arial"/>
                <w:iCs/>
                <w:lang w:val="en-GB"/>
              </w:rPr>
            </w:pPr>
            <w:r w:rsidRPr="000434F4">
              <w:rPr>
                <w:rFonts w:cs="Arial"/>
                <w:iCs/>
                <w:lang w:val="en-GB"/>
              </w:rPr>
              <w:t>These scenarios were investigated to explore the impact of varying the discount rate on the results of the cost-effectiveness analysis.</w:t>
            </w:r>
          </w:p>
        </w:tc>
      </w:tr>
      <w:tr w:rsidR="00811425" w:rsidRPr="000434F4" w14:paraId="30ACEAB4" w14:textId="77777777" w:rsidTr="001D38A2">
        <w:trPr>
          <w:trHeight w:val="420"/>
        </w:trPr>
        <w:tc>
          <w:tcPr>
            <w:tcW w:w="955" w:type="pct"/>
            <w:vMerge/>
            <w:tcMar>
              <w:top w:w="0" w:type="dxa"/>
              <w:left w:w="108" w:type="dxa"/>
              <w:bottom w:w="0" w:type="dxa"/>
              <w:right w:w="108" w:type="dxa"/>
            </w:tcMar>
            <w:vAlign w:val="center"/>
          </w:tcPr>
          <w:p w14:paraId="41A7E09B" w14:textId="77777777" w:rsidR="004F1002" w:rsidRPr="000434F4" w:rsidRDefault="004F1002" w:rsidP="001007F0">
            <w:pPr>
              <w:autoSpaceDE w:val="0"/>
              <w:spacing w:line="276" w:lineRule="auto"/>
              <w:ind w:left="113"/>
              <w:rPr>
                <w:rFonts w:cs="Arial"/>
                <w:iCs/>
                <w:lang w:val="en-GB"/>
              </w:rPr>
            </w:pPr>
          </w:p>
        </w:tc>
        <w:tc>
          <w:tcPr>
            <w:tcW w:w="736" w:type="pct"/>
            <w:vMerge/>
            <w:tcMar>
              <w:top w:w="0" w:type="dxa"/>
              <w:left w:w="108" w:type="dxa"/>
              <w:bottom w:w="0" w:type="dxa"/>
              <w:right w:w="108" w:type="dxa"/>
            </w:tcMar>
            <w:vAlign w:val="center"/>
          </w:tcPr>
          <w:p w14:paraId="60606636" w14:textId="77777777" w:rsidR="004F1002" w:rsidRPr="000434F4" w:rsidRDefault="004F1002" w:rsidP="001007F0">
            <w:pPr>
              <w:autoSpaceDE w:val="0"/>
              <w:spacing w:line="276" w:lineRule="auto"/>
              <w:jc w:val="center"/>
              <w:rPr>
                <w:rFonts w:cs="Arial"/>
                <w:iCs/>
                <w:lang w:val="en-GB"/>
              </w:rPr>
            </w:pPr>
          </w:p>
        </w:tc>
        <w:tc>
          <w:tcPr>
            <w:tcW w:w="884" w:type="pct"/>
            <w:vAlign w:val="center"/>
          </w:tcPr>
          <w:p w14:paraId="6D3DFF87" w14:textId="77777777" w:rsidR="004F1002" w:rsidRPr="000434F4" w:rsidRDefault="004F1002" w:rsidP="001007F0">
            <w:pPr>
              <w:autoSpaceDE w:val="0"/>
              <w:spacing w:line="276" w:lineRule="auto"/>
              <w:jc w:val="center"/>
              <w:rPr>
                <w:rFonts w:cs="Arial"/>
                <w:iCs/>
                <w:lang w:val="en-GB"/>
              </w:rPr>
            </w:pPr>
            <w:r w:rsidRPr="000434F4">
              <w:rPr>
                <w:rFonts w:cs="Arial"/>
                <w:iCs/>
                <w:lang w:val="en-GB"/>
              </w:rPr>
              <w:t>5%</w:t>
            </w:r>
          </w:p>
        </w:tc>
        <w:tc>
          <w:tcPr>
            <w:tcW w:w="2425" w:type="pct"/>
            <w:vMerge/>
            <w:vAlign w:val="center"/>
          </w:tcPr>
          <w:p w14:paraId="7E80DD0B" w14:textId="77777777" w:rsidR="004F1002" w:rsidRPr="000434F4" w:rsidRDefault="004F1002" w:rsidP="001007F0">
            <w:pPr>
              <w:autoSpaceDE w:val="0"/>
              <w:spacing w:line="276" w:lineRule="auto"/>
              <w:ind w:left="113"/>
              <w:rPr>
                <w:rFonts w:cs="Arial"/>
                <w:iCs/>
                <w:lang w:val="en-GB"/>
              </w:rPr>
            </w:pPr>
          </w:p>
        </w:tc>
      </w:tr>
      <w:tr w:rsidR="00811425" w:rsidRPr="000434F4" w14:paraId="5FFED7FB" w14:textId="77777777" w:rsidTr="001D38A2">
        <w:tc>
          <w:tcPr>
            <w:tcW w:w="955" w:type="pct"/>
            <w:tcMar>
              <w:top w:w="0" w:type="dxa"/>
              <w:left w:w="108" w:type="dxa"/>
              <w:bottom w:w="0" w:type="dxa"/>
              <w:right w:w="108" w:type="dxa"/>
            </w:tcMar>
            <w:vAlign w:val="center"/>
          </w:tcPr>
          <w:p w14:paraId="74B4D108" w14:textId="77777777" w:rsidR="004F1002" w:rsidRPr="000434F4" w:rsidRDefault="004F1002" w:rsidP="001007F0">
            <w:pPr>
              <w:autoSpaceDE w:val="0"/>
              <w:spacing w:line="276" w:lineRule="auto"/>
              <w:rPr>
                <w:rFonts w:cs="Arial"/>
                <w:iCs/>
                <w:lang w:val="en-GB"/>
              </w:rPr>
            </w:pPr>
            <w:r w:rsidRPr="000434F4">
              <w:rPr>
                <w:rFonts w:cs="Arial"/>
                <w:iCs/>
                <w:lang w:val="en-GB"/>
              </w:rPr>
              <w:t>RFS curve extrapolation</w:t>
            </w:r>
          </w:p>
        </w:tc>
        <w:tc>
          <w:tcPr>
            <w:tcW w:w="736" w:type="pct"/>
            <w:tcMar>
              <w:top w:w="0" w:type="dxa"/>
              <w:left w:w="108" w:type="dxa"/>
              <w:bottom w:w="0" w:type="dxa"/>
              <w:right w:w="108" w:type="dxa"/>
            </w:tcMar>
            <w:vAlign w:val="center"/>
          </w:tcPr>
          <w:p w14:paraId="57C41159" w14:textId="77777777" w:rsidR="004F1002" w:rsidRPr="000434F4" w:rsidRDefault="004F1002" w:rsidP="001007F0">
            <w:pPr>
              <w:autoSpaceDE w:val="0"/>
              <w:spacing w:line="276" w:lineRule="auto"/>
              <w:jc w:val="center"/>
              <w:rPr>
                <w:rFonts w:cs="Arial"/>
                <w:iCs/>
                <w:lang w:val="en-GB"/>
              </w:rPr>
            </w:pPr>
            <w:r w:rsidRPr="000434F4">
              <w:rPr>
                <w:rFonts w:cs="Arial"/>
                <w:iCs/>
                <w:lang w:val="en-GB"/>
              </w:rPr>
              <w:t>Log-normal</w:t>
            </w:r>
          </w:p>
        </w:tc>
        <w:tc>
          <w:tcPr>
            <w:tcW w:w="884" w:type="pct"/>
            <w:vAlign w:val="center"/>
          </w:tcPr>
          <w:p w14:paraId="17DA5D79" w14:textId="77777777" w:rsidR="004F1002" w:rsidRPr="000434F4" w:rsidRDefault="004F1002" w:rsidP="001007F0">
            <w:pPr>
              <w:autoSpaceDE w:val="0"/>
              <w:spacing w:line="276" w:lineRule="auto"/>
              <w:jc w:val="center"/>
              <w:rPr>
                <w:rFonts w:cs="Arial"/>
                <w:iCs/>
                <w:lang w:val="en-GB"/>
              </w:rPr>
            </w:pPr>
            <w:r w:rsidRPr="000434F4">
              <w:rPr>
                <w:rFonts w:cs="Arial"/>
                <w:iCs/>
                <w:lang w:val="en-GB"/>
              </w:rPr>
              <w:t>Exponential and log-logistic</w:t>
            </w:r>
          </w:p>
        </w:tc>
        <w:tc>
          <w:tcPr>
            <w:tcW w:w="2425" w:type="pct"/>
            <w:vMerge w:val="restart"/>
            <w:vAlign w:val="center"/>
          </w:tcPr>
          <w:p w14:paraId="2F40B224" w14:textId="77777777" w:rsidR="004F1002" w:rsidRPr="000434F4" w:rsidRDefault="004F1002" w:rsidP="001007F0">
            <w:pPr>
              <w:autoSpaceDE w:val="0"/>
              <w:spacing w:line="276" w:lineRule="auto"/>
              <w:ind w:left="113"/>
              <w:rPr>
                <w:rFonts w:cs="Arial"/>
                <w:iCs/>
                <w:lang w:val="en-GB"/>
              </w:rPr>
            </w:pPr>
            <w:r w:rsidRPr="000434F4">
              <w:rPr>
                <w:rFonts w:cs="Arial"/>
                <w:iCs/>
                <w:lang w:val="en-GB"/>
              </w:rPr>
              <w:t>These scenarios were investigated to test the use of different parametric distributions.</w:t>
            </w:r>
          </w:p>
        </w:tc>
      </w:tr>
      <w:tr w:rsidR="00811425" w:rsidRPr="000434F4" w14:paraId="7FDED985" w14:textId="77777777" w:rsidTr="001D38A2">
        <w:tc>
          <w:tcPr>
            <w:tcW w:w="955" w:type="pct"/>
            <w:tcMar>
              <w:top w:w="0" w:type="dxa"/>
              <w:left w:w="108" w:type="dxa"/>
              <w:bottom w:w="0" w:type="dxa"/>
              <w:right w:w="108" w:type="dxa"/>
            </w:tcMar>
            <w:vAlign w:val="center"/>
          </w:tcPr>
          <w:p w14:paraId="4EB0AE45" w14:textId="77777777" w:rsidR="004F1002" w:rsidRPr="000434F4" w:rsidRDefault="004F1002" w:rsidP="001007F0">
            <w:pPr>
              <w:autoSpaceDE w:val="0"/>
              <w:spacing w:line="276" w:lineRule="auto"/>
              <w:rPr>
                <w:rFonts w:cs="Arial"/>
                <w:iCs/>
                <w:lang w:val="en-GB"/>
              </w:rPr>
            </w:pPr>
            <w:r w:rsidRPr="000434F4">
              <w:rPr>
                <w:rFonts w:cs="Arial"/>
                <w:iCs/>
                <w:lang w:val="en-GB"/>
              </w:rPr>
              <w:t>Extrapolation of OS curves</w:t>
            </w:r>
          </w:p>
        </w:tc>
        <w:tc>
          <w:tcPr>
            <w:tcW w:w="736" w:type="pct"/>
            <w:tcMar>
              <w:top w:w="0" w:type="dxa"/>
              <w:left w:w="108" w:type="dxa"/>
              <w:bottom w:w="0" w:type="dxa"/>
              <w:right w:w="108" w:type="dxa"/>
            </w:tcMar>
            <w:vAlign w:val="center"/>
          </w:tcPr>
          <w:p w14:paraId="6B1A7118" w14:textId="77777777" w:rsidR="004F1002" w:rsidRPr="000434F4" w:rsidRDefault="004F1002" w:rsidP="001007F0">
            <w:pPr>
              <w:autoSpaceDE w:val="0"/>
              <w:spacing w:line="276" w:lineRule="auto"/>
              <w:jc w:val="center"/>
              <w:rPr>
                <w:rFonts w:cs="Arial"/>
                <w:iCs/>
                <w:lang w:val="en-GB"/>
              </w:rPr>
            </w:pPr>
            <w:r w:rsidRPr="000434F4">
              <w:rPr>
                <w:rFonts w:cs="Arial"/>
                <w:iCs/>
                <w:lang w:val="en-GB"/>
              </w:rPr>
              <w:t>Weibull</w:t>
            </w:r>
          </w:p>
        </w:tc>
        <w:tc>
          <w:tcPr>
            <w:tcW w:w="884" w:type="pct"/>
            <w:vAlign w:val="center"/>
          </w:tcPr>
          <w:p w14:paraId="7071925D" w14:textId="77777777" w:rsidR="004F1002" w:rsidRPr="000434F4" w:rsidRDefault="004F1002" w:rsidP="001007F0">
            <w:pPr>
              <w:autoSpaceDE w:val="0"/>
              <w:spacing w:line="276" w:lineRule="auto"/>
              <w:jc w:val="center"/>
              <w:rPr>
                <w:rFonts w:cs="Arial"/>
                <w:iCs/>
                <w:color w:val="C00000"/>
                <w:lang w:val="en-GB"/>
              </w:rPr>
            </w:pPr>
            <w:r w:rsidRPr="000434F4">
              <w:rPr>
                <w:rFonts w:cs="Arial"/>
                <w:iCs/>
                <w:lang w:val="en-GB"/>
              </w:rPr>
              <w:t>Gamma e Gompertz</w:t>
            </w:r>
          </w:p>
        </w:tc>
        <w:tc>
          <w:tcPr>
            <w:tcW w:w="2425" w:type="pct"/>
            <w:vMerge/>
            <w:vAlign w:val="center"/>
          </w:tcPr>
          <w:p w14:paraId="5008E24F" w14:textId="77777777" w:rsidR="004F1002" w:rsidRPr="000434F4" w:rsidRDefault="004F1002" w:rsidP="001007F0">
            <w:pPr>
              <w:autoSpaceDE w:val="0"/>
              <w:spacing w:line="276" w:lineRule="auto"/>
              <w:ind w:left="113"/>
              <w:rPr>
                <w:rFonts w:cs="Arial"/>
                <w:iCs/>
                <w:lang w:val="en-GB"/>
              </w:rPr>
            </w:pPr>
          </w:p>
        </w:tc>
      </w:tr>
      <w:tr w:rsidR="00811425" w:rsidRPr="000434F4" w14:paraId="25A3B475" w14:textId="77777777" w:rsidTr="001D38A2">
        <w:tc>
          <w:tcPr>
            <w:tcW w:w="955" w:type="pct"/>
            <w:tcMar>
              <w:top w:w="0" w:type="dxa"/>
              <w:left w:w="108" w:type="dxa"/>
              <w:bottom w:w="0" w:type="dxa"/>
              <w:right w:w="108" w:type="dxa"/>
            </w:tcMar>
            <w:vAlign w:val="center"/>
          </w:tcPr>
          <w:p w14:paraId="234BC7F1" w14:textId="77777777" w:rsidR="004F1002" w:rsidRPr="000434F4" w:rsidRDefault="004F1002" w:rsidP="001007F0">
            <w:pPr>
              <w:autoSpaceDE w:val="0"/>
              <w:spacing w:line="276" w:lineRule="auto"/>
              <w:rPr>
                <w:rFonts w:cs="Arial"/>
                <w:iCs/>
                <w:lang w:val="en-GB"/>
              </w:rPr>
            </w:pPr>
            <w:r w:rsidRPr="000434F4">
              <w:rPr>
                <w:rFonts w:cs="Arial"/>
                <w:iCs/>
                <w:lang w:val="en-GB"/>
              </w:rPr>
              <w:t>Utility in "cured" patients</w:t>
            </w:r>
          </w:p>
        </w:tc>
        <w:tc>
          <w:tcPr>
            <w:tcW w:w="736" w:type="pct"/>
            <w:tcMar>
              <w:top w:w="0" w:type="dxa"/>
              <w:left w:w="108" w:type="dxa"/>
              <w:bottom w:w="0" w:type="dxa"/>
              <w:right w:w="108" w:type="dxa"/>
            </w:tcMar>
            <w:vAlign w:val="center"/>
          </w:tcPr>
          <w:p w14:paraId="2D422F82" w14:textId="77777777" w:rsidR="004F1002" w:rsidRPr="000434F4" w:rsidRDefault="004F1002" w:rsidP="001007F0">
            <w:pPr>
              <w:autoSpaceDE w:val="0"/>
              <w:spacing w:line="276" w:lineRule="auto"/>
              <w:jc w:val="center"/>
              <w:rPr>
                <w:rFonts w:cs="Arial"/>
                <w:iCs/>
                <w:lang w:val="en-GB"/>
              </w:rPr>
            </w:pPr>
            <w:r w:rsidRPr="000434F4">
              <w:rPr>
                <w:rFonts w:cs="Arial"/>
                <w:iCs/>
                <w:lang w:val="en-GB"/>
              </w:rPr>
              <w:t>Same as the general population</w:t>
            </w:r>
          </w:p>
        </w:tc>
        <w:tc>
          <w:tcPr>
            <w:tcW w:w="884" w:type="pct"/>
            <w:vAlign w:val="center"/>
          </w:tcPr>
          <w:p w14:paraId="5F256897" w14:textId="77777777" w:rsidR="004F1002" w:rsidRPr="000434F4" w:rsidRDefault="004F1002" w:rsidP="001007F0">
            <w:pPr>
              <w:autoSpaceDE w:val="0"/>
              <w:spacing w:line="276" w:lineRule="auto"/>
              <w:jc w:val="center"/>
              <w:rPr>
                <w:rFonts w:cs="Arial"/>
                <w:iCs/>
                <w:lang w:val="en-GB"/>
              </w:rPr>
            </w:pPr>
            <w:r w:rsidRPr="000434F4">
              <w:rPr>
                <w:rFonts w:cs="Arial"/>
                <w:iCs/>
                <w:lang w:val="en-GB"/>
              </w:rPr>
              <w:t xml:space="preserve">99.2% correction factor for the general population utility </w:t>
            </w:r>
          </w:p>
        </w:tc>
        <w:tc>
          <w:tcPr>
            <w:tcW w:w="2425" w:type="pct"/>
            <w:vAlign w:val="center"/>
          </w:tcPr>
          <w:p w14:paraId="392A44F1" w14:textId="7E6EF2AE" w:rsidR="004F1002" w:rsidRPr="000434F4" w:rsidRDefault="004F1002" w:rsidP="001007F0">
            <w:pPr>
              <w:autoSpaceDE w:val="0"/>
              <w:spacing w:line="276" w:lineRule="auto"/>
              <w:ind w:left="113"/>
              <w:rPr>
                <w:rFonts w:cs="Arial"/>
                <w:iCs/>
                <w:lang w:val="en-GB"/>
              </w:rPr>
            </w:pPr>
            <w:r w:rsidRPr="000434F4">
              <w:rPr>
                <w:rFonts w:cs="Arial"/>
                <w:iCs/>
                <w:lang w:val="en-GB"/>
              </w:rPr>
              <w:t xml:space="preserve">This scenario is investigated to take into account the impact of ALL on patients' long-term quality of life. While no published literature on long-term utility decrements for ALL patients exists in the literature, in this scenario we applied a long-term disutility due to the residual effects of ALL of 99.2% to the age- and sex-matched general population utility. This </w:t>
            </w:r>
            <w:r w:rsidR="00D1621A" w:rsidRPr="000434F4">
              <w:rPr>
                <w:rFonts w:cs="Arial"/>
                <w:iCs/>
                <w:lang w:val="en-GB"/>
              </w:rPr>
              <w:t>correction factor</w:t>
            </w:r>
            <w:r w:rsidRPr="000434F4">
              <w:rPr>
                <w:rFonts w:cs="Arial"/>
                <w:iCs/>
                <w:lang w:val="en-GB"/>
              </w:rPr>
              <w:t xml:space="preserve"> was estimated by dividing the relapse-free utility by the age- and sex-matched general population utility for a 50-year-old person.</w:t>
            </w:r>
          </w:p>
        </w:tc>
      </w:tr>
      <w:tr w:rsidR="00811425" w:rsidRPr="000434F4" w14:paraId="020CB044" w14:textId="77777777" w:rsidTr="001D38A2">
        <w:trPr>
          <w:trHeight w:val="1362"/>
        </w:trPr>
        <w:tc>
          <w:tcPr>
            <w:tcW w:w="955" w:type="pct"/>
            <w:tcMar>
              <w:top w:w="0" w:type="dxa"/>
              <w:left w:w="108" w:type="dxa"/>
              <w:bottom w:w="0" w:type="dxa"/>
              <w:right w:w="108" w:type="dxa"/>
            </w:tcMar>
            <w:vAlign w:val="center"/>
          </w:tcPr>
          <w:p w14:paraId="144EBD5B" w14:textId="77777777" w:rsidR="004F1002" w:rsidRPr="000434F4" w:rsidRDefault="004F1002" w:rsidP="001007F0">
            <w:pPr>
              <w:autoSpaceDE w:val="0"/>
              <w:spacing w:line="276" w:lineRule="auto"/>
              <w:rPr>
                <w:rFonts w:cs="Arial"/>
                <w:iCs/>
                <w:lang w:val="en-GB"/>
              </w:rPr>
            </w:pPr>
            <w:r w:rsidRPr="000434F4">
              <w:rPr>
                <w:rFonts w:cs="Arial"/>
                <w:iCs/>
                <w:lang w:val="en-GB"/>
              </w:rPr>
              <w:t>Standardized mortality ratio (SMR)</w:t>
            </w:r>
          </w:p>
        </w:tc>
        <w:tc>
          <w:tcPr>
            <w:tcW w:w="736" w:type="pct"/>
            <w:tcMar>
              <w:top w:w="0" w:type="dxa"/>
              <w:left w:w="108" w:type="dxa"/>
              <w:bottom w:w="0" w:type="dxa"/>
              <w:right w:w="108" w:type="dxa"/>
            </w:tcMar>
            <w:vAlign w:val="center"/>
          </w:tcPr>
          <w:p w14:paraId="2BC2FF29" w14:textId="77777777" w:rsidR="004F1002" w:rsidRPr="000434F4" w:rsidRDefault="004F1002" w:rsidP="001007F0">
            <w:pPr>
              <w:autoSpaceDE w:val="0"/>
              <w:spacing w:line="276" w:lineRule="auto"/>
              <w:jc w:val="center"/>
              <w:rPr>
                <w:rFonts w:cs="Arial"/>
                <w:iCs/>
                <w:lang w:val="en-GB"/>
              </w:rPr>
            </w:pPr>
            <w:r w:rsidRPr="000434F4">
              <w:rPr>
                <w:rFonts w:cs="Arial"/>
                <w:iCs/>
                <w:lang w:val="en-GB"/>
              </w:rPr>
              <w:t>1.09</w:t>
            </w:r>
          </w:p>
        </w:tc>
        <w:tc>
          <w:tcPr>
            <w:tcW w:w="884" w:type="pct"/>
            <w:vAlign w:val="center"/>
          </w:tcPr>
          <w:p w14:paraId="72C39D16" w14:textId="77777777" w:rsidR="004F1002" w:rsidRPr="000434F4" w:rsidRDefault="004F1002" w:rsidP="001007F0">
            <w:pPr>
              <w:autoSpaceDE w:val="0"/>
              <w:spacing w:line="276" w:lineRule="auto"/>
              <w:jc w:val="center"/>
              <w:rPr>
                <w:rFonts w:cs="Arial"/>
                <w:iCs/>
                <w:lang w:val="en-GB"/>
              </w:rPr>
            </w:pPr>
            <w:r w:rsidRPr="000434F4">
              <w:rPr>
                <w:rFonts w:cs="Arial"/>
                <w:iCs/>
                <w:lang w:val="en-GB"/>
              </w:rPr>
              <w:t>1.8</w:t>
            </w:r>
          </w:p>
        </w:tc>
        <w:tc>
          <w:tcPr>
            <w:tcW w:w="2425" w:type="pct"/>
            <w:vAlign w:val="center"/>
          </w:tcPr>
          <w:p w14:paraId="556E42FC" w14:textId="21FD78BE" w:rsidR="004F1002" w:rsidRPr="000434F4" w:rsidRDefault="004F1002" w:rsidP="001007F0">
            <w:pPr>
              <w:autoSpaceDE w:val="0"/>
              <w:spacing w:line="276" w:lineRule="auto"/>
              <w:ind w:left="113"/>
              <w:rPr>
                <w:rFonts w:cs="Arial"/>
                <w:iCs/>
                <w:lang w:val="en-GB"/>
              </w:rPr>
            </w:pPr>
            <w:r w:rsidRPr="000434F4">
              <w:rPr>
                <w:rFonts w:cs="Arial"/>
                <w:lang w:val="en-GB"/>
              </w:rPr>
              <w:t xml:space="preserve">To address uncertainty around the SMR, the analysis investigated a scenario where an elevated SMR of 1.8 was applied. This was estimated as the weighted average of an SMR of </w:t>
            </w:r>
            <w:r w:rsidR="003E143C" w:rsidRPr="000434F4">
              <w:rPr>
                <w:rFonts w:cs="Arial"/>
                <w:lang w:val="en-GB"/>
              </w:rPr>
              <w:t>4.0</w:t>
            </w:r>
            <w:r w:rsidR="00866A9A" w:rsidRPr="000434F4">
              <w:rPr>
                <w:rFonts w:cs="Arial"/>
                <w:lang w:val="en-GB"/>
              </w:rPr>
              <w:t>,</w:t>
            </w:r>
            <w:r w:rsidRPr="000434F4">
              <w:rPr>
                <w:rFonts w:cs="Arial"/>
                <w:lang w:val="en-GB"/>
              </w:rPr>
              <w:t xml:space="preserve"> for patients that received HSCT</w:t>
            </w:r>
            <w:r w:rsidR="002F6056">
              <w:rPr>
                <w:rFonts w:cs="Arial"/>
                <w:kern w:val="0"/>
                <w:vertAlign w:val="superscript"/>
                <w:lang w:val="en-US"/>
              </w:rPr>
              <w:t>5</w:t>
            </w:r>
            <w:r w:rsidR="00843045">
              <w:rPr>
                <w:rFonts w:cs="Arial"/>
                <w:kern w:val="0"/>
                <w:vertAlign w:val="superscript"/>
                <w:lang w:val="en-US"/>
              </w:rPr>
              <w:t>6</w:t>
            </w:r>
            <w:r w:rsidR="00866A9A" w:rsidRPr="000434F4">
              <w:rPr>
                <w:rFonts w:cs="Arial"/>
                <w:lang w:val="en-GB"/>
              </w:rPr>
              <w:t>,</w:t>
            </w:r>
            <w:r w:rsidRPr="000434F4">
              <w:rPr>
                <w:rFonts w:cs="Arial"/>
                <w:lang w:val="en-GB"/>
              </w:rPr>
              <w:t xml:space="preserve"> and the base case SMR of 1.09</w:t>
            </w:r>
            <w:r w:rsidR="00866A9A" w:rsidRPr="000434F4">
              <w:rPr>
                <w:rFonts w:cs="Arial"/>
                <w:lang w:val="en-GB"/>
              </w:rPr>
              <w:t>,</w:t>
            </w:r>
            <w:r w:rsidRPr="000434F4">
              <w:rPr>
                <w:rFonts w:cs="Arial"/>
                <w:lang w:val="en-GB"/>
              </w:rPr>
              <w:t xml:space="preserve"> for patients who did not receive HSCT.</w:t>
            </w:r>
          </w:p>
        </w:tc>
      </w:tr>
    </w:tbl>
    <w:p w14:paraId="68FA6FB7" w14:textId="3519C260" w:rsidR="008B3069" w:rsidRPr="002E1D08" w:rsidRDefault="001F71E4" w:rsidP="00102B2D">
      <w:pPr>
        <w:spacing w:before="120"/>
        <w:rPr>
          <w:lang w:val="en-GB"/>
        </w:rPr>
      </w:pPr>
      <w:r w:rsidRPr="001F71E4">
        <w:rPr>
          <w:bCs/>
          <w:lang w:val="en-US"/>
        </w:rPr>
        <w:t>Abbreviations</w:t>
      </w:r>
      <w:r w:rsidRPr="001F71E4">
        <w:rPr>
          <w:rFonts w:cs="Arial"/>
          <w:bCs/>
          <w:szCs w:val="20"/>
          <w:lang w:val="en-US"/>
        </w:rPr>
        <w:t xml:space="preserve">: </w:t>
      </w:r>
      <w:r w:rsidR="008856E5" w:rsidRPr="00187F3C">
        <w:rPr>
          <w:lang w:val="en-GB" w:eastAsia="it-IT"/>
        </w:rPr>
        <w:t>ALL</w:t>
      </w:r>
      <w:r>
        <w:rPr>
          <w:lang w:val="en-GB" w:eastAsia="it-IT"/>
        </w:rPr>
        <w:t>,</w:t>
      </w:r>
      <w:r w:rsidR="008856E5" w:rsidRPr="00187F3C">
        <w:rPr>
          <w:lang w:val="en-GB" w:eastAsia="it-IT"/>
        </w:rPr>
        <w:t xml:space="preserve"> acute lymphoblastic leukaemia; </w:t>
      </w:r>
      <w:r w:rsidR="008856E5" w:rsidRPr="00187F3C">
        <w:rPr>
          <w:lang w:val="en-GB"/>
        </w:rPr>
        <w:t>HSCT</w:t>
      </w:r>
      <w:r>
        <w:rPr>
          <w:lang w:val="en-GB"/>
        </w:rPr>
        <w:t>,</w:t>
      </w:r>
      <w:r w:rsidR="008856E5" w:rsidRPr="00187F3C">
        <w:rPr>
          <w:lang w:val="en-GB"/>
        </w:rPr>
        <w:t xml:space="preserve"> </w:t>
      </w:r>
      <w:r w:rsidR="008856E5" w:rsidRPr="00187F3C">
        <w:rPr>
          <w:lang w:val="en-GB" w:eastAsia="it-IT"/>
        </w:rPr>
        <w:t>haematopoietic stem cell transplantation</w:t>
      </w:r>
      <w:r w:rsidR="008856E5" w:rsidRPr="00187F3C">
        <w:rPr>
          <w:lang w:val="en-GB"/>
        </w:rPr>
        <w:t>; OS</w:t>
      </w:r>
      <w:r>
        <w:rPr>
          <w:lang w:val="en-GB"/>
        </w:rPr>
        <w:t>,</w:t>
      </w:r>
      <w:r w:rsidR="008856E5" w:rsidRPr="00187F3C">
        <w:rPr>
          <w:lang w:val="en-GB"/>
        </w:rPr>
        <w:t xml:space="preserve"> overall survival;</w:t>
      </w:r>
      <w:r w:rsidR="008856E5" w:rsidRPr="00187F3C">
        <w:rPr>
          <w:lang w:val="en-GB" w:eastAsia="it-IT"/>
        </w:rPr>
        <w:t xml:space="preserve"> SMR</w:t>
      </w:r>
      <w:r>
        <w:rPr>
          <w:lang w:val="en-GB" w:eastAsia="it-IT"/>
        </w:rPr>
        <w:t>,</w:t>
      </w:r>
      <w:r w:rsidR="008856E5" w:rsidRPr="00187F3C">
        <w:rPr>
          <w:lang w:val="en-GB" w:eastAsia="it-IT"/>
        </w:rPr>
        <w:t xml:space="preserve"> standard mortality rate</w:t>
      </w:r>
      <w:r w:rsidR="008856E5">
        <w:rPr>
          <w:lang w:val="en-GB" w:eastAsia="it-IT"/>
        </w:rPr>
        <w:t>.</w:t>
      </w:r>
    </w:p>
    <w:p w14:paraId="5D576532" w14:textId="28A68E05" w:rsidR="00D61B87" w:rsidRDefault="00D61B87" w:rsidP="005C5436">
      <w:pPr>
        <w:tabs>
          <w:tab w:val="left" w:pos="1861"/>
        </w:tabs>
        <w:rPr>
          <w:rFonts w:ascii="Times New Roman" w:hAnsi="Times New Roman" w:cs="Times New Roman"/>
          <w:lang w:val="en-GB"/>
        </w:rPr>
      </w:pPr>
      <w:r>
        <w:rPr>
          <w:rFonts w:ascii="Times New Roman" w:hAnsi="Times New Roman" w:cs="Times New Roman"/>
          <w:lang w:val="en-GB"/>
        </w:rPr>
        <w:br w:type="page"/>
      </w:r>
    </w:p>
    <w:p w14:paraId="18A33175" w14:textId="77777777" w:rsidR="00507419" w:rsidRPr="002E1D08" w:rsidRDefault="00507419" w:rsidP="005C5436">
      <w:pPr>
        <w:tabs>
          <w:tab w:val="left" w:pos="1861"/>
        </w:tabs>
        <w:rPr>
          <w:rFonts w:ascii="Times New Roman" w:hAnsi="Times New Roman" w:cs="Times New Roman"/>
          <w:lang w:val="en-GB"/>
        </w:rPr>
        <w:sectPr w:rsidR="00507419" w:rsidRPr="002E1D08" w:rsidSect="00811425">
          <w:pgSz w:w="16838" w:h="11906" w:orient="landscape"/>
          <w:pgMar w:top="1134" w:right="1418" w:bottom="1134" w:left="1134" w:header="709" w:footer="709" w:gutter="0"/>
          <w:cols w:space="708"/>
          <w:docGrid w:linePitch="360"/>
        </w:sectPr>
      </w:pPr>
    </w:p>
    <w:p w14:paraId="0194081C" w14:textId="176B9595" w:rsidR="002F6056" w:rsidRDefault="002F6056" w:rsidP="002F6056">
      <w:pPr>
        <w:spacing w:after="160" w:line="259" w:lineRule="auto"/>
        <w:rPr>
          <w:rFonts w:eastAsia="Times New Roman" w:cs="Arial"/>
          <w:szCs w:val="20"/>
          <w:lang w:val="en-GB" w:eastAsia="it-IT"/>
        </w:rPr>
      </w:pPr>
      <w:r w:rsidRPr="00102B2D">
        <w:rPr>
          <w:rFonts w:eastAsia="Times New Roman" w:cs="Arial"/>
          <w:b/>
          <w:bCs/>
          <w:szCs w:val="20"/>
          <w:lang w:val="en-GB" w:eastAsia="it-IT"/>
        </w:rPr>
        <w:lastRenderedPageBreak/>
        <w:t xml:space="preserve">Supplemental Table </w:t>
      </w:r>
      <w:r>
        <w:rPr>
          <w:rFonts w:eastAsia="Times New Roman" w:cs="Arial"/>
          <w:b/>
          <w:bCs/>
          <w:szCs w:val="20"/>
          <w:lang w:val="en-GB" w:eastAsia="it-IT"/>
        </w:rPr>
        <w:t>5</w:t>
      </w:r>
      <w:r w:rsidRPr="00102B2D">
        <w:rPr>
          <w:rFonts w:eastAsia="Times New Roman" w:cs="Arial"/>
          <w:b/>
          <w:bCs/>
          <w:szCs w:val="20"/>
          <w:lang w:val="en-GB" w:eastAsia="it-IT"/>
        </w:rPr>
        <w:t xml:space="preserve"> </w:t>
      </w:r>
      <w:r>
        <w:rPr>
          <w:rFonts w:eastAsia="Times New Roman" w:cs="Arial"/>
          <w:szCs w:val="20"/>
          <w:lang w:val="en-GB" w:eastAsia="it-IT"/>
        </w:rPr>
        <w:t>G</w:t>
      </w:r>
      <w:r w:rsidRPr="002F6056">
        <w:rPr>
          <w:rFonts w:eastAsia="Times New Roman" w:cs="Arial"/>
          <w:szCs w:val="20"/>
          <w:lang w:val="en-GB" w:eastAsia="it-IT"/>
        </w:rPr>
        <w:t>oodness of fit statistics OS MCM for Blinatumomab + SoC</w:t>
      </w:r>
      <w:r>
        <w:rPr>
          <w:rFonts w:eastAsia="Times New Roman" w:cs="Arial"/>
          <w:szCs w:val="20"/>
          <w:lang w:val="en-GB" w:eastAsia="it-IT"/>
        </w:rPr>
        <w:t>.</w:t>
      </w:r>
    </w:p>
    <w:tbl>
      <w:tblPr>
        <w:tblStyle w:val="Grigliatabella"/>
        <w:tblW w:w="5000" w:type="pct"/>
        <w:tblLook w:val="04A0" w:firstRow="1" w:lastRow="0" w:firstColumn="1" w:lastColumn="0" w:noHBand="0" w:noVBand="1"/>
      </w:tblPr>
      <w:tblGrid>
        <w:gridCol w:w="3055"/>
        <w:gridCol w:w="1965"/>
        <w:gridCol w:w="1967"/>
        <w:gridCol w:w="2407"/>
      </w:tblGrid>
      <w:tr w:rsidR="002F6056" w:rsidRPr="000434F4" w14:paraId="5CAA3A30" w14:textId="77777777" w:rsidTr="00AA5240">
        <w:trPr>
          <w:trHeight w:val="255"/>
        </w:trPr>
        <w:tc>
          <w:tcPr>
            <w:tcW w:w="1626" w:type="pct"/>
            <w:shd w:val="clear" w:color="auto" w:fill="808080" w:themeFill="background1" w:themeFillShade="80"/>
            <w:vAlign w:val="center"/>
          </w:tcPr>
          <w:p w14:paraId="239709CE" w14:textId="77777777" w:rsidR="002F6056" w:rsidRPr="000434F4" w:rsidRDefault="002F6056" w:rsidP="00AA5240">
            <w:pPr>
              <w:spacing w:line="276" w:lineRule="auto"/>
              <w:rPr>
                <w:rFonts w:cs="Arial"/>
                <w:b/>
                <w:bCs/>
                <w:color w:val="FFFFFF" w:themeColor="background1"/>
                <w:lang w:val="en-GB"/>
              </w:rPr>
            </w:pPr>
            <w:r w:rsidRPr="000434F4">
              <w:rPr>
                <w:rFonts w:cs="Arial"/>
                <w:b/>
                <w:bCs/>
                <w:color w:val="FFFFFF" w:themeColor="background1"/>
                <w:lang w:val="en-GB"/>
              </w:rPr>
              <w:t>Distribution</w:t>
            </w:r>
          </w:p>
        </w:tc>
        <w:tc>
          <w:tcPr>
            <w:tcW w:w="1046" w:type="pct"/>
            <w:shd w:val="clear" w:color="auto" w:fill="808080" w:themeFill="background1" w:themeFillShade="80"/>
          </w:tcPr>
          <w:p w14:paraId="745FE0F9" w14:textId="77777777" w:rsidR="002F6056" w:rsidRPr="000434F4" w:rsidRDefault="002F6056" w:rsidP="00AA5240">
            <w:pPr>
              <w:pStyle w:val="TableParagraph"/>
              <w:spacing w:before="0" w:line="276" w:lineRule="auto"/>
              <w:jc w:val="center"/>
              <w:rPr>
                <w:rFonts w:cs="Arial"/>
                <w:b/>
                <w:color w:val="FFFFFF" w:themeColor="background1"/>
                <w:lang w:val="en-GB"/>
              </w:rPr>
            </w:pPr>
            <w:r w:rsidRPr="000434F4">
              <w:rPr>
                <w:rFonts w:cs="Arial"/>
                <w:b/>
                <w:color w:val="FFFFFF" w:themeColor="background1"/>
                <w:lang w:val="en-GB"/>
              </w:rPr>
              <w:t>AIC</w:t>
            </w:r>
          </w:p>
        </w:tc>
        <w:tc>
          <w:tcPr>
            <w:tcW w:w="1047" w:type="pct"/>
            <w:shd w:val="clear" w:color="auto" w:fill="808080" w:themeFill="background1" w:themeFillShade="80"/>
          </w:tcPr>
          <w:p w14:paraId="1D46B90E" w14:textId="77777777" w:rsidR="002F6056" w:rsidRPr="000434F4" w:rsidRDefault="002F6056" w:rsidP="00AA5240">
            <w:pPr>
              <w:pStyle w:val="TableParagraph"/>
              <w:spacing w:before="0" w:line="276" w:lineRule="auto"/>
              <w:jc w:val="center"/>
              <w:rPr>
                <w:rFonts w:cs="Arial"/>
                <w:b/>
                <w:color w:val="FFFFFF" w:themeColor="background1"/>
                <w:lang w:val="en-GB"/>
              </w:rPr>
            </w:pPr>
            <w:r w:rsidRPr="000434F4">
              <w:rPr>
                <w:rFonts w:cs="Arial"/>
                <w:b/>
                <w:color w:val="FFFFFF" w:themeColor="background1"/>
                <w:lang w:val="en-GB"/>
              </w:rPr>
              <w:t>BIC</w:t>
            </w:r>
          </w:p>
        </w:tc>
        <w:tc>
          <w:tcPr>
            <w:tcW w:w="1281" w:type="pct"/>
            <w:shd w:val="clear" w:color="auto" w:fill="808080" w:themeFill="background1" w:themeFillShade="80"/>
            <w:vAlign w:val="center"/>
          </w:tcPr>
          <w:p w14:paraId="3D3606A8" w14:textId="77777777" w:rsidR="002F6056" w:rsidRPr="000434F4" w:rsidRDefault="002F6056" w:rsidP="00AA5240">
            <w:pPr>
              <w:pStyle w:val="TableParagraph"/>
              <w:spacing w:before="0" w:line="276" w:lineRule="auto"/>
              <w:jc w:val="center"/>
              <w:rPr>
                <w:rFonts w:cs="Arial"/>
                <w:b/>
                <w:color w:val="FFFFFF" w:themeColor="background1"/>
                <w:lang w:val="en-GB"/>
              </w:rPr>
            </w:pPr>
            <w:r w:rsidRPr="000434F4">
              <w:rPr>
                <w:rFonts w:cs="Arial"/>
                <w:b/>
                <w:color w:val="FFFFFF" w:themeColor="background1"/>
                <w:lang w:val="en-GB"/>
              </w:rPr>
              <w:t>10-year OS</w:t>
            </w:r>
          </w:p>
        </w:tc>
      </w:tr>
      <w:tr w:rsidR="002F6056" w:rsidRPr="000434F4" w14:paraId="48B139D0" w14:textId="77777777" w:rsidTr="00AA5240">
        <w:trPr>
          <w:trHeight w:val="255"/>
        </w:trPr>
        <w:tc>
          <w:tcPr>
            <w:tcW w:w="1626" w:type="pct"/>
          </w:tcPr>
          <w:p w14:paraId="09873781" w14:textId="77777777" w:rsidR="002F6056" w:rsidRPr="000434F4" w:rsidRDefault="002F6056" w:rsidP="00AA5240">
            <w:pPr>
              <w:keepLines/>
              <w:tabs>
                <w:tab w:val="left" w:pos="311"/>
                <w:tab w:val="left" w:pos="2085"/>
              </w:tabs>
              <w:spacing w:line="276" w:lineRule="auto"/>
              <w:rPr>
                <w:rFonts w:cs="Arial"/>
                <w:lang w:val="en-GB"/>
              </w:rPr>
            </w:pPr>
            <w:r w:rsidRPr="000434F4">
              <w:rPr>
                <w:rFonts w:cs="Arial"/>
                <w:lang w:val="en-GB"/>
              </w:rPr>
              <w:t>Exponential</w:t>
            </w:r>
          </w:p>
        </w:tc>
        <w:tc>
          <w:tcPr>
            <w:tcW w:w="1046" w:type="pct"/>
          </w:tcPr>
          <w:p w14:paraId="23691134" w14:textId="77777777" w:rsidR="002F6056" w:rsidRPr="000434F4" w:rsidRDefault="002F6056" w:rsidP="00AA5240">
            <w:pPr>
              <w:spacing w:line="276" w:lineRule="auto"/>
              <w:jc w:val="center"/>
              <w:rPr>
                <w:rFonts w:cs="Arial"/>
                <w:lang w:val="en-GB"/>
              </w:rPr>
            </w:pPr>
            <w:r w:rsidRPr="000434F4">
              <w:rPr>
                <w:rFonts w:cs="Arial"/>
                <w:lang w:val="en-GB"/>
              </w:rPr>
              <w:t>253.673</w:t>
            </w:r>
          </w:p>
        </w:tc>
        <w:tc>
          <w:tcPr>
            <w:tcW w:w="1047" w:type="pct"/>
          </w:tcPr>
          <w:p w14:paraId="10C5BA5B" w14:textId="77777777" w:rsidR="002F6056" w:rsidRPr="000434F4" w:rsidRDefault="002F6056" w:rsidP="00AA5240">
            <w:pPr>
              <w:spacing w:line="276" w:lineRule="auto"/>
              <w:jc w:val="center"/>
              <w:rPr>
                <w:rFonts w:cs="Arial"/>
                <w:lang w:val="en-GB"/>
              </w:rPr>
            </w:pPr>
            <w:r w:rsidRPr="000434F4">
              <w:rPr>
                <w:rFonts w:cs="Arial"/>
                <w:lang w:val="en-GB"/>
              </w:rPr>
              <w:t>259.110</w:t>
            </w:r>
          </w:p>
        </w:tc>
        <w:tc>
          <w:tcPr>
            <w:tcW w:w="1281" w:type="pct"/>
          </w:tcPr>
          <w:p w14:paraId="0C8AECF5" w14:textId="77777777" w:rsidR="002F6056" w:rsidRPr="000434F4" w:rsidRDefault="002F6056" w:rsidP="00AA5240">
            <w:pPr>
              <w:spacing w:line="276" w:lineRule="auto"/>
              <w:jc w:val="center"/>
              <w:rPr>
                <w:rFonts w:cs="Arial"/>
                <w:lang w:val="en-GB"/>
              </w:rPr>
            </w:pPr>
            <w:r w:rsidRPr="000434F4">
              <w:rPr>
                <w:rFonts w:cs="Arial"/>
                <w:lang w:val="en-GB"/>
              </w:rPr>
              <w:t>76.2%</w:t>
            </w:r>
          </w:p>
        </w:tc>
      </w:tr>
      <w:tr w:rsidR="002F6056" w:rsidRPr="000434F4" w14:paraId="1B4E168E" w14:textId="77777777" w:rsidTr="00AA5240">
        <w:trPr>
          <w:trHeight w:val="255"/>
        </w:trPr>
        <w:tc>
          <w:tcPr>
            <w:tcW w:w="1626" w:type="pct"/>
          </w:tcPr>
          <w:p w14:paraId="5203ACFD" w14:textId="77777777" w:rsidR="002F6056" w:rsidRPr="000434F4" w:rsidRDefault="002F6056" w:rsidP="00AA5240">
            <w:pPr>
              <w:spacing w:line="276" w:lineRule="auto"/>
              <w:rPr>
                <w:rFonts w:cs="Arial"/>
                <w:b/>
                <w:bCs/>
                <w:lang w:val="en-GB"/>
              </w:rPr>
            </w:pPr>
            <w:r w:rsidRPr="000434F4">
              <w:rPr>
                <w:rFonts w:cs="Arial"/>
                <w:lang w:val="en-GB"/>
              </w:rPr>
              <w:t>Gamma</w:t>
            </w:r>
          </w:p>
        </w:tc>
        <w:tc>
          <w:tcPr>
            <w:tcW w:w="1046" w:type="pct"/>
          </w:tcPr>
          <w:p w14:paraId="72104A3D" w14:textId="77777777" w:rsidR="002F6056" w:rsidRPr="000434F4" w:rsidRDefault="002F6056" w:rsidP="00AA5240">
            <w:pPr>
              <w:spacing w:line="276" w:lineRule="auto"/>
              <w:jc w:val="center"/>
              <w:rPr>
                <w:rFonts w:cs="Arial"/>
                <w:b/>
                <w:bCs/>
                <w:lang w:val="en-GB"/>
              </w:rPr>
            </w:pPr>
            <w:r w:rsidRPr="000434F4">
              <w:rPr>
                <w:rFonts w:cs="Arial"/>
                <w:lang w:val="en-GB"/>
              </w:rPr>
              <w:t>253.172</w:t>
            </w:r>
          </w:p>
        </w:tc>
        <w:tc>
          <w:tcPr>
            <w:tcW w:w="1047" w:type="pct"/>
          </w:tcPr>
          <w:p w14:paraId="75FCE850" w14:textId="77777777" w:rsidR="002F6056" w:rsidRPr="000434F4" w:rsidRDefault="002F6056" w:rsidP="00AA5240">
            <w:pPr>
              <w:spacing w:line="276" w:lineRule="auto"/>
              <w:jc w:val="center"/>
              <w:rPr>
                <w:rFonts w:cs="Arial"/>
                <w:b/>
                <w:bCs/>
                <w:lang w:val="en-GB"/>
              </w:rPr>
            </w:pPr>
            <w:r w:rsidRPr="000434F4">
              <w:rPr>
                <w:rFonts w:cs="Arial"/>
                <w:lang w:val="en-GB"/>
              </w:rPr>
              <w:t>261.328</w:t>
            </w:r>
          </w:p>
        </w:tc>
        <w:tc>
          <w:tcPr>
            <w:tcW w:w="1281" w:type="pct"/>
          </w:tcPr>
          <w:p w14:paraId="02694378" w14:textId="77777777" w:rsidR="002F6056" w:rsidRPr="000434F4" w:rsidRDefault="002F6056" w:rsidP="00AA5240">
            <w:pPr>
              <w:spacing w:line="276" w:lineRule="auto"/>
              <w:jc w:val="center"/>
              <w:rPr>
                <w:rFonts w:cs="Arial"/>
                <w:lang w:val="en-GB"/>
              </w:rPr>
            </w:pPr>
            <w:r w:rsidRPr="000434F4">
              <w:rPr>
                <w:rFonts w:cs="Arial"/>
                <w:lang w:val="en-GB"/>
              </w:rPr>
              <w:t>78.5%</w:t>
            </w:r>
          </w:p>
        </w:tc>
      </w:tr>
      <w:tr w:rsidR="002F6056" w:rsidRPr="000434F4" w14:paraId="4FAE7956" w14:textId="77777777" w:rsidTr="00AA5240">
        <w:trPr>
          <w:trHeight w:val="255"/>
        </w:trPr>
        <w:tc>
          <w:tcPr>
            <w:tcW w:w="1626" w:type="pct"/>
          </w:tcPr>
          <w:p w14:paraId="1DC415C4" w14:textId="77777777" w:rsidR="002F6056" w:rsidRPr="000434F4" w:rsidDel="00067B13" w:rsidRDefault="002F6056" w:rsidP="00AA5240">
            <w:pPr>
              <w:spacing w:line="276" w:lineRule="auto"/>
              <w:rPr>
                <w:rFonts w:eastAsia="Calibri" w:cs="Arial"/>
                <w:lang w:val="en-GB"/>
              </w:rPr>
            </w:pPr>
            <w:r w:rsidRPr="000434F4" w:rsidDel="00FD72F2">
              <w:rPr>
                <w:rFonts w:cs="Arial"/>
                <w:lang w:val="en-GB"/>
              </w:rPr>
              <w:t>Gompertz</w:t>
            </w:r>
          </w:p>
        </w:tc>
        <w:tc>
          <w:tcPr>
            <w:tcW w:w="1046" w:type="pct"/>
          </w:tcPr>
          <w:p w14:paraId="0683B1F6" w14:textId="77777777" w:rsidR="002F6056" w:rsidRPr="000434F4" w:rsidDel="00067B13" w:rsidRDefault="002F6056" w:rsidP="00AA5240">
            <w:pPr>
              <w:spacing w:line="276" w:lineRule="auto"/>
              <w:jc w:val="center"/>
              <w:rPr>
                <w:rFonts w:eastAsia="Calibri" w:cs="Arial"/>
                <w:lang w:val="en-GB"/>
              </w:rPr>
            </w:pPr>
            <w:r w:rsidRPr="000434F4">
              <w:rPr>
                <w:rFonts w:cs="Arial"/>
                <w:lang w:val="en-GB"/>
              </w:rPr>
              <w:t>250.616</w:t>
            </w:r>
          </w:p>
        </w:tc>
        <w:tc>
          <w:tcPr>
            <w:tcW w:w="1047" w:type="pct"/>
          </w:tcPr>
          <w:p w14:paraId="054ECEDC" w14:textId="77777777" w:rsidR="002F6056" w:rsidRPr="000434F4" w:rsidDel="00067B13" w:rsidRDefault="002F6056" w:rsidP="00AA5240">
            <w:pPr>
              <w:spacing w:line="276" w:lineRule="auto"/>
              <w:jc w:val="center"/>
              <w:rPr>
                <w:rFonts w:eastAsia="Calibri" w:cs="Arial"/>
                <w:lang w:val="en-GB"/>
              </w:rPr>
            </w:pPr>
            <w:r w:rsidRPr="000434F4">
              <w:rPr>
                <w:rFonts w:cs="Arial"/>
                <w:lang w:val="en-GB"/>
              </w:rPr>
              <w:t>258.772</w:t>
            </w:r>
          </w:p>
        </w:tc>
        <w:tc>
          <w:tcPr>
            <w:tcW w:w="1281" w:type="pct"/>
          </w:tcPr>
          <w:p w14:paraId="3B629302" w14:textId="77777777" w:rsidR="002F6056" w:rsidRPr="000434F4" w:rsidDel="00067B13" w:rsidRDefault="002F6056" w:rsidP="00AA5240">
            <w:pPr>
              <w:spacing w:line="276" w:lineRule="auto"/>
              <w:jc w:val="center"/>
              <w:rPr>
                <w:rFonts w:cs="Arial"/>
                <w:lang w:val="en-GB"/>
              </w:rPr>
            </w:pPr>
            <w:r w:rsidRPr="000434F4">
              <w:rPr>
                <w:rFonts w:cs="Arial"/>
                <w:lang w:val="en-GB"/>
              </w:rPr>
              <w:t>79.7%</w:t>
            </w:r>
          </w:p>
        </w:tc>
      </w:tr>
      <w:tr w:rsidR="002F6056" w:rsidRPr="000434F4" w14:paraId="6DE55964" w14:textId="77777777" w:rsidTr="00AA5240">
        <w:trPr>
          <w:trHeight w:val="255"/>
        </w:trPr>
        <w:tc>
          <w:tcPr>
            <w:tcW w:w="1626" w:type="pct"/>
          </w:tcPr>
          <w:p w14:paraId="7371A843" w14:textId="77777777" w:rsidR="002F6056" w:rsidRPr="000434F4" w:rsidDel="00067B13" w:rsidRDefault="002F6056" w:rsidP="00AA5240">
            <w:pPr>
              <w:spacing w:line="276" w:lineRule="auto"/>
              <w:rPr>
                <w:rFonts w:eastAsia="Calibri" w:cs="Arial"/>
                <w:lang w:val="en-GB"/>
              </w:rPr>
            </w:pPr>
            <w:r w:rsidRPr="000434F4">
              <w:rPr>
                <w:rFonts w:cs="Arial"/>
                <w:lang w:val="en-GB"/>
              </w:rPr>
              <w:t>Log-logistic</w:t>
            </w:r>
          </w:p>
        </w:tc>
        <w:tc>
          <w:tcPr>
            <w:tcW w:w="1046" w:type="pct"/>
          </w:tcPr>
          <w:p w14:paraId="6A51123D" w14:textId="77777777" w:rsidR="002F6056" w:rsidRPr="000434F4" w:rsidDel="00067B13" w:rsidRDefault="002F6056" w:rsidP="00AA5240">
            <w:pPr>
              <w:spacing w:line="276" w:lineRule="auto"/>
              <w:jc w:val="center"/>
              <w:rPr>
                <w:rFonts w:eastAsia="Calibri" w:cs="Arial"/>
                <w:lang w:val="en-GB"/>
              </w:rPr>
            </w:pPr>
            <w:r w:rsidRPr="000434F4">
              <w:rPr>
                <w:rFonts w:cs="Arial"/>
                <w:lang w:val="en-GB"/>
              </w:rPr>
              <w:t>253.961</w:t>
            </w:r>
          </w:p>
        </w:tc>
        <w:tc>
          <w:tcPr>
            <w:tcW w:w="1047" w:type="pct"/>
          </w:tcPr>
          <w:p w14:paraId="4335B0C3" w14:textId="77777777" w:rsidR="002F6056" w:rsidRPr="000434F4" w:rsidDel="00067B13" w:rsidRDefault="002F6056" w:rsidP="00AA5240">
            <w:pPr>
              <w:spacing w:line="276" w:lineRule="auto"/>
              <w:jc w:val="center"/>
              <w:rPr>
                <w:rFonts w:eastAsia="Calibri" w:cs="Arial"/>
                <w:lang w:val="en-GB"/>
              </w:rPr>
            </w:pPr>
            <w:r w:rsidRPr="000434F4">
              <w:rPr>
                <w:rFonts w:cs="Arial"/>
                <w:lang w:val="en-GB"/>
              </w:rPr>
              <w:t>262.116</w:t>
            </w:r>
          </w:p>
        </w:tc>
        <w:tc>
          <w:tcPr>
            <w:tcW w:w="1281" w:type="pct"/>
          </w:tcPr>
          <w:p w14:paraId="7DCAF351" w14:textId="77777777" w:rsidR="002F6056" w:rsidRPr="000434F4" w:rsidDel="00067B13" w:rsidRDefault="002F6056" w:rsidP="00AA5240">
            <w:pPr>
              <w:spacing w:line="276" w:lineRule="auto"/>
              <w:jc w:val="center"/>
              <w:rPr>
                <w:rFonts w:cs="Arial"/>
                <w:lang w:val="en-GB"/>
              </w:rPr>
            </w:pPr>
            <w:r w:rsidRPr="000434F4">
              <w:rPr>
                <w:rFonts w:cs="Arial"/>
                <w:lang w:val="en-GB"/>
              </w:rPr>
              <w:t>77.0%</w:t>
            </w:r>
          </w:p>
        </w:tc>
      </w:tr>
      <w:tr w:rsidR="002F6056" w:rsidRPr="000434F4" w14:paraId="6D88F325" w14:textId="77777777" w:rsidTr="00AA5240">
        <w:trPr>
          <w:trHeight w:val="255"/>
        </w:trPr>
        <w:tc>
          <w:tcPr>
            <w:tcW w:w="1626" w:type="pct"/>
          </w:tcPr>
          <w:p w14:paraId="12A351FC" w14:textId="77777777" w:rsidR="002F6056" w:rsidRPr="000434F4" w:rsidRDefault="002F6056" w:rsidP="00AA5240">
            <w:pPr>
              <w:spacing w:line="276" w:lineRule="auto"/>
              <w:rPr>
                <w:rFonts w:cs="Arial"/>
                <w:lang w:val="en-GB"/>
              </w:rPr>
            </w:pPr>
            <w:r w:rsidRPr="000434F4">
              <w:rPr>
                <w:rFonts w:cs="Arial"/>
                <w:lang w:val="en-GB"/>
              </w:rPr>
              <w:t>Log-normal</w:t>
            </w:r>
          </w:p>
        </w:tc>
        <w:tc>
          <w:tcPr>
            <w:tcW w:w="1046" w:type="pct"/>
          </w:tcPr>
          <w:p w14:paraId="1E8CDF61" w14:textId="77777777" w:rsidR="002F6056" w:rsidRPr="000434F4" w:rsidRDefault="002F6056" w:rsidP="00AA5240">
            <w:pPr>
              <w:spacing w:line="276" w:lineRule="auto"/>
              <w:jc w:val="center"/>
              <w:rPr>
                <w:rFonts w:cs="Arial"/>
                <w:lang w:val="en-GB"/>
              </w:rPr>
            </w:pPr>
            <w:r w:rsidRPr="000434F4">
              <w:rPr>
                <w:rFonts w:cs="Arial"/>
                <w:lang w:val="en-GB"/>
              </w:rPr>
              <w:t>255.141</w:t>
            </w:r>
          </w:p>
        </w:tc>
        <w:tc>
          <w:tcPr>
            <w:tcW w:w="1047" w:type="pct"/>
          </w:tcPr>
          <w:p w14:paraId="1D6253DF" w14:textId="77777777" w:rsidR="002F6056" w:rsidRPr="000434F4" w:rsidRDefault="002F6056" w:rsidP="00AA5240">
            <w:pPr>
              <w:spacing w:line="276" w:lineRule="auto"/>
              <w:jc w:val="center"/>
              <w:rPr>
                <w:rFonts w:cs="Arial"/>
                <w:lang w:val="en-GB"/>
              </w:rPr>
            </w:pPr>
            <w:r w:rsidRPr="000434F4">
              <w:rPr>
                <w:rFonts w:cs="Arial"/>
                <w:lang w:val="en-GB"/>
              </w:rPr>
              <w:t>263.296</w:t>
            </w:r>
          </w:p>
        </w:tc>
        <w:tc>
          <w:tcPr>
            <w:tcW w:w="1281" w:type="pct"/>
          </w:tcPr>
          <w:p w14:paraId="60385E5D" w14:textId="77777777" w:rsidR="002F6056" w:rsidRPr="000434F4" w:rsidRDefault="002F6056" w:rsidP="00AA5240">
            <w:pPr>
              <w:spacing w:line="276" w:lineRule="auto"/>
              <w:jc w:val="center"/>
              <w:rPr>
                <w:rFonts w:cs="Arial"/>
                <w:lang w:val="en-GB"/>
              </w:rPr>
            </w:pPr>
            <w:r w:rsidRPr="000434F4">
              <w:rPr>
                <w:rFonts w:cs="Arial"/>
                <w:lang w:val="en-GB"/>
              </w:rPr>
              <w:t>75.8%</w:t>
            </w:r>
          </w:p>
        </w:tc>
      </w:tr>
      <w:tr w:rsidR="002F6056" w:rsidRPr="000434F4" w14:paraId="21EDE4F0" w14:textId="77777777" w:rsidTr="00AA5240">
        <w:trPr>
          <w:trHeight w:val="255"/>
        </w:trPr>
        <w:tc>
          <w:tcPr>
            <w:tcW w:w="1626" w:type="pct"/>
          </w:tcPr>
          <w:p w14:paraId="39E4B8B8" w14:textId="77777777" w:rsidR="002F6056" w:rsidRPr="000434F4" w:rsidDel="00067B13" w:rsidRDefault="002F6056" w:rsidP="00AA5240">
            <w:pPr>
              <w:spacing w:line="276" w:lineRule="auto"/>
              <w:rPr>
                <w:rFonts w:eastAsia="Calibri" w:cs="Arial"/>
                <w:lang w:val="en-GB"/>
              </w:rPr>
            </w:pPr>
            <w:r w:rsidRPr="000434F4" w:rsidDel="00FD72F2">
              <w:rPr>
                <w:rFonts w:cs="Arial"/>
                <w:lang w:val="en-GB"/>
              </w:rPr>
              <w:t>Weibull</w:t>
            </w:r>
            <w:r w:rsidRPr="000434F4">
              <w:rPr>
                <w:rFonts w:cs="Arial"/>
                <w:lang w:val="en-GB"/>
              </w:rPr>
              <w:t>*</w:t>
            </w:r>
          </w:p>
        </w:tc>
        <w:tc>
          <w:tcPr>
            <w:tcW w:w="1046" w:type="pct"/>
          </w:tcPr>
          <w:p w14:paraId="168F4270" w14:textId="77777777" w:rsidR="002F6056" w:rsidRPr="000434F4" w:rsidDel="00067B13" w:rsidRDefault="002F6056" w:rsidP="00AA5240">
            <w:pPr>
              <w:spacing w:line="276" w:lineRule="auto"/>
              <w:jc w:val="center"/>
              <w:rPr>
                <w:rFonts w:eastAsia="Calibri" w:cs="Arial"/>
                <w:lang w:val="en-GB"/>
              </w:rPr>
            </w:pPr>
            <w:r w:rsidRPr="000434F4">
              <w:rPr>
                <w:rFonts w:cs="Arial"/>
                <w:lang w:val="en-GB"/>
              </w:rPr>
              <w:t>252.309</w:t>
            </w:r>
          </w:p>
        </w:tc>
        <w:tc>
          <w:tcPr>
            <w:tcW w:w="1047" w:type="pct"/>
          </w:tcPr>
          <w:p w14:paraId="10F48321" w14:textId="77777777" w:rsidR="002F6056" w:rsidRPr="000434F4" w:rsidDel="00067B13" w:rsidRDefault="002F6056" w:rsidP="00AA5240">
            <w:pPr>
              <w:spacing w:line="276" w:lineRule="auto"/>
              <w:jc w:val="center"/>
              <w:rPr>
                <w:rFonts w:eastAsia="Calibri" w:cs="Arial"/>
                <w:lang w:val="en-GB"/>
              </w:rPr>
            </w:pPr>
            <w:r w:rsidRPr="000434F4">
              <w:rPr>
                <w:rFonts w:cs="Arial"/>
                <w:lang w:val="en-GB"/>
              </w:rPr>
              <w:t>260.465</w:t>
            </w:r>
          </w:p>
        </w:tc>
        <w:tc>
          <w:tcPr>
            <w:tcW w:w="1281" w:type="pct"/>
          </w:tcPr>
          <w:p w14:paraId="0F57448F" w14:textId="77777777" w:rsidR="002F6056" w:rsidRPr="000434F4" w:rsidDel="00067B13" w:rsidRDefault="002F6056" w:rsidP="00AA5240">
            <w:pPr>
              <w:spacing w:line="276" w:lineRule="auto"/>
              <w:jc w:val="center"/>
              <w:rPr>
                <w:rFonts w:cs="Arial"/>
                <w:lang w:val="en-GB"/>
              </w:rPr>
            </w:pPr>
            <w:r w:rsidRPr="000434F4">
              <w:rPr>
                <w:rFonts w:cs="Arial"/>
                <w:lang w:val="en-GB"/>
              </w:rPr>
              <w:t>79.2%</w:t>
            </w:r>
          </w:p>
        </w:tc>
      </w:tr>
    </w:tbl>
    <w:p w14:paraId="3E748D80" w14:textId="77777777" w:rsidR="002F6056" w:rsidRPr="00E24C4B" w:rsidRDefault="002F6056" w:rsidP="002F6056">
      <w:pPr>
        <w:spacing w:before="120"/>
        <w:rPr>
          <w:rFonts w:cs="Arial"/>
          <w:lang w:val="en-GB"/>
        </w:rPr>
      </w:pPr>
      <w:r w:rsidRPr="00E24C4B">
        <w:rPr>
          <w:rFonts w:cs="Arial"/>
          <w:lang w:val="en-GB"/>
        </w:rPr>
        <w:t>*Parametric distribution applied in the base case analysis.</w:t>
      </w:r>
    </w:p>
    <w:p w14:paraId="3E700A82" w14:textId="186537D3" w:rsidR="002F6056" w:rsidRDefault="002F6056" w:rsidP="002F6056">
      <w:pPr>
        <w:spacing w:after="160" w:line="259" w:lineRule="auto"/>
        <w:rPr>
          <w:rFonts w:eastAsia="Times New Roman" w:cs="Arial"/>
          <w:szCs w:val="20"/>
          <w:lang w:val="en-GB" w:eastAsia="it-IT"/>
        </w:rPr>
      </w:pPr>
      <w:r w:rsidRPr="00E24C4B">
        <w:rPr>
          <w:rFonts w:cs="Arial"/>
          <w:bCs/>
          <w:lang w:val="en-US"/>
        </w:rPr>
        <w:t>Abbreviations</w:t>
      </w:r>
      <w:r w:rsidRPr="00E24C4B">
        <w:rPr>
          <w:rFonts w:cs="Arial"/>
          <w:bCs/>
          <w:szCs w:val="20"/>
          <w:lang w:val="en-US"/>
        </w:rPr>
        <w:t xml:space="preserve">: </w:t>
      </w:r>
      <w:r w:rsidRPr="00E24C4B">
        <w:rPr>
          <w:rFonts w:cs="Arial"/>
          <w:lang w:val="en-GB"/>
        </w:rPr>
        <w:t>AIC, akaike information criterion; BIC, bayesian information criterion; OS, overall survival.</w:t>
      </w:r>
    </w:p>
    <w:p w14:paraId="33175301" w14:textId="7983BA29" w:rsidR="00DD4F83" w:rsidRDefault="00DD4F83">
      <w:pPr>
        <w:spacing w:after="160" w:line="259" w:lineRule="auto"/>
        <w:rPr>
          <w:rFonts w:eastAsia="Times New Roman" w:cs="Arial"/>
          <w:szCs w:val="20"/>
          <w:lang w:val="en-GB" w:eastAsia="it-IT"/>
        </w:rPr>
      </w:pPr>
      <w:r>
        <w:rPr>
          <w:rFonts w:eastAsia="Times New Roman" w:cs="Arial"/>
          <w:szCs w:val="20"/>
          <w:lang w:val="en-GB" w:eastAsia="it-IT"/>
        </w:rPr>
        <w:br w:type="page"/>
      </w:r>
    </w:p>
    <w:p w14:paraId="6E8B55BF" w14:textId="5E2326DF" w:rsidR="002F6056" w:rsidRPr="00102B2D" w:rsidRDefault="002F6056" w:rsidP="002F6056">
      <w:pPr>
        <w:spacing w:after="160" w:line="259" w:lineRule="auto"/>
        <w:rPr>
          <w:rFonts w:eastAsia="Times New Roman" w:cs="Arial"/>
          <w:szCs w:val="20"/>
          <w:lang w:val="en-GB" w:eastAsia="it-IT"/>
        </w:rPr>
      </w:pPr>
      <w:r w:rsidRPr="00102B2D">
        <w:rPr>
          <w:rFonts w:eastAsia="Times New Roman" w:cs="Arial"/>
          <w:b/>
          <w:bCs/>
          <w:szCs w:val="20"/>
          <w:lang w:val="en-GB" w:eastAsia="it-IT"/>
        </w:rPr>
        <w:lastRenderedPageBreak/>
        <w:t xml:space="preserve">Supplemental Table </w:t>
      </w:r>
      <w:r>
        <w:rPr>
          <w:rFonts w:eastAsia="Times New Roman" w:cs="Arial"/>
          <w:b/>
          <w:bCs/>
          <w:szCs w:val="20"/>
          <w:lang w:val="en-GB" w:eastAsia="it-IT"/>
        </w:rPr>
        <w:t>6</w:t>
      </w:r>
      <w:r w:rsidRPr="00102B2D">
        <w:rPr>
          <w:rFonts w:eastAsia="Times New Roman" w:cs="Arial"/>
          <w:b/>
          <w:bCs/>
          <w:szCs w:val="20"/>
          <w:lang w:val="en-GB" w:eastAsia="it-IT"/>
        </w:rPr>
        <w:t xml:space="preserve"> </w:t>
      </w:r>
      <w:r>
        <w:rPr>
          <w:rFonts w:eastAsia="Times New Roman" w:cs="Arial"/>
          <w:szCs w:val="20"/>
          <w:lang w:val="en-GB" w:eastAsia="it-IT"/>
        </w:rPr>
        <w:t>G</w:t>
      </w:r>
      <w:r w:rsidRPr="002F6056">
        <w:rPr>
          <w:rFonts w:eastAsia="Times New Roman" w:cs="Arial"/>
          <w:szCs w:val="20"/>
          <w:lang w:val="en-GB" w:eastAsia="it-IT"/>
        </w:rPr>
        <w:t>oodness of fit statistics</w:t>
      </w:r>
      <w:r w:rsidRPr="002F6056">
        <w:rPr>
          <w:lang w:val="en-GB"/>
        </w:rPr>
        <w:t xml:space="preserve"> </w:t>
      </w:r>
      <w:r w:rsidRPr="00133A82">
        <w:rPr>
          <w:lang w:val="en-GB"/>
        </w:rPr>
        <w:t>OS MCM for SoC</w:t>
      </w:r>
      <w:r>
        <w:rPr>
          <w:rFonts w:eastAsia="Times New Roman" w:cs="Arial"/>
          <w:szCs w:val="20"/>
          <w:lang w:val="en-GB" w:eastAsia="it-IT"/>
        </w:rPr>
        <w:t>.</w:t>
      </w:r>
    </w:p>
    <w:tbl>
      <w:tblPr>
        <w:tblStyle w:val="Grigliatabella"/>
        <w:tblW w:w="5000" w:type="pct"/>
        <w:tblLook w:val="04A0" w:firstRow="1" w:lastRow="0" w:firstColumn="1" w:lastColumn="0" w:noHBand="0" w:noVBand="1"/>
      </w:tblPr>
      <w:tblGrid>
        <w:gridCol w:w="3060"/>
        <w:gridCol w:w="1742"/>
        <w:gridCol w:w="1749"/>
        <w:gridCol w:w="2843"/>
      </w:tblGrid>
      <w:tr w:rsidR="002F6056" w:rsidRPr="000434F4" w14:paraId="61F6A7D4" w14:textId="77777777" w:rsidTr="00DD4F83">
        <w:trPr>
          <w:trHeight w:val="255"/>
        </w:trPr>
        <w:tc>
          <w:tcPr>
            <w:tcW w:w="1629" w:type="pct"/>
            <w:shd w:val="clear" w:color="auto" w:fill="808080" w:themeFill="background1" w:themeFillShade="80"/>
            <w:vAlign w:val="center"/>
          </w:tcPr>
          <w:p w14:paraId="7C1C8E78" w14:textId="77777777" w:rsidR="002F6056" w:rsidRPr="000434F4" w:rsidRDefault="002F6056" w:rsidP="00AA5240">
            <w:pPr>
              <w:spacing w:line="276" w:lineRule="auto"/>
              <w:rPr>
                <w:rFonts w:cs="Arial"/>
                <w:b/>
                <w:bCs/>
                <w:color w:val="FFFFFF" w:themeColor="background1"/>
                <w:szCs w:val="24"/>
                <w:lang w:val="en-GB"/>
              </w:rPr>
            </w:pPr>
            <w:r w:rsidRPr="000434F4">
              <w:rPr>
                <w:rFonts w:cs="Arial"/>
                <w:b/>
                <w:bCs/>
                <w:color w:val="FFFFFF" w:themeColor="background1"/>
                <w:szCs w:val="24"/>
                <w:lang w:val="en-GB"/>
              </w:rPr>
              <w:t>Distribution</w:t>
            </w:r>
          </w:p>
        </w:tc>
        <w:tc>
          <w:tcPr>
            <w:tcW w:w="927" w:type="pct"/>
            <w:shd w:val="clear" w:color="auto" w:fill="808080" w:themeFill="background1" w:themeFillShade="80"/>
          </w:tcPr>
          <w:p w14:paraId="6E927B64" w14:textId="77777777" w:rsidR="002F6056" w:rsidRPr="000434F4" w:rsidRDefault="002F6056" w:rsidP="00AA5240">
            <w:pPr>
              <w:pStyle w:val="TableParagraph"/>
              <w:spacing w:before="0" w:line="276" w:lineRule="auto"/>
              <w:jc w:val="center"/>
              <w:rPr>
                <w:rFonts w:cs="Arial"/>
                <w:b/>
                <w:color w:val="FFFFFF" w:themeColor="background1"/>
                <w:szCs w:val="24"/>
                <w:lang w:val="en-GB"/>
              </w:rPr>
            </w:pPr>
            <w:r w:rsidRPr="000434F4">
              <w:rPr>
                <w:rFonts w:cs="Arial"/>
                <w:b/>
                <w:color w:val="FFFFFF" w:themeColor="background1"/>
                <w:szCs w:val="24"/>
                <w:lang w:val="en-GB"/>
              </w:rPr>
              <w:t>AIC</w:t>
            </w:r>
          </w:p>
        </w:tc>
        <w:tc>
          <w:tcPr>
            <w:tcW w:w="931" w:type="pct"/>
            <w:shd w:val="clear" w:color="auto" w:fill="808080" w:themeFill="background1" w:themeFillShade="80"/>
          </w:tcPr>
          <w:p w14:paraId="04949774" w14:textId="77777777" w:rsidR="002F6056" w:rsidRPr="000434F4" w:rsidRDefault="002F6056" w:rsidP="00AA5240">
            <w:pPr>
              <w:pStyle w:val="TableParagraph"/>
              <w:spacing w:before="0" w:line="276" w:lineRule="auto"/>
              <w:jc w:val="center"/>
              <w:rPr>
                <w:rFonts w:cs="Arial"/>
                <w:b/>
                <w:color w:val="FFFFFF" w:themeColor="background1"/>
                <w:szCs w:val="24"/>
                <w:lang w:val="en-GB"/>
              </w:rPr>
            </w:pPr>
            <w:r w:rsidRPr="000434F4">
              <w:rPr>
                <w:rFonts w:cs="Arial"/>
                <w:b/>
                <w:color w:val="FFFFFF" w:themeColor="background1"/>
                <w:szCs w:val="24"/>
                <w:lang w:val="en-GB"/>
              </w:rPr>
              <w:t>BIC</w:t>
            </w:r>
          </w:p>
        </w:tc>
        <w:tc>
          <w:tcPr>
            <w:tcW w:w="1513" w:type="pct"/>
            <w:shd w:val="clear" w:color="auto" w:fill="808080" w:themeFill="background1" w:themeFillShade="80"/>
            <w:vAlign w:val="center"/>
          </w:tcPr>
          <w:p w14:paraId="5382F4D0" w14:textId="77777777" w:rsidR="002F6056" w:rsidRPr="000434F4" w:rsidRDefault="002F6056" w:rsidP="00AA5240">
            <w:pPr>
              <w:pStyle w:val="TableParagraph"/>
              <w:spacing w:before="0" w:line="276" w:lineRule="auto"/>
              <w:jc w:val="center"/>
              <w:rPr>
                <w:rFonts w:cs="Arial"/>
                <w:b/>
                <w:color w:val="FFFFFF" w:themeColor="background1"/>
                <w:szCs w:val="24"/>
                <w:lang w:val="en-GB"/>
              </w:rPr>
            </w:pPr>
            <w:r w:rsidRPr="000434F4">
              <w:rPr>
                <w:rFonts w:cs="Arial"/>
                <w:b/>
                <w:color w:val="FFFFFF" w:themeColor="background1"/>
                <w:szCs w:val="24"/>
                <w:lang w:val="en-GB"/>
              </w:rPr>
              <w:t>10-year OS</w:t>
            </w:r>
          </w:p>
        </w:tc>
      </w:tr>
      <w:tr w:rsidR="002F6056" w:rsidRPr="000434F4" w14:paraId="0DBCF054" w14:textId="77777777" w:rsidTr="00DD4F83">
        <w:trPr>
          <w:trHeight w:val="255"/>
        </w:trPr>
        <w:tc>
          <w:tcPr>
            <w:tcW w:w="1629" w:type="pct"/>
          </w:tcPr>
          <w:p w14:paraId="4E9148CE" w14:textId="77777777" w:rsidR="002F6056" w:rsidRPr="000434F4" w:rsidRDefault="002F6056" w:rsidP="00AA5240">
            <w:pPr>
              <w:keepLines/>
              <w:tabs>
                <w:tab w:val="left" w:pos="311"/>
                <w:tab w:val="left" w:pos="2085"/>
              </w:tabs>
              <w:spacing w:line="276" w:lineRule="auto"/>
              <w:rPr>
                <w:rFonts w:cs="Arial"/>
                <w:szCs w:val="24"/>
                <w:lang w:val="en-GB"/>
              </w:rPr>
            </w:pPr>
            <w:r w:rsidRPr="000434F4">
              <w:rPr>
                <w:rFonts w:cs="Arial"/>
                <w:szCs w:val="24"/>
                <w:lang w:val="en-GB"/>
              </w:rPr>
              <w:t>Exponential</w:t>
            </w:r>
          </w:p>
        </w:tc>
        <w:tc>
          <w:tcPr>
            <w:tcW w:w="927" w:type="pct"/>
          </w:tcPr>
          <w:p w14:paraId="36A2EA0B" w14:textId="77777777" w:rsidR="002F6056" w:rsidRPr="000434F4" w:rsidRDefault="002F6056" w:rsidP="00AA5240">
            <w:pPr>
              <w:spacing w:line="276" w:lineRule="auto"/>
              <w:jc w:val="center"/>
              <w:rPr>
                <w:rFonts w:cs="Arial"/>
                <w:szCs w:val="24"/>
                <w:lang w:val="en-GB"/>
              </w:rPr>
            </w:pPr>
            <w:r w:rsidRPr="000434F4">
              <w:rPr>
                <w:rFonts w:cs="Arial"/>
                <w:szCs w:val="24"/>
                <w:lang w:val="en-GB"/>
              </w:rPr>
              <w:t>464.910</w:t>
            </w:r>
          </w:p>
        </w:tc>
        <w:tc>
          <w:tcPr>
            <w:tcW w:w="931" w:type="pct"/>
          </w:tcPr>
          <w:p w14:paraId="22F96E5B" w14:textId="77777777" w:rsidR="002F6056" w:rsidRPr="000434F4" w:rsidRDefault="002F6056" w:rsidP="00AA5240">
            <w:pPr>
              <w:spacing w:line="276" w:lineRule="auto"/>
              <w:jc w:val="center"/>
              <w:rPr>
                <w:rFonts w:cs="Arial"/>
                <w:szCs w:val="24"/>
                <w:lang w:val="en-GB"/>
              </w:rPr>
            </w:pPr>
            <w:r w:rsidRPr="000434F4">
              <w:rPr>
                <w:rFonts w:cs="Arial"/>
                <w:szCs w:val="24"/>
                <w:lang w:val="en-GB"/>
              </w:rPr>
              <w:t>470.347</w:t>
            </w:r>
          </w:p>
        </w:tc>
        <w:tc>
          <w:tcPr>
            <w:tcW w:w="1513" w:type="pct"/>
          </w:tcPr>
          <w:p w14:paraId="560B620A" w14:textId="77777777" w:rsidR="002F6056" w:rsidRPr="000434F4" w:rsidRDefault="002F6056" w:rsidP="00AA5240">
            <w:pPr>
              <w:spacing w:line="276" w:lineRule="auto"/>
              <w:jc w:val="center"/>
              <w:rPr>
                <w:rFonts w:cs="Arial"/>
                <w:szCs w:val="24"/>
                <w:lang w:val="en-GB"/>
              </w:rPr>
            </w:pPr>
            <w:r w:rsidRPr="000434F4">
              <w:rPr>
                <w:rFonts w:cs="Arial"/>
                <w:szCs w:val="24"/>
                <w:lang w:val="en-GB"/>
              </w:rPr>
              <w:t>41.6%</w:t>
            </w:r>
          </w:p>
        </w:tc>
      </w:tr>
      <w:tr w:rsidR="002F6056" w:rsidRPr="000434F4" w14:paraId="2C8D3DF5" w14:textId="77777777" w:rsidTr="00DD4F83">
        <w:trPr>
          <w:trHeight w:val="255"/>
        </w:trPr>
        <w:tc>
          <w:tcPr>
            <w:tcW w:w="1629" w:type="pct"/>
          </w:tcPr>
          <w:p w14:paraId="245C8010" w14:textId="77777777" w:rsidR="002F6056" w:rsidRPr="000434F4" w:rsidRDefault="002F6056" w:rsidP="00AA5240">
            <w:pPr>
              <w:spacing w:line="276" w:lineRule="auto"/>
              <w:rPr>
                <w:rFonts w:cs="Arial"/>
                <w:b/>
                <w:bCs/>
                <w:szCs w:val="24"/>
                <w:lang w:val="en-GB"/>
              </w:rPr>
            </w:pPr>
            <w:r w:rsidRPr="000434F4">
              <w:rPr>
                <w:rFonts w:cs="Arial"/>
                <w:szCs w:val="24"/>
                <w:lang w:val="en-GB"/>
              </w:rPr>
              <w:t>Gamma</w:t>
            </w:r>
          </w:p>
        </w:tc>
        <w:tc>
          <w:tcPr>
            <w:tcW w:w="927" w:type="pct"/>
          </w:tcPr>
          <w:p w14:paraId="0BA9AC79" w14:textId="77777777" w:rsidR="002F6056" w:rsidRPr="000434F4" w:rsidRDefault="002F6056" w:rsidP="00AA5240">
            <w:pPr>
              <w:spacing w:line="276" w:lineRule="auto"/>
              <w:jc w:val="center"/>
              <w:rPr>
                <w:rFonts w:cs="Arial"/>
                <w:b/>
                <w:bCs/>
                <w:szCs w:val="24"/>
                <w:lang w:val="en-GB"/>
              </w:rPr>
            </w:pPr>
            <w:r w:rsidRPr="000434F4">
              <w:rPr>
                <w:rFonts w:cs="Arial"/>
                <w:szCs w:val="24"/>
                <w:lang w:val="en-GB"/>
              </w:rPr>
              <w:t>463.232</w:t>
            </w:r>
          </w:p>
        </w:tc>
        <w:tc>
          <w:tcPr>
            <w:tcW w:w="931" w:type="pct"/>
          </w:tcPr>
          <w:p w14:paraId="074A5C73" w14:textId="77777777" w:rsidR="002F6056" w:rsidRPr="000434F4" w:rsidRDefault="002F6056" w:rsidP="00AA5240">
            <w:pPr>
              <w:spacing w:line="276" w:lineRule="auto"/>
              <w:jc w:val="center"/>
              <w:rPr>
                <w:rFonts w:cs="Arial"/>
                <w:b/>
                <w:bCs/>
                <w:szCs w:val="24"/>
                <w:lang w:val="en-GB"/>
              </w:rPr>
            </w:pPr>
            <w:r w:rsidRPr="000434F4">
              <w:rPr>
                <w:rFonts w:cs="Arial"/>
                <w:szCs w:val="24"/>
                <w:lang w:val="en-GB"/>
              </w:rPr>
              <w:t>471.387</w:t>
            </w:r>
          </w:p>
        </w:tc>
        <w:tc>
          <w:tcPr>
            <w:tcW w:w="1513" w:type="pct"/>
          </w:tcPr>
          <w:p w14:paraId="4AC96DFC" w14:textId="77777777" w:rsidR="002F6056" w:rsidRPr="000434F4" w:rsidRDefault="002F6056" w:rsidP="00AA5240">
            <w:pPr>
              <w:spacing w:line="276" w:lineRule="auto"/>
              <w:jc w:val="center"/>
              <w:rPr>
                <w:rFonts w:cs="Arial"/>
                <w:szCs w:val="24"/>
                <w:lang w:val="en-GB"/>
              </w:rPr>
            </w:pPr>
            <w:r w:rsidRPr="000434F4">
              <w:rPr>
                <w:rFonts w:cs="Arial"/>
                <w:szCs w:val="24"/>
                <w:lang w:val="en-GB"/>
              </w:rPr>
              <w:t>50.6%</w:t>
            </w:r>
          </w:p>
        </w:tc>
      </w:tr>
      <w:tr w:rsidR="002F6056" w:rsidRPr="000434F4" w14:paraId="7AAA6834" w14:textId="77777777" w:rsidTr="00DD4F83">
        <w:trPr>
          <w:trHeight w:val="255"/>
        </w:trPr>
        <w:tc>
          <w:tcPr>
            <w:tcW w:w="1629" w:type="pct"/>
          </w:tcPr>
          <w:p w14:paraId="418E9893" w14:textId="77777777" w:rsidR="002F6056" w:rsidRPr="000434F4" w:rsidDel="00067B13" w:rsidRDefault="002F6056" w:rsidP="00AA5240">
            <w:pPr>
              <w:spacing w:line="276" w:lineRule="auto"/>
              <w:rPr>
                <w:rFonts w:eastAsia="Calibri" w:cs="Arial"/>
                <w:szCs w:val="24"/>
                <w:lang w:val="en-GB"/>
              </w:rPr>
            </w:pPr>
            <w:r w:rsidRPr="000434F4" w:rsidDel="00FD72F2">
              <w:rPr>
                <w:rFonts w:cs="Arial"/>
                <w:szCs w:val="24"/>
                <w:lang w:val="en-GB"/>
              </w:rPr>
              <w:t>Gompertz</w:t>
            </w:r>
          </w:p>
        </w:tc>
        <w:tc>
          <w:tcPr>
            <w:tcW w:w="927" w:type="pct"/>
          </w:tcPr>
          <w:p w14:paraId="16801E90" w14:textId="77777777" w:rsidR="002F6056" w:rsidRPr="000434F4" w:rsidDel="00067B13" w:rsidRDefault="002F6056" w:rsidP="00AA5240">
            <w:pPr>
              <w:spacing w:line="276" w:lineRule="auto"/>
              <w:jc w:val="center"/>
              <w:rPr>
                <w:rFonts w:eastAsia="Calibri" w:cs="Arial"/>
                <w:szCs w:val="24"/>
                <w:lang w:val="en-GB"/>
              </w:rPr>
            </w:pPr>
            <w:r w:rsidRPr="000434F4">
              <w:rPr>
                <w:rFonts w:cs="Arial"/>
                <w:szCs w:val="24"/>
                <w:lang w:val="en-GB"/>
              </w:rPr>
              <w:t>465.537</w:t>
            </w:r>
          </w:p>
        </w:tc>
        <w:tc>
          <w:tcPr>
            <w:tcW w:w="931" w:type="pct"/>
          </w:tcPr>
          <w:p w14:paraId="4C214803" w14:textId="77777777" w:rsidR="002F6056" w:rsidRPr="000434F4" w:rsidDel="00067B13" w:rsidRDefault="002F6056" w:rsidP="00AA5240">
            <w:pPr>
              <w:spacing w:line="276" w:lineRule="auto"/>
              <w:jc w:val="center"/>
              <w:rPr>
                <w:rFonts w:eastAsia="Calibri" w:cs="Arial"/>
                <w:szCs w:val="24"/>
                <w:lang w:val="en-GB"/>
              </w:rPr>
            </w:pPr>
            <w:r w:rsidRPr="000434F4">
              <w:rPr>
                <w:rFonts w:cs="Arial"/>
                <w:szCs w:val="24"/>
                <w:lang w:val="en-GB"/>
              </w:rPr>
              <w:t>473.692</w:t>
            </w:r>
          </w:p>
        </w:tc>
        <w:tc>
          <w:tcPr>
            <w:tcW w:w="1513" w:type="pct"/>
          </w:tcPr>
          <w:p w14:paraId="33D482CB" w14:textId="77777777" w:rsidR="002F6056" w:rsidRPr="000434F4" w:rsidDel="00067B13" w:rsidRDefault="002F6056" w:rsidP="00AA5240">
            <w:pPr>
              <w:spacing w:line="276" w:lineRule="auto"/>
              <w:jc w:val="center"/>
              <w:rPr>
                <w:rFonts w:cs="Arial"/>
                <w:szCs w:val="24"/>
                <w:lang w:val="en-GB"/>
              </w:rPr>
            </w:pPr>
            <w:r w:rsidRPr="000434F4">
              <w:rPr>
                <w:rFonts w:cs="Arial"/>
                <w:szCs w:val="24"/>
                <w:lang w:val="en-GB"/>
              </w:rPr>
              <w:t>52.2%</w:t>
            </w:r>
          </w:p>
        </w:tc>
      </w:tr>
      <w:tr w:rsidR="002F6056" w:rsidRPr="000434F4" w14:paraId="2917BA5C" w14:textId="77777777" w:rsidTr="00DD4F83">
        <w:trPr>
          <w:trHeight w:val="255"/>
        </w:trPr>
        <w:tc>
          <w:tcPr>
            <w:tcW w:w="1629" w:type="pct"/>
          </w:tcPr>
          <w:p w14:paraId="766C9783" w14:textId="77777777" w:rsidR="002F6056" w:rsidRPr="000434F4" w:rsidDel="00067B13" w:rsidRDefault="002F6056" w:rsidP="00AA5240">
            <w:pPr>
              <w:spacing w:line="276" w:lineRule="auto"/>
              <w:rPr>
                <w:rFonts w:eastAsia="Calibri" w:cs="Arial"/>
                <w:szCs w:val="24"/>
                <w:lang w:val="en-GB"/>
              </w:rPr>
            </w:pPr>
            <w:r w:rsidRPr="000434F4">
              <w:rPr>
                <w:rFonts w:cs="Arial"/>
                <w:szCs w:val="24"/>
                <w:lang w:val="en-GB"/>
              </w:rPr>
              <w:t>Log-logistic</w:t>
            </w:r>
          </w:p>
        </w:tc>
        <w:tc>
          <w:tcPr>
            <w:tcW w:w="927" w:type="pct"/>
          </w:tcPr>
          <w:p w14:paraId="3EFD69E9" w14:textId="77777777" w:rsidR="002F6056" w:rsidRPr="000434F4" w:rsidDel="00067B13" w:rsidRDefault="002F6056" w:rsidP="00AA5240">
            <w:pPr>
              <w:spacing w:line="276" w:lineRule="auto"/>
              <w:jc w:val="center"/>
              <w:rPr>
                <w:rFonts w:eastAsia="Calibri" w:cs="Arial"/>
                <w:szCs w:val="24"/>
                <w:lang w:val="en-GB"/>
              </w:rPr>
            </w:pPr>
            <w:r w:rsidRPr="000434F4">
              <w:rPr>
                <w:rFonts w:cs="Arial"/>
                <w:szCs w:val="24"/>
                <w:lang w:val="en-GB"/>
              </w:rPr>
              <w:t>463.095</w:t>
            </w:r>
          </w:p>
        </w:tc>
        <w:tc>
          <w:tcPr>
            <w:tcW w:w="931" w:type="pct"/>
          </w:tcPr>
          <w:p w14:paraId="1AD4EA16" w14:textId="77777777" w:rsidR="002F6056" w:rsidRPr="000434F4" w:rsidDel="00067B13" w:rsidRDefault="002F6056" w:rsidP="00AA5240">
            <w:pPr>
              <w:spacing w:line="276" w:lineRule="auto"/>
              <w:jc w:val="center"/>
              <w:rPr>
                <w:rFonts w:eastAsia="Calibri" w:cs="Arial"/>
                <w:szCs w:val="24"/>
                <w:lang w:val="en-GB"/>
              </w:rPr>
            </w:pPr>
            <w:r w:rsidRPr="000434F4">
              <w:rPr>
                <w:rFonts w:cs="Arial"/>
                <w:szCs w:val="24"/>
                <w:lang w:val="en-GB"/>
              </w:rPr>
              <w:t>471.251</w:t>
            </w:r>
          </w:p>
        </w:tc>
        <w:tc>
          <w:tcPr>
            <w:tcW w:w="1513" w:type="pct"/>
          </w:tcPr>
          <w:p w14:paraId="75250AAE" w14:textId="77777777" w:rsidR="002F6056" w:rsidRPr="000434F4" w:rsidDel="00067B13" w:rsidRDefault="002F6056" w:rsidP="00AA5240">
            <w:pPr>
              <w:spacing w:line="276" w:lineRule="auto"/>
              <w:jc w:val="center"/>
              <w:rPr>
                <w:rFonts w:cs="Arial"/>
                <w:szCs w:val="24"/>
                <w:lang w:val="en-GB"/>
              </w:rPr>
            </w:pPr>
            <w:r w:rsidRPr="000434F4">
              <w:rPr>
                <w:rFonts w:cs="Arial"/>
                <w:szCs w:val="24"/>
                <w:lang w:val="en-GB"/>
              </w:rPr>
              <w:t>48.9%</w:t>
            </w:r>
          </w:p>
        </w:tc>
      </w:tr>
      <w:tr w:rsidR="002F6056" w:rsidRPr="000434F4" w14:paraId="3A95B747" w14:textId="77777777" w:rsidTr="00DD4F83">
        <w:trPr>
          <w:trHeight w:val="255"/>
        </w:trPr>
        <w:tc>
          <w:tcPr>
            <w:tcW w:w="1629" w:type="pct"/>
          </w:tcPr>
          <w:p w14:paraId="0E552CB9" w14:textId="77777777" w:rsidR="002F6056" w:rsidRPr="000434F4" w:rsidRDefault="002F6056" w:rsidP="00AA5240">
            <w:pPr>
              <w:spacing w:line="276" w:lineRule="auto"/>
              <w:rPr>
                <w:rFonts w:cs="Arial"/>
                <w:szCs w:val="24"/>
                <w:lang w:val="en-GB"/>
              </w:rPr>
            </w:pPr>
            <w:r w:rsidRPr="000434F4">
              <w:rPr>
                <w:rFonts w:cs="Arial"/>
                <w:szCs w:val="24"/>
                <w:lang w:val="en-GB"/>
              </w:rPr>
              <w:t>Log-normal</w:t>
            </w:r>
          </w:p>
        </w:tc>
        <w:tc>
          <w:tcPr>
            <w:tcW w:w="927" w:type="pct"/>
          </w:tcPr>
          <w:p w14:paraId="74A16BC0" w14:textId="77777777" w:rsidR="002F6056" w:rsidRPr="000434F4" w:rsidRDefault="002F6056" w:rsidP="00AA5240">
            <w:pPr>
              <w:spacing w:line="276" w:lineRule="auto"/>
              <w:jc w:val="center"/>
              <w:rPr>
                <w:rFonts w:cs="Arial"/>
                <w:szCs w:val="24"/>
                <w:lang w:val="en-GB"/>
              </w:rPr>
            </w:pPr>
            <w:r w:rsidRPr="000434F4">
              <w:rPr>
                <w:rFonts w:cs="Arial"/>
                <w:szCs w:val="24"/>
                <w:lang w:val="en-GB"/>
              </w:rPr>
              <w:t>464.168</w:t>
            </w:r>
          </w:p>
        </w:tc>
        <w:tc>
          <w:tcPr>
            <w:tcW w:w="931" w:type="pct"/>
          </w:tcPr>
          <w:p w14:paraId="6FAFADF1" w14:textId="77777777" w:rsidR="002F6056" w:rsidRPr="000434F4" w:rsidRDefault="002F6056" w:rsidP="00AA5240">
            <w:pPr>
              <w:spacing w:line="276" w:lineRule="auto"/>
              <w:jc w:val="center"/>
              <w:rPr>
                <w:rFonts w:cs="Arial"/>
                <w:szCs w:val="24"/>
                <w:lang w:val="en-GB"/>
              </w:rPr>
            </w:pPr>
            <w:r w:rsidRPr="000434F4">
              <w:rPr>
                <w:rFonts w:cs="Arial"/>
                <w:szCs w:val="24"/>
                <w:lang w:val="en-GB"/>
              </w:rPr>
              <w:t>472.323</w:t>
            </w:r>
          </w:p>
        </w:tc>
        <w:tc>
          <w:tcPr>
            <w:tcW w:w="1513" w:type="pct"/>
          </w:tcPr>
          <w:p w14:paraId="41B0E6DE" w14:textId="77777777" w:rsidR="002F6056" w:rsidRPr="000434F4" w:rsidRDefault="002F6056" w:rsidP="00AA5240">
            <w:pPr>
              <w:spacing w:line="276" w:lineRule="auto"/>
              <w:jc w:val="center"/>
              <w:rPr>
                <w:rFonts w:cs="Arial"/>
                <w:szCs w:val="24"/>
                <w:lang w:val="en-GB"/>
              </w:rPr>
            </w:pPr>
            <w:r w:rsidRPr="000434F4">
              <w:rPr>
                <w:rFonts w:cs="Arial"/>
                <w:szCs w:val="24"/>
                <w:lang w:val="en-GB"/>
              </w:rPr>
              <w:t>44.5%</w:t>
            </w:r>
          </w:p>
        </w:tc>
      </w:tr>
      <w:tr w:rsidR="002F6056" w:rsidRPr="000434F4" w14:paraId="38141341" w14:textId="77777777" w:rsidTr="00DD4F83">
        <w:trPr>
          <w:trHeight w:val="255"/>
        </w:trPr>
        <w:tc>
          <w:tcPr>
            <w:tcW w:w="1629" w:type="pct"/>
          </w:tcPr>
          <w:p w14:paraId="1CA4F676" w14:textId="77777777" w:rsidR="002F6056" w:rsidRPr="000434F4" w:rsidDel="00067B13" w:rsidRDefault="002F6056" w:rsidP="00AA5240">
            <w:pPr>
              <w:spacing w:line="276" w:lineRule="auto"/>
              <w:rPr>
                <w:rFonts w:eastAsia="Calibri" w:cs="Arial"/>
                <w:szCs w:val="24"/>
                <w:lang w:val="en-GB"/>
              </w:rPr>
            </w:pPr>
            <w:r w:rsidRPr="000434F4" w:rsidDel="00FD72F2">
              <w:rPr>
                <w:rFonts w:cs="Arial"/>
                <w:szCs w:val="24"/>
                <w:lang w:val="en-GB"/>
              </w:rPr>
              <w:t>Weibull</w:t>
            </w:r>
            <w:r w:rsidRPr="000434F4">
              <w:rPr>
                <w:rFonts w:cs="Arial"/>
                <w:szCs w:val="24"/>
                <w:lang w:val="en-GB"/>
              </w:rPr>
              <w:t>*</w:t>
            </w:r>
          </w:p>
        </w:tc>
        <w:tc>
          <w:tcPr>
            <w:tcW w:w="927" w:type="pct"/>
          </w:tcPr>
          <w:p w14:paraId="7F8FD445" w14:textId="77777777" w:rsidR="002F6056" w:rsidRPr="000434F4" w:rsidDel="00067B13" w:rsidRDefault="002F6056" w:rsidP="00AA5240">
            <w:pPr>
              <w:spacing w:line="276" w:lineRule="auto"/>
              <w:jc w:val="center"/>
              <w:rPr>
                <w:rFonts w:eastAsia="Calibri" w:cs="Arial"/>
                <w:szCs w:val="24"/>
                <w:lang w:val="en-GB"/>
              </w:rPr>
            </w:pPr>
            <w:r w:rsidRPr="000434F4">
              <w:rPr>
                <w:rFonts w:cs="Arial"/>
                <w:szCs w:val="24"/>
                <w:lang w:val="en-GB"/>
              </w:rPr>
              <w:t>463.431</w:t>
            </w:r>
          </w:p>
        </w:tc>
        <w:tc>
          <w:tcPr>
            <w:tcW w:w="931" w:type="pct"/>
          </w:tcPr>
          <w:p w14:paraId="4BCF5F3D" w14:textId="77777777" w:rsidR="002F6056" w:rsidRPr="000434F4" w:rsidDel="00067B13" w:rsidRDefault="002F6056" w:rsidP="00AA5240">
            <w:pPr>
              <w:spacing w:line="276" w:lineRule="auto"/>
              <w:jc w:val="center"/>
              <w:rPr>
                <w:rFonts w:eastAsia="Calibri" w:cs="Arial"/>
                <w:szCs w:val="24"/>
                <w:lang w:val="en-GB"/>
              </w:rPr>
            </w:pPr>
            <w:r w:rsidRPr="000434F4">
              <w:rPr>
                <w:rFonts w:cs="Arial"/>
                <w:szCs w:val="24"/>
                <w:lang w:val="en-GB"/>
              </w:rPr>
              <w:t>471.586</w:t>
            </w:r>
          </w:p>
        </w:tc>
        <w:tc>
          <w:tcPr>
            <w:tcW w:w="1513" w:type="pct"/>
          </w:tcPr>
          <w:p w14:paraId="6D8590E2" w14:textId="77777777" w:rsidR="002F6056" w:rsidRPr="000434F4" w:rsidDel="00067B13" w:rsidRDefault="002F6056" w:rsidP="00AA5240">
            <w:pPr>
              <w:spacing w:line="276" w:lineRule="auto"/>
              <w:jc w:val="center"/>
              <w:rPr>
                <w:rFonts w:cs="Arial"/>
                <w:szCs w:val="24"/>
                <w:lang w:val="en-GB"/>
              </w:rPr>
            </w:pPr>
            <w:r w:rsidRPr="000434F4">
              <w:rPr>
                <w:rFonts w:cs="Arial"/>
                <w:szCs w:val="24"/>
                <w:lang w:val="en-GB"/>
              </w:rPr>
              <w:t>51.8%</w:t>
            </w:r>
          </w:p>
        </w:tc>
      </w:tr>
    </w:tbl>
    <w:p w14:paraId="753386D7" w14:textId="77777777" w:rsidR="002F6056" w:rsidRPr="008856E5" w:rsidRDefault="002F6056" w:rsidP="002F6056">
      <w:pPr>
        <w:spacing w:before="120"/>
        <w:rPr>
          <w:lang w:val="en-GB"/>
        </w:rPr>
      </w:pPr>
      <w:r w:rsidRPr="002E1D08">
        <w:rPr>
          <w:lang w:val="en-GB"/>
        </w:rPr>
        <w:t>*</w:t>
      </w:r>
      <w:r w:rsidRPr="008856E5">
        <w:rPr>
          <w:lang w:val="en-GB"/>
        </w:rPr>
        <w:t>Parametric distribution applied in the base case analysis.</w:t>
      </w:r>
    </w:p>
    <w:p w14:paraId="5AB008B2" w14:textId="54C8EB54" w:rsidR="002F6056" w:rsidRDefault="002F6056" w:rsidP="002F6056">
      <w:pPr>
        <w:spacing w:after="160" w:line="259" w:lineRule="auto"/>
        <w:rPr>
          <w:lang w:val="en-GB"/>
        </w:rPr>
      </w:pPr>
      <w:r w:rsidRPr="001F71E4">
        <w:rPr>
          <w:bCs/>
          <w:lang w:val="en-US"/>
        </w:rPr>
        <w:t>Abbreviations</w:t>
      </w:r>
      <w:r w:rsidRPr="001F71E4">
        <w:rPr>
          <w:rFonts w:cs="Arial"/>
          <w:bCs/>
          <w:szCs w:val="20"/>
          <w:lang w:val="en-US"/>
        </w:rPr>
        <w:t xml:space="preserve">: </w:t>
      </w:r>
      <w:r w:rsidRPr="00133A82">
        <w:rPr>
          <w:lang w:val="en-GB"/>
        </w:rPr>
        <w:t>AIC</w:t>
      </w:r>
      <w:r>
        <w:rPr>
          <w:lang w:val="en-GB"/>
        </w:rPr>
        <w:t>,</w:t>
      </w:r>
      <w:r w:rsidRPr="00133A82">
        <w:rPr>
          <w:lang w:val="en-GB"/>
        </w:rPr>
        <w:t xml:space="preserve"> akaike information criterion; BIC</w:t>
      </w:r>
      <w:r>
        <w:rPr>
          <w:lang w:val="en-GB"/>
        </w:rPr>
        <w:t>,</w:t>
      </w:r>
      <w:r w:rsidRPr="00133A82">
        <w:rPr>
          <w:lang w:val="en-GB"/>
        </w:rPr>
        <w:t xml:space="preserve"> bayesian information criterion; OS</w:t>
      </w:r>
      <w:r>
        <w:rPr>
          <w:lang w:val="en-GB"/>
        </w:rPr>
        <w:t>,</w:t>
      </w:r>
      <w:r w:rsidRPr="00133A82">
        <w:rPr>
          <w:lang w:val="en-GB"/>
        </w:rPr>
        <w:t xml:space="preserve"> overall survival.</w:t>
      </w:r>
    </w:p>
    <w:p w14:paraId="11FD4505" w14:textId="3733AC8D" w:rsidR="00DD4F83" w:rsidRDefault="00DD4F83">
      <w:pPr>
        <w:spacing w:after="160" w:line="259" w:lineRule="auto"/>
        <w:rPr>
          <w:rFonts w:eastAsia="Times New Roman" w:cs="Arial"/>
          <w:szCs w:val="20"/>
          <w:lang w:val="en-GB" w:eastAsia="it-IT"/>
        </w:rPr>
      </w:pPr>
      <w:r>
        <w:rPr>
          <w:rFonts w:eastAsia="Times New Roman" w:cs="Arial"/>
          <w:szCs w:val="20"/>
          <w:lang w:val="en-GB" w:eastAsia="it-IT"/>
        </w:rPr>
        <w:br w:type="page"/>
      </w:r>
    </w:p>
    <w:p w14:paraId="102C31B6" w14:textId="2DE87DED" w:rsidR="002F6056" w:rsidRPr="00102B2D" w:rsidRDefault="002F6056" w:rsidP="002F6056">
      <w:pPr>
        <w:spacing w:after="160" w:line="259" w:lineRule="auto"/>
        <w:rPr>
          <w:rFonts w:eastAsia="Times New Roman" w:cs="Arial"/>
          <w:szCs w:val="20"/>
          <w:lang w:val="en-GB" w:eastAsia="it-IT"/>
        </w:rPr>
      </w:pPr>
      <w:r w:rsidRPr="00102B2D">
        <w:rPr>
          <w:rFonts w:eastAsia="Times New Roman" w:cs="Arial"/>
          <w:b/>
          <w:bCs/>
          <w:szCs w:val="20"/>
          <w:lang w:val="en-GB" w:eastAsia="it-IT"/>
        </w:rPr>
        <w:lastRenderedPageBreak/>
        <w:t xml:space="preserve">Supplemental Table </w:t>
      </w:r>
      <w:r>
        <w:rPr>
          <w:rFonts w:eastAsia="Times New Roman" w:cs="Arial"/>
          <w:b/>
          <w:bCs/>
          <w:szCs w:val="20"/>
          <w:lang w:val="en-GB" w:eastAsia="it-IT"/>
        </w:rPr>
        <w:t>7</w:t>
      </w:r>
      <w:r w:rsidRPr="00102B2D">
        <w:rPr>
          <w:rFonts w:eastAsia="Times New Roman" w:cs="Arial"/>
          <w:b/>
          <w:bCs/>
          <w:szCs w:val="20"/>
          <w:lang w:val="en-GB" w:eastAsia="it-IT"/>
        </w:rPr>
        <w:t xml:space="preserve"> </w:t>
      </w:r>
      <w:r>
        <w:rPr>
          <w:rFonts w:eastAsia="Times New Roman" w:cs="Arial"/>
          <w:szCs w:val="20"/>
          <w:lang w:val="en-GB" w:eastAsia="it-IT"/>
        </w:rPr>
        <w:t>G</w:t>
      </w:r>
      <w:r w:rsidRPr="002F6056">
        <w:rPr>
          <w:rFonts w:eastAsia="Times New Roman" w:cs="Arial"/>
          <w:szCs w:val="20"/>
          <w:lang w:val="en-GB" w:eastAsia="it-IT"/>
        </w:rPr>
        <w:t>oodness of fit statistics</w:t>
      </w:r>
      <w:r w:rsidRPr="002F6056">
        <w:rPr>
          <w:lang w:val="en-GB"/>
        </w:rPr>
        <w:t xml:space="preserve"> </w:t>
      </w:r>
      <w:r w:rsidRPr="00133A82">
        <w:rPr>
          <w:lang w:val="en-GB"/>
        </w:rPr>
        <w:t>RFS MCM for Blinatumomab + SoC</w:t>
      </w:r>
      <w:r>
        <w:rPr>
          <w:rFonts w:eastAsia="Times New Roman" w:cs="Arial"/>
          <w:szCs w:val="20"/>
          <w:lang w:val="en-GB" w:eastAsia="it-IT"/>
        </w:rPr>
        <w:t>.</w:t>
      </w:r>
      <w:r w:rsidRPr="00102B2D">
        <w:rPr>
          <w:rFonts w:eastAsia="Times New Roman" w:cs="Arial"/>
          <w:szCs w:val="20"/>
          <w:lang w:val="en-GB" w:eastAsia="it-IT"/>
        </w:rPr>
        <w:t xml:space="preserve"> </w:t>
      </w:r>
    </w:p>
    <w:tbl>
      <w:tblPr>
        <w:tblStyle w:val="Grigliatabella"/>
        <w:tblW w:w="5000" w:type="pct"/>
        <w:tblLook w:val="04A0" w:firstRow="1" w:lastRow="0" w:firstColumn="1" w:lastColumn="0" w:noHBand="0" w:noVBand="1"/>
      </w:tblPr>
      <w:tblGrid>
        <w:gridCol w:w="2606"/>
        <w:gridCol w:w="2172"/>
        <w:gridCol w:w="2164"/>
        <w:gridCol w:w="2452"/>
      </w:tblGrid>
      <w:tr w:rsidR="002F6056" w:rsidRPr="000434F4" w14:paraId="2DD1F6CE" w14:textId="77777777" w:rsidTr="00AA5240">
        <w:trPr>
          <w:trHeight w:val="255"/>
        </w:trPr>
        <w:tc>
          <w:tcPr>
            <w:tcW w:w="1387" w:type="pct"/>
            <w:shd w:val="clear" w:color="auto" w:fill="808080" w:themeFill="background1" w:themeFillShade="80"/>
            <w:vAlign w:val="center"/>
          </w:tcPr>
          <w:p w14:paraId="30F8F0D9" w14:textId="77777777" w:rsidR="002F6056" w:rsidRPr="000434F4" w:rsidRDefault="002F6056" w:rsidP="00AA5240">
            <w:pPr>
              <w:spacing w:line="276" w:lineRule="auto"/>
              <w:rPr>
                <w:rFonts w:cs="Arial"/>
                <w:b/>
                <w:bCs/>
                <w:color w:val="FFFFFF" w:themeColor="background1"/>
                <w:szCs w:val="24"/>
                <w:lang w:val="en-GB"/>
              </w:rPr>
            </w:pPr>
            <w:r w:rsidRPr="000434F4">
              <w:rPr>
                <w:rFonts w:cs="Arial"/>
                <w:b/>
                <w:bCs/>
                <w:color w:val="FFFFFF" w:themeColor="background1"/>
                <w:szCs w:val="24"/>
                <w:lang w:val="en-GB"/>
              </w:rPr>
              <w:t>Distribution</w:t>
            </w:r>
          </w:p>
        </w:tc>
        <w:tc>
          <w:tcPr>
            <w:tcW w:w="1156" w:type="pct"/>
            <w:shd w:val="clear" w:color="auto" w:fill="808080" w:themeFill="background1" w:themeFillShade="80"/>
          </w:tcPr>
          <w:p w14:paraId="593C9543" w14:textId="77777777" w:rsidR="002F6056" w:rsidRPr="000434F4" w:rsidRDefault="002F6056" w:rsidP="00AA5240">
            <w:pPr>
              <w:pStyle w:val="TableParagraph"/>
              <w:spacing w:before="0" w:line="276" w:lineRule="auto"/>
              <w:jc w:val="center"/>
              <w:rPr>
                <w:rFonts w:cs="Arial"/>
                <w:b/>
                <w:color w:val="FFFFFF" w:themeColor="background1"/>
                <w:szCs w:val="24"/>
                <w:lang w:val="en-GB"/>
              </w:rPr>
            </w:pPr>
            <w:r w:rsidRPr="000434F4">
              <w:rPr>
                <w:rFonts w:cs="Arial"/>
                <w:b/>
                <w:color w:val="FFFFFF" w:themeColor="background1"/>
                <w:szCs w:val="24"/>
                <w:lang w:val="en-GB"/>
              </w:rPr>
              <w:t>AIC</w:t>
            </w:r>
          </w:p>
        </w:tc>
        <w:tc>
          <w:tcPr>
            <w:tcW w:w="1152" w:type="pct"/>
            <w:shd w:val="clear" w:color="auto" w:fill="808080" w:themeFill="background1" w:themeFillShade="80"/>
          </w:tcPr>
          <w:p w14:paraId="043722C8" w14:textId="77777777" w:rsidR="002F6056" w:rsidRPr="000434F4" w:rsidRDefault="002F6056" w:rsidP="00AA5240">
            <w:pPr>
              <w:pStyle w:val="TableParagraph"/>
              <w:spacing w:before="0" w:line="276" w:lineRule="auto"/>
              <w:jc w:val="center"/>
              <w:rPr>
                <w:rFonts w:cs="Arial"/>
                <w:b/>
                <w:color w:val="FFFFFF" w:themeColor="background1"/>
                <w:szCs w:val="24"/>
                <w:lang w:val="en-GB"/>
              </w:rPr>
            </w:pPr>
            <w:r w:rsidRPr="000434F4">
              <w:rPr>
                <w:rFonts w:cs="Arial"/>
                <w:b/>
                <w:color w:val="FFFFFF" w:themeColor="background1"/>
                <w:szCs w:val="24"/>
                <w:lang w:val="en-GB"/>
              </w:rPr>
              <w:t>BIC</w:t>
            </w:r>
          </w:p>
        </w:tc>
        <w:tc>
          <w:tcPr>
            <w:tcW w:w="1305" w:type="pct"/>
            <w:shd w:val="clear" w:color="auto" w:fill="808080" w:themeFill="background1" w:themeFillShade="80"/>
            <w:vAlign w:val="center"/>
          </w:tcPr>
          <w:p w14:paraId="523DF44C" w14:textId="77777777" w:rsidR="002F6056" w:rsidRPr="000434F4" w:rsidRDefault="002F6056" w:rsidP="00AA5240">
            <w:pPr>
              <w:pStyle w:val="TableParagraph"/>
              <w:spacing w:before="0" w:line="276" w:lineRule="auto"/>
              <w:jc w:val="center"/>
              <w:rPr>
                <w:rFonts w:cs="Arial"/>
                <w:b/>
                <w:color w:val="FFFFFF" w:themeColor="background1"/>
                <w:szCs w:val="24"/>
                <w:lang w:val="en-GB"/>
              </w:rPr>
            </w:pPr>
            <w:r w:rsidRPr="000434F4">
              <w:rPr>
                <w:rFonts w:cs="Arial"/>
                <w:b/>
                <w:color w:val="FFFFFF" w:themeColor="background1"/>
                <w:szCs w:val="24"/>
                <w:lang w:val="en-GB"/>
              </w:rPr>
              <w:t>10-year RFS</w:t>
            </w:r>
          </w:p>
        </w:tc>
      </w:tr>
      <w:tr w:rsidR="002F6056" w:rsidRPr="000434F4" w14:paraId="4FCC5075" w14:textId="77777777" w:rsidTr="00AA5240">
        <w:trPr>
          <w:trHeight w:val="255"/>
        </w:trPr>
        <w:tc>
          <w:tcPr>
            <w:tcW w:w="1387" w:type="pct"/>
          </w:tcPr>
          <w:p w14:paraId="6AF60597" w14:textId="77777777" w:rsidR="002F6056" w:rsidRPr="000434F4" w:rsidRDefault="002F6056" w:rsidP="00AA5240">
            <w:pPr>
              <w:keepLines/>
              <w:tabs>
                <w:tab w:val="left" w:pos="311"/>
                <w:tab w:val="left" w:pos="2085"/>
              </w:tabs>
              <w:spacing w:line="276" w:lineRule="auto"/>
              <w:rPr>
                <w:rFonts w:cs="Arial"/>
                <w:szCs w:val="24"/>
                <w:lang w:val="en-GB"/>
              </w:rPr>
            </w:pPr>
            <w:r w:rsidRPr="000434F4">
              <w:rPr>
                <w:rFonts w:cs="Arial"/>
                <w:szCs w:val="24"/>
                <w:lang w:val="en-GB"/>
              </w:rPr>
              <w:t>Exponential</w:t>
            </w:r>
          </w:p>
        </w:tc>
        <w:tc>
          <w:tcPr>
            <w:tcW w:w="1156" w:type="pct"/>
            <w:vAlign w:val="center"/>
          </w:tcPr>
          <w:p w14:paraId="7B415A01" w14:textId="77777777" w:rsidR="002F6056" w:rsidRPr="000434F4" w:rsidRDefault="002F6056" w:rsidP="00AA5240">
            <w:pPr>
              <w:spacing w:line="276" w:lineRule="auto"/>
              <w:jc w:val="center"/>
              <w:rPr>
                <w:rFonts w:cs="Arial"/>
                <w:szCs w:val="24"/>
                <w:lang w:val="en-GB"/>
              </w:rPr>
            </w:pPr>
            <w:r w:rsidRPr="000434F4">
              <w:rPr>
                <w:rFonts w:cs="Arial"/>
                <w:szCs w:val="24"/>
                <w:lang w:val="en-GB"/>
              </w:rPr>
              <w:t>306.892</w:t>
            </w:r>
          </w:p>
        </w:tc>
        <w:tc>
          <w:tcPr>
            <w:tcW w:w="1152" w:type="pct"/>
            <w:vAlign w:val="center"/>
          </w:tcPr>
          <w:p w14:paraId="1526C4CA" w14:textId="77777777" w:rsidR="002F6056" w:rsidRPr="000434F4" w:rsidRDefault="002F6056" w:rsidP="00AA5240">
            <w:pPr>
              <w:spacing w:line="276" w:lineRule="auto"/>
              <w:jc w:val="center"/>
              <w:rPr>
                <w:rFonts w:cs="Arial"/>
                <w:szCs w:val="24"/>
                <w:lang w:val="en-GB"/>
              </w:rPr>
            </w:pPr>
            <w:r w:rsidRPr="000434F4">
              <w:rPr>
                <w:rFonts w:cs="Arial"/>
                <w:szCs w:val="24"/>
                <w:lang w:val="en-GB"/>
              </w:rPr>
              <w:t>312.329</w:t>
            </w:r>
          </w:p>
        </w:tc>
        <w:tc>
          <w:tcPr>
            <w:tcW w:w="1305" w:type="pct"/>
            <w:vAlign w:val="center"/>
          </w:tcPr>
          <w:p w14:paraId="0B582691" w14:textId="77777777" w:rsidR="002F6056" w:rsidRPr="000434F4" w:rsidRDefault="002F6056" w:rsidP="00AA5240">
            <w:pPr>
              <w:spacing w:line="276" w:lineRule="auto"/>
              <w:jc w:val="center"/>
              <w:rPr>
                <w:rFonts w:cs="Arial"/>
                <w:szCs w:val="24"/>
                <w:lang w:val="en-GB"/>
              </w:rPr>
            </w:pPr>
            <w:r w:rsidRPr="000434F4">
              <w:rPr>
                <w:rFonts w:cs="Arial"/>
                <w:szCs w:val="24"/>
                <w:lang w:val="en-GB"/>
              </w:rPr>
              <w:t>73.5%</w:t>
            </w:r>
          </w:p>
        </w:tc>
      </w:tr>
      <w:tr w:rsidR="002F6056" w:rsidRPr="000434F4" w14:paraId="275F1CC2" w14:textId="77777777" w:rsidTr="00AA5240">
        <w:trPr>
          <w:trHeight w:val="255"/>
        </w:trPr>
        <w:tc>
          <w:tcPr>
            <w:tcW w:w="1387" w:type="pct"/>
          </w:tcPr>
          <w:p w14:paraId="6C3772CA" w14:textId="77777777" w:rsidR="002F6056" w:rsidRPr="000434F4" w:rsidRDefault="002F6056" w:rsidP="00AA5240">
            <w:pPr>
              <w:spacing w:line="276" w:lineRule="auto"/>
              <w:rPr>
                <w:rFonts w:cs="Arial"/>
                <w:b/>
                <w:bCs/>
                <w:szCs w:val="24"/>
                <w:lang w:val="en-GB"/>
              </w:rPr>
            </w:pPr>
            <w:r w:rsidRPr="000434F4">
              <w:rPr>
                <w:rFonts w:cs="Arial"/>
                <w:szCs w:val="24"/>
                <w:lang w:val="en-GB"/>
              </w:rPr>
              <w:t>Gamma</w:t>
            </w:r>
          </w:p>
        </w:tc>
        <w:tc>
          <w:tcPr>
            <w:tcW w:w="1156" w:type="pct"/>
            <w:vAlign w:val="center"/>
          </w:tcPr>
          <w:p w14:paraId="263BAADE" w14:textId="77777777" w:rsidR="002F6056" w:rsidRPr="000434F4" w:rsidRDefault="002F6056" w:rsidP="00AA5240">
            <w:pPr>
              <w:spacing w:line="276" w:lineRule="auto"/>
              <w:jc w:val="center"/>
              <w:rPr>
                <w:rFonts w:cs="Arial"/>
                <w:b/>
                <w:bCs/>
                <w:szCs w:val="24"/>
                <w:lang w:val="en-GB"/>
              </w:rPr>
            </w:pPr>
            <w:r w:rsidRPr="000434F4">
              <w:rPr>
                <w:rFonts w:cs="Arial"/>
                <w:szCs w:val="24"/>
                <w:lang w:val="en-GB"/>
              </w:rPr>
              <w:t>308.250</w:t>
            </w:r>
          </w:p>
        </w:tc>
        <w:tc>
          <w:tcPr>
            <w:tcW w:w="1152" w:type="pct"/>
            <w:vAlign w:val="center"/>
          </w:tcPr>
          <w:p w14:paraId="5A16C74F" w14:textId="77777777" w:rsidR="002F6056" w:rsidRPr="000434F4" w:rsidRDefault="002F6056" w:rsidP="00AA5240">
            <w:pPr>
              <w:spacing w:line="276" w:lineRule="auto"/>
              <w:jc w:val="center"/>
              <w:rPr>
                <w:rFonts w:cs="Arial"/>
                <w:b/>
                <w:bCs/>
                <w:szCs w:val="24"/>
                <w:lang w:val="en-GB"/>
              </w:rPr>
            </w:pPr>
            <w:r w:rsidRPr="000434F4">
              <w:rPr>
                <w:rFonts w:cs="Arial"/>
                <w:szCs w:val="24"/>
                <w:lang w:val="en-GB"/>
              </w:rPr>
              <w:t>316.405</w:t>
            </w:r>
          </w:p>
        </w:tc>
        <w:tc>
          <w:tcPr>
            <w:tcW w:w="1305" w:type="pct"/>
            <w:vAlign w:val="bottom"/>
          </w:tcPr>
          <w:p w14:paraId="36E91889" w14:textId="77777777" w:rsidR="002F6056" w:rsidRPr="000434F4" w:rsidRDefault="002F6056" w:rsidP="00AA5240">
            <w:pPr>
              <w:spacing w:line="276" w:lineRule="auto"/>
              <w:jc w:val="center"/>
              <w:rPr>
                <w:rFonts w:cs="Arial"/>
                <w:szCs w:val="24"/>
                <w:lang w:val="en-GB"/>
              </w:rPr>
            </w:pPr>
            <w:r w:rsidRPr="000434F4">
              <w:rPr>
                <w:rFonts w:cs="Arial"/>
                <w:szCs w:val="24"/>
                <w:lang w:val="en-GB"/>
              </w:rPr>
              <w:t>73.9%</w:t>
            </w:r>
          </w:p>
        </w:tc>
      </w:tr>
      <w:tr w:rsidR="002F6056" w:rsidRPr="000434F4" w14:paraId="0C043480" w14:textId="77777777" w:rsidTr="00AA5240">
        <w:trPr>
          <w:trHeight w:val="255"/>
        </w:trPr>
        <w:tc>
          <w:tcPr>
            <w:tcW w:w="1387" w:type="pct"/>
          </w:tcPr>
          <w:p w14:paraId="06DF01EA" w14:textId="77777777" w:rsidR="002F6056" w:rsidRPr="000434F4" w:rsidDel="00067B13" w:rsidRDefault="002F6056" w:rsidP="00AA5240">
            <w:pPr>
              <w:spacing w:line="276" w:lineRule="auto"/>
              <w:rPr>
                <w:rFonts w:eastAsia="Calibri" w:cs="Arial"/>
                <w:szCs w:val="24"/>
                <w:lang w:val="en-GB"/>
              </w:rPr>
            </w:pPr>
            <w:r w:rsidRPr="000434F4" w:rsidDel="00FD72F2">
              <w:rPr>
                <w:rFonts w:cs="Arial"/>
                <w:szCs w:val="24"/>
                <w:lang w:val="en-GB"/>
              </w:rPr>
              <w:t>Gompertz</w:t>
            </w:r>
          </w:p>
        </w:tc>
        <w:tc>
          <w:tcPr>
            <w:tcW w:w="1156" w:type="pct"/>
            <w:vAlign w:val="center"/>
          </w:tcPr>
          <w:p w14:paraId="345933C4" w14:textId="77777777" w:rsidR="002F6056" w:rsidRPr="000434F4" w:rsidDel="00067B13" w:rsidRDefault="002F6056" w:rsidP="00AA5240">
            <w:pPr>
              <w:spacing w:line="276" w:lineRule="auto"/>
              <w:jc w:val="center"/>
              <w:rPr>
                <w:rFonts w:eastAsia="Calibri" w:cs="Arial"/>
                <w:szCs w:val="24"/>
                <w:lang w:val="en-GB"/>
              </w:rPr>
            </w:pPr>
            <w:r w:rsidRPr="000434F4">
              <w:rPr>
                <w:rFonts w:cs="Arial"/>
                <w:szCs w:val="24"/>
                <w:lang w:val="en-GB"/>
              </w:rPr>
              <w:t>308.435</w:t>
            </w:r>
          </w:p>
        </w:tc>
        <w:tc>
          <w:tcPr>
            <w:tcW w:w="1152" w:type="pct"/>
            <w:vAlign w:val="center"/>
          </w:tcPr>
          <w:p w14:paraId="5D23C429" w14:textId="77777777" w:rsidR="002F6056" w:rsidRPr="000434F4" w:rsidDel="00067B13" w:rsidRDefault="002F6056" w:rsidP="00AA5240">
            <w:pPr>
              <w:spacing w:line="276" w:lineRule="auto"/>
              <w:jc w:val="center"/>
              <w:rPr>
                <w:rFonts w:eastAsia="Calibri" w:cs="Arial"/>
                <w:szCs w:val="24"/>
                <w:lang w:val="en-GB"/>
              </w:rPr>
            </w:pPr>
            <w:r w:rsidRPr="000434F4">
              <w:rPr>
                <w:rFonts w:cs="Arial"/>
                <w:szCs w:val="24"/>
                <w:lang w:val="en-GB"/>
              </w:rPr>
              <w:t>316.591</w:t>
            </w:r>
          </w:p>
        </w:tc>
        <w:tc>
          <w:tcPr>
            <w:tcW w:w="1305" w:type="pct"/>
            <w:vAlign w:val="bottom"/>
          </w:tcPr>
          <w:p w14:paraId="4029508E" w14:textId="77777777" w:rsidR="002F6056" w:rsidRPr="000434F4" w:rsidDel="00067B13" w:rsidRDefault="002F6056" w:rsidP="00AA5240">
            <w:pPr>
              <w:spacing w:line="276" w:lineRule="auto"/>
              <w:jc w:val="center"/>
              <w:rPr>
                <w:rFonts w:cs="Arial"/>
                <w:szCs w:val="24"/>
                <w:lang w:val="en-GB"/>
              </w:rPr>
            </w:pPr>
            <w:r w:rsidRPr="000434F4">
              <w:rPr>
                <w:rFonts w:cs="Arial"/>
                <w:szCs w:val="24"/>
                <w:lang w:val="en-GB"/>
              </w:rPr>
              <w:t>74.3%</w:t>
            </w:r>
          </w:p>
        </w:tc>
      </w:tr>
      <w:tr w:rsidR="002F6056" w:rsidRPr="000434F4" w14:paraId="6F007A14" w14:textId="77777777" w:rsidTr="00AA5240">
        <w:trPr>
          <w:trHeight w:val="255"/>
        </w:trPr>
        <w:tc>
          <w:tcPr>
            <w:tcW w:w="1387" w:type="pct"/>
          </w:tcPr>
          <w:p w14:paraId="185ECEF8" w14:textId="77777777" w:rsidR="002F6056" w:rsidRPr="000434F4" w:rsidDel="00067B13" w:rsidRDefault="002F6056" w:rsidP="00AA5240">
            <w:pPr>
              <w:spacing w:line="276" w:lineRule="auto"/>
              <w:rPr>
                <w:rFonts w:eastAsia="Calibri" w:cs="Arial"/>
                <w:szCs w:val="24"/>
                <w:lang w:val="en-GB"/>
              </w:rPr>
            </w:pPr>
            <w:r w:rsidRPr="000434F4">
              <w:rPr>
                <w:rFonts w:cs="Arial"/>
                <w:szCs w:val="24"/>
                <w:lang w:val="en-GB"/>
              </w:rPr>
              <w:t>Log-logistic</w:t>
            </w:r>
          </w:p>
        </w:tc>
        <w:tc>
          <w:tcPr>
            <w:tcW w:w="1156" w:type="pct"/>
            <w:vAlign w:val="center"/>
          </w:tcPr>
          <w:p w14:paraId="0836C9FA" w14:textId="77777777" w:rsidR="002F6056" w:rsidRPr="000434F4" w:rsidDel="00067B13" w:rsidRDefault="002F6056" w:rsidP="00AA5240">
            <w:pPr>
              <w:spacing w:line="276" w:lineRule="auto"/>
              <w:jc w:val="center"/>
              <w:rPr>
                <w:rFonts w:eastAsia="Calibri" w:cs="Arial"/>
                <w:szCs w:val="24"/>
                <w:lang w:val="en-GB"/>
              </w:rPr>
            </w:pPr>
            <w:r w:rsidRPr="000434F4">
              <w:rPr>
                <w:rFonts w:cs="Arial"/>
                <w:szCs w:val="24"/>
                <w:lang w:val="en-GB"/>
              </w:rPr>
              <w:t>308.496</w:t>
            </w:r>
          </w:p>
        </w:tc>
        <w:tc>
          <w:tcPr>
            <w:tcW w:w="1152" w:type="pct"/>
            <w:vAlign w:val="center"/>
          </w:tcPr>
          <w:p w14:paraId="38EF330B" w14:textId="77777777" w:rsidR="002F6056" w:rsidRPr="000434F4" w:rsidDel="00067B13" w:rsidRDefault="002F6056" w:rsidP="00AA5240">
            <w:pPr>
              <w:spacing w:line="276" w:lineRule="auto"/>
              <w:jc w:val="center"/>
              <w:rPr>
                <w:rFonts w:eastAsia="Calibri" w:cs="Arial"/>
                <w:szCs w:val="24"/>
                <w:lang w:val="en-GB"/>
              </w:rPr>
            </w:pPr>
            <w:r w:rsidRPr="000434F4">
              <w:rPr>
                <w:rFonts w:cs="Arial"/>
                <w:szCs w:val="24"/>
                <w:lang w:val="en-GB"/>
              </w:rPr>
              <w:t>316.651</w:t>
            </w:r>
          </w:p>
        </w:tc>
        <w:tc>
          <w:tcPr>
            <w:tcW w:w="1305" w:type="pct"/>
            <w:vAlign w:val="bottom"/>
          </w:tcPr>
          <w:p w14:paraId="4B8601D1" w14:textId="77777777" w:rsidR="002F6056" w:rsidRPr="000434F4" w:rsidDel="00067B13" w:rsidRDefault="002F6056" w:rsidP="00AA5240">
            <w:pPr>
              <w:spacing w:line="276" w:lineRule="auto"/>
              <w:jc w:val="center"/>
              <w:rPr>
                <w:rFonts w:cs="Arial"/>
                <w:szCs w:val="24"/>
                <w:lang w:val="en-GB"/>
              </w:rPr>
            </w:pPr>
            <w:r w:rsidRPr="000434F4">
              <w:rPr>
                <w:rFonts w:cs="Arial"/>
                <w:szCs w:val="24"/>
                <w:lang w:val="en-GB"/>
              </w:rPr>
              <w:t>72.6%</w:t>
            </w:r>
          </w:p>
        </w:tc>
      </w:tr>
      <w:tr w:rsidR="002F6056" w:rsidRPr="000434F4" w14:paraId="58F7D05F" w14:textId="77777777" w:rsidTr="00AA5240">
        <w:trPr>
          <w:trHeight w:val="255"/>
        </w:trPr>
        <w:tc>
          <w:tcPr>
            <w:tcW w:w="1387" w:type="pct"/>
          </w:tcPr>
          <w:p w14:paraId="0058323A" w14:textId="77777777" w:rsidR="002F6056" w:rsidRPr="000434F4" w:rsidRDefault="002F6056" w:rsidP="00AA5240">
            <w:pPr>
              <w:spacing w:line="276" w:lineRule="auto"/>
              <w:rPr>
                <w:rFonts w:cs="Arial"/>
                <w:szCs w:val="24"/>
                <w:lang w:val="en-GB"/>
              </w:rPr>
            </w:pPr>
            <w:r w:rsidRPr="000434F4">
              <w:rPr>
                <w:rFonts w:cs="Arial"/>
                <w:szCs w:val="24"/>
                <w:lang w:val="en-GB"/>
              </w:rPr>
              <w:t>Log-normal*</w:t>
            </w:r>
          </w:p>
        </w:tc>
        <w:tc>
          <w:tcPr>
            <w:tcW w:w="1156" w:type="pct"/>
            <w:vAlign w:val="center"/>
          </w:tcPr>
          <w:p w14:paraId="528B9058" w14:textId="77777777" w:rsidR="002F6056" w:rsidRPr="000434F4" w:rsidRDefault="002F6056" w:rsidP="00AA5240">
            <w:pPr>
              <w:spacing w:line="276" w:lineRule="auto"/>
              <w:jc w:val="center"/>
              <w:rPr>
                <w:rFonts w:cs="Arial"/>
                <w:szCs w:val="24"/>
                <w:lang w:val="en-GB"/>
              </w:rPr>
            </w:pPr>
            <w:r w:rsidRPr="000434F4">
              <w:rPr>
                <w:rFonts w:cs="Arial"/>
                <w:szCs w:val="24"/>
                <w:lang w:val="en-GB"/>
              </w:rPr>
              <w:t>307.633</w:t>
            </w:r>
          </w:p>
        </w:tc>
        <w:tc>
          <w:tcPr>
            <w:tcW w:w="1152" w:type="pct"/>
            <w:vAlign w:val="center"/>
          </w:tcPr>
          <w:p w14:paraId="4F2D5F6E" w14:textId="77777777" w:rsidR="002F6056" w:rsidRPr="000434F4" w:rsidRDefault="002F6056" w:rsidP="00AA5240">
            <w:pPr>
              <w:spacing w:line="276" w:lineRule="auto"/>
              <w:jc w:val="center"/>
              <w:rPr>
                <w:rFonts w:cs="Arial"/>
                <w:szCs w:val="24"/>
                <w:lang w:val="en-GB"/>
              </w:rPr>
            </w:pPr>
            <w:r w:rsidRPr="000434F4">
              <w:rPr>
                <w:rFonts w:cs="Arial"/>
                <w:szCs w:val="24"/>
                <w:lang w:val="en-GB"/>
              </w:rPr>
              <w:t>315.788</w:t>
            </w:r>
          </w:p>
        </w:tc>
        <w:tc>
          <w:tcPr>
            <w:tcW w:w="1305" w:type="pct"/>
            <w:vAlign w:val="bottom"/>
          </w:tcPr>
          <w:p w14:paraId="1AB2D08F" w14:textId="77777777" w:rsidR="002F6056" w:rsidRPr="000434F4" w:rsidRDefault="002F6056" w:rsidP="00AA5240">
            <w:pPr>
              <w:spacing w:line="276" w:lineRule="auto"/>
              <w:jc w:val="center"/>
              <w:rPr>
                <w:rFonts w:cs="Arial"/>
                <w:szCs w:val="24"/>
                <w:lang w:val="en-GB"/>
              </w:rPr>
            </w:pPr>
            <w:r w:rsidRPr="000434F4">
              <w:rPr>
                <w:rFonts w:cs="Arial"/>
                <w:szCs w:val="24"/>
                <w:lang w:val="en-GB"/>
              </w:rPr>
              <w:t>72.6%</w:t>
            </w:r>
          </w:p>
        </w:tc>
      </w:tr>
      <w:tr w:rsidR="002F6056" w:rsidRPr="000434F4" w14:paraId="330A1326" w14:textId="77777777" w:rsidTr="00AA5240">
        <w:trPr>
          <w:trHeight w:val="255"/>
        </w:trPr>
        <w:tc>
          <w:tcPr>
            <w:tcW w:w="1387" w:type="pct"/>
          </w:tcPr>
          <w:p w14:paraId="36019EDC" w14:textId="77777777" w:rsidR="002F6056" w:rsidRPr="000434F4" w:rsidDel="00067B13" w:rsidRDefault="002F6056" w:rsidP="00AA5240">
            <w:pPr>
              <w:spacing w:line="276" w:lineRule="auto"/>
              <w:rPr>
                <w:rFonts w:eastAsia="Calibri" w:cs="Arial"/>
                <w:szCs w:val="24"/>
                <w:lang w:val="en-GB"/>
              </w:rPr>
            </w:pPr>
            <w:r w:rsidRPr="000434F4" w:rsidDel="00FD72F2">
              <w:rPr>
                <w:rFonts w:cs="Arial"/>
                <w:szCs w:val="24"/>
                <w:lang w:val="en-GB"/>
              </w:rPr>
              <w:t>Weibull</w:t>
            </w:r>
          </w:p>
        </w:tc>
        <w:tc>
          <w:tcPr>
            <w:tcW w:w="1156" w:type="pct"/>
            <w:vAlign w:val="center"/>
          </w:tcPr>
          <w:p w14:paraId="7738294C" w14:textId="77777777" w:rsidR="002F6056" w:rsidRPr="000434F4" w:rsidDel="00067B13" w:rsidRDefault="002F6056" w:rsidP="00AA5240">
            <w:pPr>
              <w:spacing w:line="276" w:lineRule="auto"/>
              <w:jc w:val="center"/>
              <w:rPr>
                <w:rFonts w:eastAsia="Calibri" w:cs="Arial"/>
                <w:b/>
                <w:bCs/>
                <w:szCs w:val="24"/>
                <w:lang w:val="en-GB"/>
              </w:rPr>
            </w:pPr>
            <w:r w:rsidRPr="000434F4">
              <w:rPr>
                <w:rFonts w:cs="Arial"/>
                <w:szCs w:val="24"/>
                <w:lang w:val="en-GB"/>
              </w:rPr>
              <w:t>308.359</w:t>
            </w:r>
          </w:p>
        </w:tc>
        <w:tc>
          <w:tcPr>
            <w:tcW w:w="1152" w:type="pct"/>
            <w:vAlign w:val="center"/>
          </w:tcPr>
          <w:p w14:paraId="40953E79" w14:textId="77777777" w:rsidR="002F6056" w:rsidRPr="000434F4" w:rsidDel="00067B13" w:rsidRDefault="002F6056" w:rsidP="00AA5240">
            <w:pPr>
              <w:spacing w:line="276" w:lineRule="auto"/>
              <w:jc w:val="center"/>
              <w:rPr>
                <w:rFonts w:eastAsia="Calibri" w:cs="Arial"/>
                <w:b/>
                <w:bCs/>
                <w:szCs w:val="24"/>
                <w:lang w:val="en-GB"/>
              </w:rPr>
            </w:pPr>
            <w:r w:rsidRPr="000434F4">
              <w:rPr>
                <w:rFonts w:cs="Arial"/>
                <w:szCs w:val="24"/>
                <w:lang w:val="en-GB"/>
              </w:rPr>
              <w:t>316.514</w:t>
            </w:r>
          </w:p>
        </w:tc>
        <w:tc>
          <w:tcPr>
            <w:tcW w:w="1305" w:type="pct"/>
            <w:vAlign w:val="bottom"/>
          </w:tcPr>
          <w:p w14:paraId="388A7728" w14:textId="77777777" w:rsidR="002F6056" w:rsidRPr="000434F4" w:rsidDel="00067B13" w:rsidRDefault="002F6056" w:rsidP="00AA5240">
            <w:pPr>
              <w:spacing w:line="276" w:lineRule="auto"/>
              <w:jc w:val="center"/>
              <w:rPr>
                <w:rFonts w:cs="Arial"/>
                <w:szCs w:val="24"/>
                <w:lang w:val="en-GB"/>
              </w:rPr>
            </w:pPr>
            <w:r w:rsidRPr="000434F4">
              <w:rPr>
                <w:rFonts w:cs="Arial"/>
                <w:szCs w:val="24"/>
                <w:lang w:val="en-GB"/>
              </w:rPr>
              <w:t>74.0%</w:t>
            </w:r>
          </w:p>
        </w:tc>
      </w:tr>
    </w:tbl>
    <w:p w14:paraId="248D5593" w14:textId="77777777" w:rsidR="002F6056" w:rsidRPr="008856E5" w:rsidRDefault="002F6056" w:rsidP="002F6056">
      <w:pPr>
        <w:spacing w:before="120"/>
        <w:rPr>
          <w:lang w:val="en-GB"/>
        </w:rPr>
      </w:pPr>
      <w:r w:rsidRPr="008856E5">
        <w:rPr>
          <w:lang w:val="en-GB"/>
        </w:rPr>
        <w:t>*Parametric distribution applied in the base case analysis.</w:t>
      </w:r>
    </w:p>
    <w:p w14:paraId="41E8F828" w14:textId="5D18A7CA" w:rsidR="002F6056" w:rsidRDefault="002F6056" w:rsidP="002F6056">
      <w:pPr>
        <w:spacing w:after="160" w:line="259" w:lineRule="auto"/>
        <w:rPr>
          <w:rFonts w:eastAsia="Times New Roman" w:cs="Arial"/>
          <w:szCs w:val="20"/>
          <w:lang w:val="en-GB" w:eastAsia="it-IT"/>
        </w:rPr>
      </w:pPr>
      <w:r w:rsidRPr="001F71E4">
        <w:rPr>
          <w:bCs/>
          <w:lang w:val="en-US"/>
        </w:rPr>
        <w:t>Abbreviations</w:t>
      </w:r>
      <w:r w:rsidRPr="001F71E4">
        <w:rPr>
          <w:rFonts w:cs="Arial"/>
          <w:bCs/>
          <w:szCs w:val="20"/>
          <w:lang w:val="en-US"/>
        </w:rPr>
        <w:t xml:space="preserve">: </w:t>
      </w:r>
      <w:r w:rsidRPr="00133A82">
        <w:rPr>
          <w:lang w:val="en-GB"/>
        </w:rPr>
        <w:t>AIC</w:t>
      </w:r>
      <w:r>
        <w:rPr>
          <w:lang w:val="en-GB"/>
        </w:rPr>
        <w:t>,</w:t>
      </w:r>
      <w:r w:rsidRPr="00133A82">
        <w:rPr>
          <w:lang w:val="en-GB"/>
        </w:rPr>
        <w:t xml:space="preserve"> akaike information criterion; BIC</w:t>
      </w:r>
      <w:r>
        <w:rPr>
          <w:lang w:val="en-GB"/>
        </w:rPr>
        <w:t>,</w:t>
      </w:r>
      <w:r w:rsidRPr="00133A82">
        <w:rPr>
          <w:lang w:val="en-GB"/>
        </w:rPr>
        <w:t xml:space="preserve"> bayesian information criterion; RFS</w:t>
      </w:r>
      <w:r>
        <w:rPr>
          <w:lang w:val="en-GB"/>
        </w:rPr>
        <w:t>,</w:t>
      </w:r>
      <w:r w:rsidRPr="00133A82">
        <w:rPr>
          <w:lang w:val="en-GB"/>
        </w:rPr>
        <w:t xml:space="preserve"> relapse-free survival.</w:t>
      </w:r>
    </w:p>
    <w:p w14:paraId="1C28140F" w14:textId="529399DB" w:rsidR="00DD4F83" w:rsidRDefault="00DD4F83">
      <w:pPr>
        <w:spacing w:after="160" w:line="259" w:lineRule="auto"/>
        <w:rPr>
          <w:rFonts w:eastAsia="Times New Roman" w:cs="Arial"/>
          <w:b/>
          <w:bCs/>
          <w:szCs w:val="20"/>
          <w:lang w:val="en-GB" w:eastAsia="it-IT"/>
        </w:rPr>
      </w:pPr>
      <w:r>
        <w:rPr>
          <w:rFonts w:eastAsia="Times New Roman" w:cs="Arial"/>
          <w:b/>
          <w:bCs/>
          <w:szCs w:val="20"/>
          <w:lang w:val="en-GB" w:eastAsia="it-IT"/>
        </w:rPr>
        <w:br w:type="page"/>
      </w:r>
    </w:p>
    <w:p w14:paraId="3A6DC5D6" w14:textId="2BB073FA" w:rsidR="002F6056" w:rsidRPr="00102B2D" w:rsidRDefault="002F6056" w:rsidP="002F6056">
      <w:pPr>
        <w:spacing w:after="160" w:line="259" w:lineRule="auto"/>
        <w:rPr>
          <w:rFonts w:eastAsia="Times New Roman" w:cs="Arial"/>
          <w:szCs w:val="20"/>
          <w:lang w:val="en-GB" w:eastAsia="it-IT"/>
        </w:rPr>
      </w:pPr>
      <w:r w:rsidRPr="00102B2D">
        <w:rPr>
          <w:rFonts w:eastAsia="Times New Roman" w:cs="Arial"/>
          <w:b/>
          <w:bCs/>
          <w:szCs w:val="20"/>
          <w:lang w:val="en-GB" w:eastAsia="it-IT"/>
        </w:rPr>
        <w:lastRenderedPageBreak/>
        <w:t xml:space="preserve">Supplemental Table </w:t>
      </w:r>
      <w:r>
        <w:rPr>
          <w:rFonts w:eastAsia="Times New Roman" w:cs="Arial"/>
          <w:b/>
          <w:bCs/>
          <w:szCs w:val="20"/>
          <w:lang w:val="en-GB" w:eastAsia="it-IT"/>
        </w:rPr>
        <w:t>8</w:t>
      </w:r>
      <w:r w:rsidRPr="00102B2D">
        <w:rPr>
          <w:rFonts w:eastAsia="Times New Roman" w:cs="Arial"/>
          <w:b/>
          <w:bCs/>
          <w:szCs w:val="20"/>
          <w:lang w:val="en-GB" w:eastAsia="it-IT"/>
        </w:rPr>
        <w:t xml:space="preserve"> </w:t>
      </w:r>
      <w:r>
        <w:rPr>
          <w:rFonts w:eastAsia="Times New Roman" w:cs="Arial"/>
          <w:szCs w:val="20"/>
          <w:lang w:val="en-GB" w:eastAsia="it-IT"/>
        </w:rPr>
        <w:t>G</w:t>
      </w:r>
      <w:r w:rsidRPr="002F6056">
        <w:rPr>
          <w:rFonts w:eastAsia="Times New Roman" w:cs="Arial"/>
          <w:szCs w:val="20"/>
          <w:lang w:val="en-GB" w:eastAsia="it-IT"/>
        </w:rPr>
        <w:t>oodness of fit statistics</w:t>
      </w:r>
      <w:r w:rsidRPr="002F6056">
        <w:rPr>
          <w:lang w:val="en-GB"/>
        </w:rPr>
        <w:t xml:space="preserve"> </w:t>
      </w:r>
      <w:r w:rsidRPr="00133A82">
        <w:rPr>
          <w:lang w:val="en-GB"/>
        </w:rPr>
        <w:t>RFS MCM for SoC</w:t>
      </w:r>
      <w:r>
        <w:rPr>
          <w:lang w:val="en-GB"/>
        </w:rPr>
        <w:t>.</w:t>
      </w:r>
    </w:p>
    <w:tbl>
      <w:tblPr>
        <w:tblStyle w:val="Grigliatabella"/>
        <w:tblW w:w="5000" w:type="pct"/>
        <w:tblLook w:val="04A0" w:firstRow="1" w:lastRow="0" w:firstColumn="1" w:lastColumn="0" w:noHBand="0" w:noVBand="1"/>
      </w:tblPr>
      <w:tblGrid>
        <w:gridCol w:w="2736"/>
        <w:gridCol w:w="2069"/>
        <w:gridCol w:w="2085"/>
        <w:gridCol w:w="2504"/>
      </w:tblGrid>
      <w:tr w:rsidR="005374FD" w:rsidRPr="000434F4" w14:paraId="3CD26D12" w14:textId="77777777" w:rsidTr="00DD4F83">
        <w:trPr>
          <w:trHeight w:val="255"/>
          <w:tblHeader/>
        </w:trPr>
        <w:tc>
          <w:tcPr>
            <w:tcW w:w="1456" w:type="pct"/>
            <w:shd w:val="clear" w:color="auto" w:fill="808080" w:themeFill="background1" w:themeFillShade="80"/>
            <w:vAlign w:val="center"/>
          </w:tcPr>
          <w:p w14:paraId="14C0A5ED" w14:textId="77777777" w:rsidR="005374FD" w:rsidRPr="000434F4" w:rsidRDefault="005374FD" w:rsidP="00AA5240">
            <w:pPr>
              <w:spacing w:line="276" w:lineRule="auto"/>
              <w:rPr>
                <w:rFonts w:cs="Arial"/>
                <w:b/>
                <w:bCs/>
                <w:color w:val="FFFFFF" w:themeColor="background1"/>
                <w:szCs w:val="24"/>
                <w:lang w:val="en-GB"/>
              </w:rPr>
            </w:pPr>
            <w:r w:rsidRPr="000434F4">
              <w:rPr>
                <w:rFonts w:cs="Arial"/>
                <w:b/>
                <w:bCs/>
                <w:color w:val="FFFFFF" w:themeColor="background1"/>
                <w:szCs w:val="24"/>
                <w:lang w:val="en-GB"/>
              </w:rPr>
              <w:t>Distribution</w:t>
            </w:r>
          </w:p>
        </w:tc>
        <w:tc>
          <w:tcPr>
            <w:tcW w:w="1101" w:type="pct"/>
            <w:shd w:val="clear" w:color="auto" w:fill="808080" w:themeFill="background1" w:themeFillShade="80"/>
          </w:tcPr>
          <w:p w14:paraId="3DAA2DF8" w14:textId="77777777" w:rsidR="005374FD" w:rsidRPr="000434F4" w:rsidRDefault="005374FD" w:rsidP="00AA5240">
            <w:pPr>
              <w:pStyle w:val="TableParagraph"/>
              <w:spacing w:before="0" w:line="276" w:lineRule="auto"/>
              <w:jc w:val="center"/>
              <w:rPr>
                <w:rFonts w:cs="Arial"/>
                <w:b/>
                <w:color w:val="FFFFFF" w:themeColor="background1"/>
                <w:szCs w:val="24"/>
                <w:lang w:val="en-GB"/>
              </w:rPr>
            </w:pPr>
            <w:r w:rsidRPr="000434F4">
              <w:rPr>
                <w:rFonts w:cs="Arial"/>
                <w:b/>
                <w:color w:val="FFFFFF" w:themeColor="background1"/>
                <w:szCs w:val="24"/>
                <w:lang w:val="en-GB"/>
              </w:rPr>
              <w:t>AIC</w:t>
            </w:r>
          </w:p>
        </w:tc>
        <w:tc>
          <w:tcPr>
            <w:tcW w:w="1110" w:type="pct"/>
            <w:shd w:val="clear" w:color="auto" w:fill="808080" w:themeFill="background1" w:themeFillShade="80"/>
          </w:tcPr>
          <w:p w14:paraId="44B257C3" w14:textId="77777777" w:rsidR="005374FD" w:rsidRPr="000434F4" w:rsidRDefault="005374FD" w:rsidP="00AA5240">
            <w:pPr>
              <w:pStyle w:val="TableParagraph"/>
              <w:spacing w:before="0" w:line="276" w:lineRule="auto"/>
              <w:jc w:val="center"/>
              <w:rPr>
                <w:rFonts w:cs="Arial"/>
                <w:b/>
                <w:color w:val="FFFFFF" w:themeColor="background1"/>
                <w:szCs w:val="24"/>
                <w:lang w:val="en-GB"/>
              </w:rPr>
            </w:pPr>
            <w:r w:rsidRPr="000434F4">
              <w:rPr>
                <w:rFonts w:cs="Arial"/>
                <w:b/>
                <w:color w:val="FFFFFF" w:themeColor="background1"/>
                <w:szCs w:val="24"/>
                <w:lang w:val="en-GB"/>
              </w:rPr>
              <w:t>BIC</w:t>
            </w:r>
          </w:p>
        </w:tc>
        <w:tc>
          <w:tcPr>
            <w:tcW w:w="1333" w:type="pct"/>
            <w:shd w:val="clear" w:color="auto" w:fill="808080" w:themeFill="background1" w:themeFillShade="80"/>
            <w:vAlign w:val="center"/>
          </w:tcPr>
          <w:p w14:paraId="08DDB76C" w14:textId="77777777" w:rsidR="005374FD" w:rsidRPr="000434F4" w:rsidRDefault="005374FD" w:rsidP="00AA5240">
            <w:pPr>
              <w:pStyle w:val="TableParagraph"/>
              <w:spacing w:before="0" w:line="276" w:lineRule="auto"/>
              <w:jc w:val="center"/>
              <w:rPr>
                <w:rFonts w:cs="Arial"/>
                <w:b/>
                <w:color w:val="FFFFFF" w:themeColor="background1"/>
                <w:szCs w:val="24"/>
                <w:lang w:val="en-GB"/>
              </w:rPr>
            </w:pPr>
            <w:r w:rsidRPr="000434F4">
              <w:rPr>
                <w:rFonts w:cs="Arial"/>
                <w:b/>
                <w:color w:val="FFFFFF" w:themeColor="background1"/>
                <w:szCs w:val="24"/>
                <w:lang w:val="en-GB"/>
              </w:rPr>
              <w:t>10-year RFS</w:t>
            </w:r>
          </w:p>
        </w:tc>
      </w:tr>
      <w:tr w:rsidR="005374FD" w:rsidRPr="000434F4" w14:paraId="6712C619" w14:textId="77777777" w:rsidTr="00AA5240">
        <w:trPr>
          <w:trHeight w:val="255"/>
        </w:trPr>
        <w:tc>
          <w:tcPr>
            <w:tcW w:w="1456" w:type="pct"/>
          </w:tcPr>
          <w:p w14:paraId="6FAF2646" w14:textId="77777777" w:rsidR="005374FD" w:rsidRPr="000434F4" w:rsidRDefault="005374FD" w:rsidP="00AA5240">
            <w:pPr>
              <w:keepLines/>
              <w:tabs>
                <w:tab w:val="left" w:pos="311"/>
                <w:tab w:val="left" w:pos="2085"/>
              </w:tabs>
              <w:spacing w:line="276" w:lineRule="auto"/>
              <w:rPr>
                <w:rFonts w:cs="Arial"/>
                <w:szCs w:val="24"/>
                <w:lang w:val="en-GB"/>
              </w:rPr>
            </w:pPr>
            <w:r w:rsidRPr="000434F4">
              <w:rPr>
                <w:rFonts w:cs="Arial"/>
                <w:szCs w:val="24"/>
                <w:lang w:val="en-GB"/>
              </w:rPr>
              <w:t>Exponential</w:t>
            </w:r>
          </w:p>
        </w:tc>
        <w:tc>
          <w:tcPr>
            <w:tcW w:w="1101" w:type="pct"/>
          </w:tcPr>
          <w:p w14:paraId="2D5C4A5C" w14:textId="77777777" w:rsidR="005374FD" w:rsidRPr="000434F4" w:rsidRDefault="005374FD" w:rsidP="00AA5240">
            <w:pPr>
              <w:spacing w:line="276" w:lineRule="auto"/>
              <w:jc w:val="center"/>
              <w:rPr>
                <w:rFonts w:cs="Arial"/>
                <w:szCs w:val="24"/>
                <w:lang w:val="en-GB"/>
              </w:rPr>
            </w:pPr>
            <w:r w:rsidRPr="000434F4">
              <w:rPr>
                <w:rFonts w:cs="Arial"/>
                <w:szCs w:val="24"/>
                <w:lang w:val="en-GB"/>
              </w:rPr>
              <w:t>477.952</w:t>
            </w:r>
          </w:p>
        </w:tc>
        <w:tc>
          <w:tcPr>
            <w:tcW w:w="1110" w:type="pct"/>
          </w:tcPr>
          <w:p w14:paraId="489D79DF" w14:textId="77777777" w:rsidR="005374FD" w:rsidRPr="000434F4" w:rsidRDefault="005374FD" w:rsidP="00AA5240">
            <w:pPr>
              <w:spacing w:line="276" w:lineRule="auto"/>
              <w:jc w:val="center"/>
              <w:rPr>
                <w:rFonts w:cs="Arial"/>
                <w:szCs w:val="24"/>
                <w:lang w:val="en-GB"/>
              </w:rPr>
            </w:pPr>
            <w:r w:rsidRPr="000434F4">
              <w:rPr>
                <w:rFonts w:cs="Arial"/>
                <w:szCs w:val="24"/>
                <w:lang w:val="en-GB"/>
              </w:rPr>
              <w:t>483.389</w:t>
            </w:r>
          </w:p>
        </w:tc>
        <w:tc>
          <w:tcPr>
            <w:tcW w:w="1333" w:type="pct"/>
            <w:vAlign w:val="center"/>
          </w:tcPr>
          <w:p w14:paraId="5C5940AB" w14:textId="77777777" w:rsidR="005374FD" w:rsidRPr="000434F4" w:rsidRDefault="005374FD" w:rsidP="00AA5240">
            <w:pPr>
              <w:spacing w:line="276" w:lineRule="auto"/>
              <w:jc w:val="center"/>
              <w:rPr>
                <w:rFonts w:cs="Arial"/>
                <w:szCs w:val="24"/>
                <w:lang w:val="en-GB"/>
              </w:rPr>
            </w:pPr>
            <w:r w:rsidRPr="000434F4">
              <w:rPr>
                <w:rFonts w:cs="Arial"/>
                <w:szCs w:val="24"/>
                <w:lang w:val="en-GB"/>
              </w:rPr>
              <w:t>51.7%</w:t>
            </w:r>
          </w:p>
        </w:tc>
      </w:tr>
      <w:tr w:rsidR="005374FD" w:rsidRPr="000434F4" w14:paraId="3632DC55" w14:textId="77777777" w:rsidTr="00AA5240">
        <w:trPr>
          <w:trHeight w:val="255"/>
        </w:trPr>
        <w:tc>
          <w:tcPr>
            <w:tcW w:w="1456" w:type="pct"/>
          </w:tcPr>
          <w:p w14:paraId="56468F16" w14:textId="77777777" w:rsidR="005374FD" w:rsidRPr="000434F4" w:rsidRDefault="005374FD" w:rsidP="00AA5240">
            <w:pPr>
              <w:spacing w:line="276" w:lineRule="auto"/>
              <w:rPr>
                <w:rFonts w:cs="Arial"/>
                <w:b/>
                <w:bCs/>
                <w:szCs w:val="24"/>
                <w:lang w:val="en-GB"/>
              </w:rPr>
            </w:pPr>
            <w:r w:rsidRPr="000434F4">
              <w:rPr>
                <w:rFonts w:cs="Arial"/>
                <w:szCs w:val="24"/>
                <w:lang w:val="en-GB"/>
              </w:rPr>
              <w:t>Gamma</w:t>
            </w:r>
          </w:p>
        </w:tc>
        <w:tc>
          <w:tcPr>
            <w:tcW w:w="1101" w:type="pct"/>
          </w:tcPr>
          <w:p w14:paraId="6BEC2F4F" w14:textId="77777777" w:rsidR="005374FD" w:rsidRPr="000434F4" w:rsidRDefault="005374FD" w:rsidP="00AA5240">
            <w:pPr>
              <w:spacing w:line="276" w:lineRule="auto"/>
              <w:jc w:val="center"/>
              <w:rPr>
                <w:rFonts w:cs="Arial"/>
                <w:b/>
                <w:bCs/>
                <w:szCs w:val="24"/>
                <w:lang w:val="en-GB"/>
              </w:rPr>
            </w:pPr>
            <w:r w:rsidRPr="000434F4">
              <w:rPr>
                <w:rFonts w:cs="Arial"/>
                <w:szCs w:val="24"/>
                <w:lang w:val="en-GB"/>
              </w:rPr>
              <w:t>479.546</w:t>
            </w:r>
          </w:p>
        </w:tc>
        <w:tc>
          <w:tcPr>
            <w:tcW w:w="1110" w:type="pct"/>
          </w:tcPr>
          <w:p w14:paraId="5EDFCE40" w14:textId="77777777" w:rsidR="005374FD" w:rsidRPr="000434F4" w:rsidRDefault="005374FD" w:rsidP="00AA5240">
            <w:pPr>
              <w:spacing w:line="276" w:lineRule="auto"/>
              <w:jc w:val="center"/>
              <w:rPr>
                <w:rFonts w:cs="Arial"/>
                <w:b/>
                <w:bCs/>
                <w:szCs w:val="24"/>
                <w:lang w:val="en-GB"/>
              </w:rPr>
            </w:pPr>
            <w:r w:rsidRPr="000434F4">
              <w:rPr>
                <w:rFonts w:cs="Arial"/>
                <w:szCs w:val="24"/>
                <w:lang w:val="en-GB"/>
              </w:rPr>
              <w:t>487.701</w:t>
            </w:r>
          </w:p>
        </w:tc>
        <w:tc>
          <w:tcPr>
            <w:tcW w:w="1333" w:type="pct"/>
            <w:vAlign w:val="bottom"/>
          </w:tcPr>
          <w:p w14:paraId="4AF86476" w14:textId="77777777" w:rsidR="005374FD" w:rsidRPr="000434F4" w:rsidRDefault="005374FD" w:rsidP="00AA5240">
            <w:pPr>
              <w:spacing w:line="276" w:lineRule="auto"/>
              <w:jc w:val="center"/>
              <w:rPr>
                <w:rFonts w:cs="Arial"/>
                <w:szCs w:val="24"/>
                <w:lang w:val="en-GB"/>
              </w:rPr>
            </w:pPr>
            <w:r w:rsidRPr="000434F4">
              <w:rPr>
                <w:rFonts w:cs="Arial"/>
                <w:szCs w:val="24"/>
                <w:lang w:val="en-GB"/>
              </w:rPr>
              <w:t>52.9%</w:t>
            </w:r>
          </w:p>
        </w:tc>
      </w:tr>
      <w:tr w:rsidR="005374FD" w:rsidRPr="000434F4" w:rsidDel="00067B13" w14:paraId="7290C5FB" w14:textId="77777777" w:rsidTr="00AA5240">
        <w:trPr>
          <w:trHeight w:val="255"/>
        </w:trPr>
        <w:tc>
          <w:tcPr>
            <w:tcW w:w="1456" w:type="pct"/>
          </w:tcPr>
          <w:p w14:paraId="583B7E12" w14:textId="77777777" w:rsidR="005374FD" w:rsidRPr="000434F4" w:rsidDel="00067B13" w:rsidRDefault="005374FD" w:rsidP="00AA5240">
            <w:pPr>
              <w:spacing w:line="276" w:lineRule="auto"/>
              <w:rPr>
                <w:rFonts w:eastAsia="Calibri" w:cs="Arial"/>
                <w:szCs w:val="24"/>
                <w:lang w:val="en-GB"/>
              </w:rPr>
            </w:pPr>
            <w:r w:rsidRPr="000434F4" w:rsidDel="00FD72F2">
              <w:rPr>
                <w:rFonts w:cs="Arial"/>
                <w:szCs w:val="24"/>
                <w:lang w:val="en-GB"/>
              </w:rPr>
              <w:t>Gompertz</w:t>
            </w:r>
          </w:p>
        </w:tc>
        <w:tc>
          <w:tcPr>
            <w:tcW w:w="1101" w:type="pct"/>
          </w:tcPr>
          <w:p w14:paraId="7D606688" w14:textId="77777777" w:rsidR="005374FD" w:rsidRPr="000434F4" w:rsidDel="00067B13" w:rsidRDefault="005374FD" w:rsidP="00AA5240">
            <w:pPr>
              <w:spacing w:line="276" w:lineRule="auto"/>
              <w:jc w:val="center"/>
              <w:rPr>
                <w:rFonts w:eastAsia="Calibri" w:cs="Arial"/>
                <w:szCs w:val="24"/>
                <w:lang w:val="en-GB"/>
              </w:rPr>
            </w:pPr>
            <w:r w:rsidRPr="000434F4">
              <w:rPr>
                <w:rFonts w:cs="Arial"/>
                <w:szCs w:val="24"/>
                <w:lang w:val="en-GB"/>
              </w:rPr>
              <w:t>479.714</w:t>
            </w:r>
          </w:p>
        </w:tc>
        <w:tc>
          <w:tcPr>
            <w:tcW w:w="1110" w:type="pct"/>
          </w:tcPr>
          <w:p w14:paraId="764A621E" w14:textId="77777777" w:rsidR="005374FD" w:rsidRPr="000434F4" w:rsidDel="00067B13" w:rsidRDefault="005374FD" w:rsidP="00AA5240">
            <w:pPr>
              <w:spacing w:line="276" w:lineRule="auto"/>
              <w:jc w:val="center"/>
              <w:rPr>
                <w:rFonts w:eastAsia="Calibri" w:cs="Arial"/>
                <w:szCs w:val="24"/>
                <w:lang w:val="en-GB"/>
              </w:rPr>
            </w:pPr>
            <w:r w:rsidRPr="000434F4">
              <w:rPr>
                <w:rFonts w:cs="Arial"/>
                <w:szCs w:val="24"/>
                <w:lang w:val="en-GB"/>
              </w:rPr>
              <w:t>487.870</w:t>
            </w:r>
          </w:p>
        </w:tc>
        <w:tc>
          <w:tcPr>
            <w:tcW w:w="1333" w:type="pct"/>
            <w:vAlign w:val="bottom"/>
          </w:tcPr>
          <w:p w14:paraId="1EA31CB3" w14:textId="77777777" w:rsidR="005374FD" w:rsidRPr="000434F4" w:rsidDel="00067B13" w:rsidRDefault="005374FD" w:rsidP="00AA5240">
            <w:pPr>
              <w:spacing w:line="276" w:lineRule="auto"/>
              <w:jc w:val="center"/>
              <w:rPr>
                <w:rFonts w:cs="Arial"/>
                <w:szCs w:val="24"/>
                <w:lang w:val="en-GB"/>
              </w:rPr>
            </w:pPr>
            <w:r w:rsidRPr="000434F4">
              <w:rPr>
                <w:rFonts w:cs="Arial"/>
                <w:szCs w:val="24"/>
                <w:lang w:val="en-GB"/>
              </w:rPr>
              <w:t>50.2%</w:t>
            </w:r>
          </w:p>
        </w:tc>
      </w:tr>
      <w:tr w:rsidR="005374FD" w:rsidRPr="000434F4" w:rsidDel="00067B13" w14:paraId="538A8682" w14:textId="77777777" w:rsidTr="00AA5240">
        <w:trPr>
          <w:trHeight w:val="255"/>
        </w:trPr>
        <w:tc>
          <w:tcPr>
            <w:tcW w:w="1456" w:type="pct"/>
          </w:tcPr>
          <w:p w14:paraId="37082EE9" w14:textId="77777777" w:rsidR="005374FD" w:rsidRPr="000434F4" w:rsidDel="00067B13" w:rsidRDefault="005374FD" w:rsidP="00AA5240">
            <w:pPr>
              <w:spacing w:line="276" w:lineRule="auto"/>
              <w:rPr>
                <w:rFonts w:eastAsia="Calibri" w:cs="Arial"/>
                <w:szCs w:val="24"/>
                <w:lang w:val="en-GB"/>
              </w:rPr>
            </w:pPr>
            <w:r w:rsidRPr="000434F4">
              <w:rPr>
                <w:rFonts w:cs="Arial"/>
                <w:szCs w:val="24"/>
                <w:lang w:val="en-GB"/>
              </w:rPr>
              <w:t>Log-logistic</w:t>
            </w:r>
          </w:p>
        </w:tc>
        <w:tc>
          <w:tcPr>
            <w:tcW w:w="1101" w:type="pct"/>
          </w:tcPr>
          <w:p w14:paraId="4FFC7CE1" w14:textId="77777777" w:rsidR="005374FD" w:rsidRPr="000434F4" w:rsidDel="00067B13" w:rsidRDefault="005374FD" w:rsidP="00AA5240">
            <w:pPr>
              <w:spacing w:line="276" w:lineRule="auto"/>
              <w:jc w:val="center"/>
              <w:rPr>
                <w:rFonts w:eastAsia="Calibri" w:cs="Arial"/>
                <w:szCs w:val="24"/>
                <w:lang w:val="en-GB"/>
              </w:rPr>
            </w:pPr>
            <w:r w:rsidRPr="000434F4">
              <w:rPr>
                <w:rFonts w:cs="Arial"/>
                <w:szCs w:val="24"/>
                <w:lang w:val="en-GB"/>
              </w:rPr>
              <w:t>478.085</w:t>
            </w:r>
          </w:p>
        </w:tc>
        <w:tc>
          <w:tcPr>
            <w:tcW w:w="1110" w:type="pct"/>
          </w:tcPr>
          <w:p w14:paraId="244FB495" w14:textId="77777777" w:rsidR="005374FD" w:rsidRPr="000434F4" w:rsidDel="00067B13" w:rsidRDefault="005374FD" w:rsidP="00AA5240">
            <w:pPr>
              <w:spacing w:line="276" w:lineRule="auto"/>
              <w:jc w:val="center"/>
              <w:rPr>
                <w:rFonts w:eastAsia="Calibri" w:cs="Arial"/>
                <w:szCs w:val="24"/>
                <w:lang w:val="en-GB"/>
              </w:rPr>
            </w:pPr>
            <w:r w:rsidRPr="000434F4">
              <w:rPr>
                <w:rFonts w:cs="Arial"/>
                <w:szCs w:val="24"/>
                <w:lang w:val="en-GB"/>
              </w:rPr>
              <w:t>486.241</w:t>
            </w:r>
          </w:p>
        </w:tc>
        <w:tc>
          <w:tcPr>
            <w:tcW w:w="1333" w:type="pct"/>
            <w:vAlign w:val="bottom"/>
          </w:tcPr>
          <w:p w14:paraId="20CF80BD" w14:textId="77777777" w:rsidR="005374FD" w:rsidRPr="000434F4" w:rsidDel="00067B13" w:rsidRDefault="005374FD" w:rsidP="00AA5240">
            <w:pPr>
              <w:spacing w:line="276" w:lineRule="auto"/>
              <w:jc w:val="center"/>
              <w:rPr>
                <w:rFonts w:cs="Arial"/>
                <w:szCs w:val="24"/>
                <w:lang w:val="en-GB"/>
              </w:rPr>
            </w:pPr>
            <w:r w:rsidRPr="000434F4">
              <w:rPr>
                <w:rFonts w:cs="Arial"/>
                <w:szCs w:val="24"/>
                <w:lang w:val="en-GB"/>
              </w:rPr>
              <w:t>51.5%</w:t>
            </w:r>
          </w:p>
        </w:tc>
      </w:tr>
      <w:tr w:rsidR="005374FD" w:rsidRPr="000434F4" w14:paraId="67E525F0" w14:textId="77777777" w:rsidTr="00AA5240">
        <w:trPr>
          <w:trHeight w:val="255"/>
        </w:trPr>
        <w:tc>
          <w:tcPr>
            <w:tcW w:w="1456" w:type="pct"/>
          </w:tcPr>
          <w:p w14:paraId="04571DBE" w14:textId="77777777" w:rsidR="005374FD" w:rsidRPr="000434F4" w:rsidRDefault="005374FD" w:rsidP="00AA5240">
            <w:pPr>
              <w:spacing w:line="276" w:lineRule="auto"/>
              <w:rPr>
                <w:rFonts w:cs="Arial"/>
                <w:szCs w:val="24"/>
                <w:lang w:val="en-GB"/>
              </w:rPr>
            </w:pPr>
            <w:r w:rsidRPr="000434F4">
              <w:rPr>
                <w:rFonts w:cs="Arial"/>
                <w:szCs w:val="24"/>
                <w:lang w:val="en-GB"/>
              </w:rPr>
              <w:t>Log-normal*</w:t>
            </w:r>
          </w:p>
        </w:tc>
        <w:tc>
          <w:tcPr>
            <w:tcW w:w="1101" w:type="pct"/>
          </w:tcPr>
          <w:p w14:paraId="1D1CC6CF" w14:textId="77777777" w:rsidR="005374FD" w:rsidRPr="000434F4" w:rsidRDefault="005374FD" w:rsidP="00AA5240">
            <w:pPr>
              <w:spacing w:line="276" w:lineRule="auto"/>
              <w:jc w:val="center"/>
              <w:rPr>
                <w:rFonts w:cs="Arial"/>
                <w:szCs w:val="24"/>
                <w:lang w:val="en-GB"/>
              </w:rPr>
            </w:pPr>
            <w:r w:rsidRPr="000434F4">
              <w:rPr>
                <w:rFonts w:cs="Arial"/>
                <w:szCs w:val="24"/>
                <w:lang w:val="en-GB"/>
              </w:rPr>
              <w:t>476.795</w:t>
            </w:r>
          </w:p>
        </w:tc>
        <w:tc>
          <w:tcPr>
            <w:tcW w:w="1110" w:type="pct"/>
          </w:tcPr>
          <w:p w14:paraId="7403C34B" w14:textId="77777777" w:rsidR="005374FD" w:rsidRPr="000434F4" w:rsidRDefault="005374FD" w:rsidP="00AA5240">
            <w:pPr>
              <w:spacing w:line="276" w:lineRule="auto"/>
              <w:jc w:val="center"/>
              <w:rPr>
                <w:rFonts w:cs="Arial"/>
                <w:szCs w:val="24"/>
                <w:lang w:val="en-GB"/>
              </w:rPr>
            </w:pPr>
            <w:r w:rsidRPr="000434F4">
              <w:rPr>
                <w:rFonts w:cs="Arial"/>
                <w:szCs w:val="24"/>
                <w:lang w:val="en-GB"/>
              </w:rPr>
              <w:t>484.951</w:t>
            </w:r>
          </w:p>
        </w:tc>
        <w:tc>
          <w:tcPr>
            <w:tcW w:w="1333" w:type="pct"/>
            <w:vAlign w:val="bottom"/>
          </w:tcPr>
          <w:p w14:paraId="4F681B1E" w14:textId="77777777" w:rsidR="005374FD" w:rsidRPr="000434F4" w:rsidRDefault="005374FD" w:rsidP="00AA5240">
            <w:pPr>
              <w:spacing w:line="276" w:lineRule="auto"/>
              <w:jc w:val="center"/>
              <w:rPr>
                <w:rFonts w:cs="Arial"/>
                <w:szCs w:val="24"/>
                <w:lang w:val="en-GB"/>
              </w:rPr>
            </w:pPr>
            <w:r w:rsidRPr="000434F4">
              <w:rPr>
                <w:rFonts w:cs="Arial"/>
                <w:szCs w:val="24"/>
                <w:lang w:val="en-GB"/>
              </w:rPr>
              <w:t>50.3%</w:t>
            </w:r>
          </w:p>
        </w:tc>
      </w:tr>
      <w:tr w:rsidR="005374FD" w:rsidRPr="000434F4" w:rsidDel="00067B13" w14:paraId="0B90453A" w14:textId="77777777" w:rsidTr="00AA5240">
        <w:trPr>
          <w:trHeight w:val="255"/>
        </w:trPr>
        <w:tc>
          <w:tcPr>
            <w:tcW w:w="1456" w:type="pct"/>
          </w:tcPr>
          <w:p w14:paraId="5CED526F" w14:textId="77777777" w:rsidR="005374FD" w:rsidRPr="000434F4" w:rsidDel="00067B13" w:rsidRDefault="005374FD" w:rsidP="00AA5240">
            <w:pPr>
              <w:spacing w:line="276" w:lineRule="auto"/>
              <w:rPr>
                <w:rFonts w:eastAsia="Calibri" w:cs="Arial"/>
                <w:szCs w:val="24"/>
                <w:lang w:val="en-GB"/>
              </w:rPr>
            </w:pPr>
            <w:r w:rsidRPr="000434F4" w:rsidDel="00FD72F2">
              <w:rPr>
                <w:rFonts w:cs="Arial"/>
                <w:szCs w:val="24"/>
                <w:lang w:val="en-GB"/>
              </w:rPr>
              <w:t>Weibull</w:t>
            </w:r>
          </w:p>
        </w:tc>
        <w:tc>
          <w:tcPr>
            <w:tcW w:w="1101" w:type="pct"/>
          </w:tcPr>
          <w:p w14:paraId="17805BE5" w14:textId="77777777" w:rsidR="005374FD" w:rsidRPr="000434F4" w:rsidDel="00067B13" w:rsidRDefault="005374FD" w:rsidP="00AA5240">
            <w:pPr>
              <w:spacing w:line="276" w:lineRule="auto"/>
              <w:jc w:val="center"/>
              <w:rPr>
                <w:rFonts w:eastAsia="Calibri" w:cs="Arial"/>
                <w:b/>
                <w:bCs/>
                <w:szCs w:val="24"/>
                <w:lang w:val="en-GB"/>
              </w:rPr>
            </w:pPr>
            <w:r w:rsidRPr="000434F4">
              <w:rPr>
                <w:rFonts w:cs="Arial"/>
                <w:szCs w:val="24"/>
                <w:lang w:val="en-GB"/>
              </w:rPr>
              <w:t>479.809</w:t>
            </w:r>
          </w:p>
        </w:tc>
        <w:tc>
          <w:tcPr>
            <w:tcW w:w="1110" w:type="pct"/>
          </w:tcPr>
          <w:p w14:paraId="3252256D" w14:textId="77777777" w:rsidR="005374FD" w:rsidRPr="000434F4" w:rsidDel="00067B13" w:rsidRDefault="005374FD" w:rsidP="00AA5240">
            <w:pPr>
              <w:spacing w:line="276" w:lineRule="auto"/>
              <w:jc w:val="center"/>
              <w:rPr>
                <w:rFonts w:eastAsia="Calibri" w:cs="Arial"/>
                <w:b/>
                <w:bCs/>
                <w:szCs w:val="24"/>
                <w:lang w:val="en-GB"/>
              </w:rPr>
            </w:pPr>
            <w:r w:rsidRPr="000434F4">
              <w:rPr>
                <w:rFonts w:cs="Arial"/>
                <w:szCs w:val="24"/>
                <w:lang w:val="en-GB"/>
              </w:rPr>
              <w:t>487.965</w:t>
            </w:r>
          </w:p>
        </w:tc>
        <w:tc>
          <w:tcPr>
            <w:tcW w:w="1333" w:type="pct"/>
            <w:vAlign w:val="bottom"/>
          </w:tcPr>
          <w:p w14:paraId="14729A25" w14:textId="77777777" w:rsidR="005374FD" w:rsidRPr="000434F4" w:rsidDel="00067B13" w:rsidRDefault="005374FD" w:rsidP="00AA5240">
            <w:pPr>
              <w:spacing w:line="276" w:lineRule="auto"/>
              <w:jc w:val="center"/>
              <w:rPr>
                <w:rFonts w:cs="Arial"/>
                <w:szCs w:val="24"/>
                <w:lang w:val="en-GB"/>
              </w:rPr>
            </w:pPr>
            <w:r w:rsidRPr="000434F4">
              <w:rPr>
                <w:rFonts w:cs="Arial"/>
                <w:szCs w:val="24"/>
                <w:lang w:val="en-GB"/>
              </w:rPr>
              <w:t>52.6%</w:t>
            </w:r>
          </w:p>
        </w:tc>
      </w:tr>
    </w:tbl>
    <w:p w14:paraId="38BC75FF" w14:textId="77777777" w:rsidR="005374FD" w:rsidRPr="002E1D08" w:rsidRDefault="005374FD" w:rsidP="005374FD">
      <w:pPr>
        <w:spacing w:before="120"/>
        <w:rPr>
          <w:lang w:val="en-GB"/>
        </w:rPr>
      </w:pPr>
      <w:r w:rsidRPr="002E1D08">
        <w:rPr>
          <w:lang w:val="en-GB"/>
        </w:rPr>
        <w:t>*Parametric distribution applied in the base case analysis.</w:t>
      </w:r>
    </w:p>
    <w:p w14:paraId="31078CC2" w14:textId="77777777" w:rsidR="005374FD" w:rsidRPr="002E1D08" w:rsidRDefault="005374FD" w:rsidP="005374FD">
      <w:pPr>
        <w:rPr>
          <w:lang w:val="en-GB"/>
        </w:rPr>
      </w:pPr>
      <w:r w:rsidRPr="00187F3C">
        <w:rPr>
          <w:lang w:val="en-GB"/>
        </w:rPr>
        <w:t>AIC</w:t>
      </w:r>
      <w:r>
        <w:rPr>
          <w:lang w:val="en-GB"/>
        </w:rPr>
        <w:t>,</w:t>
      </w:r>
      <w:r w:rsidRPr="00187F3C">
        <w:rPr>
          <w:lang w:val="en-GB"/>
        </w:rPr>
        <w:t xml:space="preserve"> akaike information criterion; BIC</w:t>
      </w:r>
      <w:r>
        <w:rPr>
          <w:lang w:val="en-GB"/>
        </w:rPr>
        <w:t>,</w:t>
      </w:r>
      <w:r w:rsidRPr="00187F3C">
        <w:rPr>
          <w:lang w:val="en-GB"/>
        </w:rPr>
        <w:t xml:space="preserve"> bayesian information criterion; RFS</w:t>
      </w:r>
      <w:r>
        <w:rPr>
          <w:lang w:val="en-GB"/>
        </w:rPr>
        <w:t>,</w:t>
      </w:r>
      <w:r w:rsidRPr="00187F3C">
        <w:rPr>
          <w:lang w:val="en-GB"/>
        </w:rPr>
        <w:t xml:space="preserve"> relapse-free survival</w:t>
      </w:r>
      <w:r>
        <w:rPr>
          <w:lang w:val="en-GB"/>
        </w:rPr>
        <w:t>.</w:t>
      </w:r>
    </w:p>
    <w:p w14:paraId="37952FFD" w14:textId="77777777" w:rsidR="002F6056" w:rsidRDefault="002F6056" w:rsidP="002F6056">
      <w:pPr>
        <w:spacing w:after="160" w:line="259" w:lineRule="auto"/>
        <w:rPr>
          <w:rFonts w:eastAsia="Times New Roman" w:cs="Arial"/>
          <w:szCs w:val="20"/>
          <w:lang w:val="en-GB" w:eastAsia="it-IT"/>
        </w:rPr>
      </w:pPr>
    </w:p>
    <w:p w14:paraId="0896F3E0" w14:textId="0CFBCFFC" w:rsidR="002F6056" w:rsidRDefault="002F6056">
      <w:pPr>
        <w:spacing w:after="160" w:line="259" w:lineRule="auto"/>
        <w:rPr>
          <w:rFonts w:eastAsia="Times New Roman" w:cs="Arial"/>
          <w:szCs w:val="20"/>
          <w:lang w:val="en-GB" w:eastAsia="it-IT"/>
        </w:rPr>
      </w:pPr>
      <w:r>
        <w:rPr>
          <w:rFonts w:eastAsia="Times New Roman" w:cs="Arial"/>
          <w:szCs w:val="20"/>
          <w:lang w:val="en-GB" w:eastAsia="it-IT"/>
        </w:rPr>
        <w:br w:type="page"/>
      </w:r>
    </w:p>
    <w:p w14:paraId="1A914C6D" w14:textId="34110B09" w:rsidR="00BB4495" w:rsidRPr="006532F6" w:rsidRDefault="00A61152" w:rsidP="008A6290">
      <w:pPr>
        <w:pStyle w:val="Titolo1"/>
        <w:rPr>
          <w:rFonts w:cs="Times New Roman"/>
          <w:bCs/>
          <w:szCs w:val="24"/>
          <w:lang w:val="en-US"/>
        </w:rPr>
      </w:pPr>
      <w:r w:rsidRPr="006532F6">
        <w:rPr>
          <w:rFonts w:cs="Times New Roman"/>
          <w:bCs/>
          <w:szCs w:val="24"/>
          <w:lang w:val="en-US"/>
        </w:rPr>
        <w:lastRenderedPageBreak/>
        <w:t>Supplementary</w:t>
      </w:r>
      <w:r w:rsidR="00BB4495" w:rsidRPr="006532F6">
        <w:rPr>
          <w:rFonts w:cs="Times New Roman"/>
          <w:bCs/>
          <w:szCs w:val="24"/>
          <w:lang w:val="en-US"/>
        </w:rPr>
        <w:t xml:space="preserve"> Figures</w:t>
      </w:r>
    </w:p>
    <w:p w14:paraId="4DA78EA5" w14:textId="56CE696B" w:rsidR="00BB4495" w:rsidRPr="00102B2D" w:rsidRDefault="00866A9A" w:rsidP="00753AB2">
      <w:pPr>
        <w:spacing w:after="120" w:line="276" w:lineRule="auto"/>
        <w:rPr>
          <w:rFonts w:cs="Arial"/>
          <w:bCs/>
          <w:szCs w:val="20"/>
          <w:lang w:val="en-GB"/>
        </w:rPr>
      </w:pPr>
      <w:r w:rsidRPr="00102B2D">
        <w:rPr>
          <w:rFonts w:cs="Arial"/>
          <w:b/>
          <w:szCs w:val="20"/>
          <w:lang w:val="en-GB"/>
        </w:rPr>
        <w:t>Supplementa</w:t>
      </w:r>
      <w:r w:rsidR="001375D9" w:rsidRPr="00102B2D">
        <w:rPr>
          <w:rFonts w:cs="Arial"/>
          <w:b/>
          <w:szCs w:val="20"/>
          <w:lang w:val="en-GB"/>
        </w:rPr>
        <w:t>l</w:t>
      </w:r>
      <w:r w:rsidRPr="00102B2D">
        <w:rPr>
          <w:rFonts w:cs="Arial"/>
          <w:b/>
          <w:szCs w:val="20"/>
          <w:lang w:val="en-GB"/>
        </w:rPr>
        <w:t xml:space="preserve"> Figure 1 </w:t>
      </w:r>
      <w:r w:rsidRPr="00102B2D">
        <w:rPr>
          <w:rFonts w:cs="Arial"/>
          <w:bCs/>
          <w:szCs w:val="20"/>
          <w:lang w:val="en-GB"/>
        </w:rPr>
        <w:t>Partitioned survival model</w:t>
      </w:r>
      <w:r w:rsidR="002E1D08" w:rsidRPr="00102B2D">
        <w:rPr>
          <w:rFonts w:cs="Arial"/>
          <w:bCs/>
          <w:szCs w:val="20"/>
          <w:lang w:val="en-GB"/>
        </w:rPr>
        <w:t xml:space="preserve">. </w:t>
      </w:r>
    </w:p>
    <w:p w14:paraId="7536068F" w14:textId="042201DD" w:rsidR="00C62A5E" w:rsidRPr="002E1D08" w:rsidRDefault="006A33FD" w:rsidP="005C5436">
      <w:pPr>
        <w:rPr>
          <w:lang w:val="en-GB"/>
        </w:rPr>
      </w:pPr>
      <w:r>
        <w:rPr>
          <w:noProof/>
          <w:lang w:val="en-GB"/>
        </w:rPr>
        <w:drawing>
          <wp:inline distT="0" distB="0" distL="0" distR="0" wp14:anchorId="27AE2EFD" wp14:editId="0240E4ED">
            <wp:extent cx="5257800" cy="3238645"/>
            <wp:effectExtent l="0" t="0" r="0" b="0"/>
            <wp:docPr id="1618109544"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8109544" name="Immagine 1618109544"/>
                    <pic:cNvPicPr/>
                  </pic:nvPicPr>
                  <pic:blipFill>
                    <a:blip r:embed="rId8">
                      <a:extLst>
                        <a:ext uri="{28A0092B-C50C-407E-A947-70E740481C1C}">
                          <a14:useLocalDpi xmlns:a14="http://schemas.microsoft.com/office/drawing/2010/main" val="0"/>
                        </a:ext>
                      </a:extLst>
                    </a:blip>
                    <a:stretch>
                      <a:fillRect/>
                    </a:stretch>
                  </pic:blipFill>
                  <pic:spPr>
                    <a:xfrm>
                      <a:off x="0" y="0"/>
                      <a:ext cx="5274638" cy="3249016"/>
                    </a:xfrm>
                    <a:prstGeom prst="rect">
                      <a:avLst/>
                    </a:prstGeom>
                  </pic:spPr>
                </pic:pic>
              </a:graphicData>
            </a:graphic>
          </wp:inline>
        </w:drawing>
      </w:r>
    </w:p>
    <w:p w14:paraId="229F5381" w14:textId="3842A5A2" w:rsidR="008856E5" w:rsidRPr="00066D2A" w:rsidRDefault="001F71E4" w:rsidP="001F71E4">
      <w:pPr>
        <w:rPr>
          <w:bCs/>
          <w:lang w:val="en-GB"/>
        </w:rPr>
      </w:pPr>
      <w:r w:rsidRPr="001F71E4">
        <w:rPr>
          <w:bCs/>
          <w:lang w:val="en-US"/>
        </w:rPr>
        <w:t>Abbreviations</w:t>
      </w:r>
      <w:r w:rsidRPr="001F71E4">
        <w:rPr>
          <w:rFonts w:cs="Arial"/>
          <w:bCs/>
          <w:szCs w:val="20"/>
          <w:lang w:val="en-US"/>
        </w:rPr>
        <w:t xml:space="preserve">: </w:t>
      </w:r>
      <w:r w:rsidR="008856E5" w:rsidRPr="00066D2A">
        <w:rPr>
          <w:lang w:val="en-GB"/>
        </w:rPr>
        <w:t>OS</w:t>
      </w:r>
      <w:r>
        <w:rPr>
          <w:lang w:val="en-GB"/>
        </w:rPr>
        <w:t>,</w:t>
      </w:r>
      <w:r w:rsidR="008856E5" w:rsidRPr="00066D2A">
        <w:rPr>
          <w:lang w:val="en-GB"/>
        </w:rPr>
        <w:t xml:space="preserve"> overall survival; RFS</w:t>
      </w:r>
      <w:r>
        <w:rPr>
          <w:lang w:val="en-GB"/>
        </w:rPr>
        <w:t>,</w:t>
      </w:r>
      <w:r w:rsidR="008856E5" w:rsidRPr="00066D2A">
        <w:rPr>
          <w:lang w:val="en-GB"/>
        </w:rPr>
        <w:t xml:space="preserve"> relapse-free survival.</w:t>
      </w:r>
    </w:p>
    <w:p w14:paraId="26723E4F" w14:textId="07CD289B" w:rsidR="00866A9A" w:rsidRPr="002E1D08" w:rsidRDefault="00866A9A">
      <w:pPr>
        <w:spacing w:after="160" w:line="259" w:lineRule="auto"/>
        <w:rPr>
          <w:lang w:val="en-GB"/>
        </w:rPr>
      </w:pPr>
      <w:r w:rsidRPr="002E1D08">
        <w:rPr>
          <w:lang w:val="en-GB"/>
        </w:rPr>
        <w:br w:type="page"/>
      </w:r>
    </w:p>
    <w:p w14:paraId="296F562F" w14:textId="53433C17" w:rsidR="00BB4495" w:rsidRPr="00E04A68" w:rsidRDefault="00866A9A" w:rsidP="001F71E4">
      <w:pPr>
        <w:rPr>
          <w:lang w:val="en-GB"/>
        </w:rPr>
      </w:pPr>
      <w:r w:rsidRPr="00187F3C">
        <w:rPr>
          <w:b/>
          <w:bCs/>
          <w:lang w:val="en-GB"/>
        </w:rPr>
        <w:lastRenderedPageBreak/>
        <w:t>Supplementa</w:t>
      </w:r>
      <w:r w:rsidR="001375D9">
        <w:rPr>
          <w:b/>
          <w:bCs/>
          <w:lang w:val="en-GB"/>
        </w:rPr>
        <w:t>l</w:t>
      </w:r>
      <w:r w:rsidRPr="00187F3C">
        <w:rPr>
          <w:b/>
          <w:bCs/>
          <w:lang w:val="en-GB"/>
        </w:rPr>
        <w:t xml:space="preserve"> Figure 2 </w:t>
      </w:r>
      <w:r w:rsidRPr="00133A82">
        <w:rPr>
          <w:lang w:val="en-GB"/>
        </w:rPr>
        <w:t xml:space="preserve">Extrapolated OS MCM for Blinatumomab + SoC. </w:t>
      </w:r>
    </w:p>
    <w:p w14:paraId="7CD21656" w14:textId="09E1D19C" w:rsidR="005C5436" w:rsidRPr="002E1D08" w:rsidRDefault="006A33FD" w:rsidP="005C5436">
      <w:pPr>
        <w:rPr>
          <w:lang w:val="en-GB"/>
        </w:rPr>
      </w:pPr>
      <w:r>
        <w:rPr>
          <w:noProof/>
          <w:lang w:val="en-GB"/>
        </w:rPr>
        <w:drawing>
          <wp:inline distT="0" distB="0" distL="0" distR="0" wp14:anchorId="3732F65C" wp14:editId="6677F174">
            <wp:extent cx="5145470" cy="3353091"/>
            <wp:effectExtent l="0" t="0" r="0" b="0"/>
            <wp:docPr id="209604719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6047192" name="Immagine 2096047192"/>
                    <pic:cNvPicPr/>
                  </pic:nvPicPr>
                  <pic:blipFill>
                    <a:blip r:embed="rId9">
                      <a:extLst>
                        <a:ext uri="{28A0092B-C50C-407E-A947-70E740481C1C}">
                          <a14:useLocalDpi xmlns:a14="http://schemas.microsoft.com/office/drawing/2010/main" val="0"/>
                        </a:ext>
                      </a:extLst>
                    </a:blip>
                    <a:stretch>
                      <a:fillRect/>
                    </a:stretch>
                  </pic:blipFill>
                  <pic:spPr>
                    <a:xfrm>
                      <a:off x="0" y="0"/>
                      <a:ext cx="5145470" cy="3353091"/>
                    </a:xfrm>
                    <a:prstGeom prst="rect">
                      <a:avLst/>
                    </a:prstGeom>
                  </pic:spPr>
                </pic:pic>
              </a:graphicData>
            </a:graphic>
          </wp:inline>
        </w:drawing>
      </w:r>
    </w:p>
    <w:p w14:paraId="6B7DDFF9" w14:textId="77777777" w:rsidR="00BB4495" w:rsidRPr="002E1D08" w:rsidRDefault="00BB4495" w:rsidP="005C5436">
      <w:pPr>
        <w:rPr>
          <w:lang w:val="en-GB"/>
        </w:rPr>
      </w:pPr>
    </w:p>
    <w:p w14:paraId="284FE25C" w14:textId="4B4414FE" w:rsidR="00866A9A" w:rsidRPr="002E1D08" w:rsidRDefault="00866A9A" w:rsidP="001F71E4">
      <w:pPr>
        <w:rPr>
          <w:lang w:val="en-GB"/>
        </w:rPr>
      </w:pPr>
      <w:r w:rsidRPr="002E1D08">
        <w:rPr>
          <w:lang w:val="en-GB"/>
        </w:rPr>
        <w:br w:type="page"/>
      </w:r>
    </w:p>
    <w:p w14:paraId="1BABB3AC" w14:textId="0DE624AD" w:rsidR="00866A9A" w:rsidRPr="00187F3C" w:rsidRDefault="00866A9A" w:rsidP="001F71E4">
      <w:pPr>
        <w:rPr>
          <w:bCs/>
          <w:iCs/>
          <w:lang w:val="en-GB"/>
        </w:rPr>
      </w:pPr>
      <w:r w:rsidRPr="001F71E4">
        <w:rPr>
          <w:b/>
          <w:lang w:val="en-GB"/>
        </w:rPr>
        <w:lastRenderedPageBreak/>
        <w:t>Supplementa</w:t>
      </w:r>
      <w:r w:rsidR="001375D9" w:rsidRPr="001F71E4">
        <w:rPr>
          <w:b/>
          <w:lang w:val="en-GB"/>
        </w:rPr>
        <w:t>l</w:t>
      </w:r>
      <w:r w:rsidRPr="001F71E4">
        <w:rPr>
          <w:b/>
          <w:lang w:val="en-GB"/>
        </w:rPr>
        <w:t xml:space="preserve"> Figure 3</w:t>
      </w:r>
      <w:r w:rsidRPr="00187F3C">
        <w:rPr>
          <w:bCs/>
          <w:lang w:val="en-GB"/>
        </w:rPr>
        <w:t xml:space="preserve"> </w:t>
      </w:r>
      <w:r w:rsidRPr="00133A82">
        <w:rPr>
          <w:lang w:val="en-GB"/>
        </w:rPr>
        <w:t>Extrapolated OS MCM for SoC</w:t>
      </w:r>
      <w:r w:rsidRPr="00E04A68">
        <w:rPr>
          <w:lang w:val="en-GB"/>
        </w:rPr>
        <w:t>.</w:t>
      </w:r>
      <w:r w:rsidRPr="00187F3C">
        <w:rPr>
          <w:lang w:val="en-GB"/>
        </w:rPr>
        <w:t xml:space="preserve"> </w:t>
      </w:r>
    </w:p>
    <w:p w14:paraId="7E3FADE0" w14:textId="20BA4AA9" w:rsidR="005C5436" w:rsidRPr="002E1D08" w:rsidRDefault="006A33FD" w:rsidP="005C5436">
      <w:pPr>
        <w:rPr>
          <w:lang w:val="en-GB"/>
        </w:rPr>
      </w:pPr>
      <w:r>
        <w:rPr>
          <w:noProof/>
          <w:lang w:val="en-GB"/>
        </w:rPr>
        <w:drawing>
          <wp:inline distT="0" distB="0" distL="0" distR="0" wp14:anchorId="25CEEEB7" wp14:editId="7A0B4A6F">
            <wp:extent cx="5145470" cy="3127519"/>
            <wp:effectExtent l="0" t="0" r="0" b="0"/>
            <wp:docPr id="903443229"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3443229" name="Immagine 903443229"/>
                    <pic:cNvPicPr/>
                  </pic:nvPicPr>
                  <pic:blipFill>
                    <a:blip r:embed="rId10">
                      <a:extLst>
                        <a:ext uri="{28A0092B-C50C-407E-A947-70E740481C1C}">
                          <a14:useLocalDpi xmlns:a14="http://schemas.microsoft.com/office/drawing/2010/main" val="0"/>
                        </a:ext>
                      </a:extLst>
                    </a:blip>
                    <a:stretch>
                      <a:fillRect/>
                    </a:stretch>
                  </pic:blipFill>
                  <pic:spPr>
                    <a:xfrm>
                      <a:off x="0" y="0"/>
                      <a:ext cx="5145470" cy="3127519"/>
                    </a:xfrm>
                    <a:prstGeom prst="rect">
                      <a:avLst/>
                    </a:prstGeom>
                  </pic:spPr>
                </pic:pic>
              </a:graphicData>
            </a:graphic>
          </wp:inline>
        </w:drawing>
      </w:r>
    </w:p>
    <w:p w14:paraId="74550BCA" w14:textId="77777777" w:rsidR="00BB4495" w:rsidRPr="002E1D08" w:rsidRDefault="00BB4495" w:rsidP="005C5436">
      <w:pPr>
        <w:rPr>
          <w:lang w:val="en-GB"/>
        </w:rPr>
      </w:pPr>
    </w:p>
    <w:p w14:paraId="4A56BB9E" w14:textId="6AD0563F" w:rsidR="00866A9A" w:rsidRPr="002E1D08" w:rsidRDefault="00866A9A" w:rsidP="001F71E4">
      <w:pPr>
        <w:rPr>
          <w:lang w:val="en-GB"/>
        </w:rPr>
      </w:pPr>
      <w:r w:rsidRPr="002E1D08">
        <w:rPr>
          <w:lang w:val="en-GB"/>
        </w:rPr>
        <w:br w:type="page"/>
      </w:r>
    </w:p>
    <w:p w14:paraId="7C68776F" w14:textId="5589ACFD" w:rsidR="00866A9A" w:rsidRPr="00133A82" w:rsidRDefault="00866A9A" w:rsidP="001F71E4">
      <w:pPr>
        <w:rPr>
          <w:b/>
          <w:iCs/>
          <w:lang w:val="en-GB"/>
        </w:rPr>
      </w:pPr>
      <w:r w:rsidRPr="001F71E4">
        <w:rPr>
          <w:b/>
          <w:lang w:val="en-GB"/>
        </w:rPr>
        <w:lastRenderedPageBreak/>
        <w:t>Supplementa</w:t>
      </w:r>
      <w:r w:rsidR="001375D9" w:rsidRPr="001F71E4">
        <w:rPr>
          <w:b/>
          <w:lang w:val="en-GB"/>
        </w:rPr>
        <w:t>l</w:t>
      </w:r>
      <w:r w:rsidRPr="001F71E4">
        <w:rPr>
          <w:b/>
          <w:lang w:val="en-GB"/>
        </w:rPr>
        <w:t xml:space="preserve"> Figure 4</w:t>
      </w:r>
      <w:r w:rsidRPr="00187F3C">
        <w:rPr>
          <w:bCs/>
          <w:lang w:val="en-GB"/>
        </w:rPr>
        <w:t xml:space="preserve"> </w:t>
      </w:r>
      <w:r w:rsidRPr="00133A82">
        <w:rPr>
          <w:lang w:val="en-GB"/>
        </w:rPr>
        <w:t>Extrapolated RFS MCM for Blinatumomab + SoC</w:t>
      </w:r>
      <w:r w:rsidRPr="00E04A68">
        <w:rPr>
          <w:lang w:val="en-GB"/>
        </w:rPr>
        <w:t xml:space="preserve">. </w:t>
      </w:r>
    </w:p>
    <w:p w14:paraId="117371FF" w14:textId="46AD71E6" w:rsidR="005C5436" w:rsidRPr="002E1D08" w:rsidRDefault="006A33FD" w:rsidP="00CC3E84">
      <w:pPr>
        <w:rPr>
          <w:lang w:val="en-GB"/>
        </w:rPr>
      </w:pPr>
      <w:r>
        <w:rPr>
          <w:noProof/>
          <w:lang w:val="en-GB"/>
        </w:rPr>
        <w:drawing>
          <wp:inline distT="0" distB="0" distL="0" distR="0" wp14:anchorId="06F755DB" wp14:editId="4C044475">
            <wp:extent cx="5151566" cy="3292125"/>
            <wp:effectExtent l="0" t="0" r="0" b="3810"/>
            <wp:docPr id="29004718"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004718" name="Immagine 29004718"/>
                    <pic:cNvPicPr/>
                  </pic:nvPicPr>
                  <pic:blipFill>
                    <a:blip r:embed="rId11">
                      <a:extLst>
                        <a:ext uri="{28A0092B-C50C-407E-A947-70E740481C1C}">
                          <a14:useLocalDpi xmlns:a14="http://schemas.microsoft.com/office/drawing/2010/main" val="0"/>
                        </a:ext>
                      </a:extLst>
                    </a:blip>
                    <a:stretch>
                      <a:fillRect/>
                    </a:stretch>
                  </pic:blipFill>
                  <pic:spPr>
                    <a:xfrm>
                      <a:off x="0" y="0"/>
                      <a:ext cx="5151566" cy="3292125"/>
                    </a:xfrm>
                    <a:prstGeom prst="rect">
                      <a:avLst/>
                    </a:prstGeom>
                  </pic:spPr>
                </pic:pic>
              </a:graphicData>
            </a:graphic>
          </wp:inline>
        </w:drawing>
      </w:r>
    </w:p>
    <w:p w14:paraId="412F9C9F" w14:textId="77777777" w:rsidR="00CC3E84" w:rsidRPr="002E1D08" w:rsidRDefault="00CC3E84" w:rsidP="00CC3E84">
      <w:pPr>
        <w:rPr>
          <w:lang w:val="en-GB"/>
        </w:rPr>
      </w:pPr>
    </w:p>
    <w:p w14:paraId="5B6E272A" w14:textId="77777777" w:rsidR="007E7A69" w:rsidRPr="002E1D08" w:rsidRDefault="007E7A69" w:rsidP="00AD2192">
      <w:pPr>
        <w:rPr>
          <w:rFonts w:ascii="Times New Roman" w:hAnsi="Times New Roman" w:cs="Times New Roman"/>
          <w:lang w:val="en-GB"/>
        </w:rPr>
      </w:pPr>
    </w:p>
    <w:p w14:paraId="7E0F9DA6" w14:textId="1DE9AB56" w:rsidR="00866A9A" w:rsidRPr="002E1D08" w:rsidRDefault="00866A9A">
      <w:pPr>
        <w:spacing w:after="160" w:line="259" w:lineRule="auto"/>
        <w:rPr>
          <w:rFonts w:ascii="Times New Roman" w:hAnsi="Times New Roman" w:cs="Times New Roman"/>
          <w:lang w:val="en-GB"/>
        </w:rPr>
      </w:pPr>
      <w:r w:rsidRPr="002E1D08">
        <w:rPr>
          <w:rFonts w:ascii="Times New Roman" w:hAnsi="Times New Roman" w:cs="Times New Roman"/>
          <w:lang w:val="en-GB"/>
        </w:rPr>
        <w:br w:type="page"/>
      </w:r>
    </w:p>
    <w:p w14:paraId="56E3A931" w14:textId="6F465169" w:rsidR="00866A9A" w:rsidRPr="00187F3C" w:rsidRDefault="00866A9A" w:rsidP="001F71E4">
      <w:pPr>
        <w:rPr>
          <w:bCs/>
          <w:iCs/>
          <w:lang w:val="en-GB"/>
        </w:rPr>
      </w:pPr>
      <w:r w:rsidRPr="001F71E4">
        <w:rPr>
          <w:b/>
          <w:lang w:val="en-GB"/>
        </w:rPr>
        <w:lastRenderedPageBreak/>
        <w:t>Supplementa</w:t>
      </w:r>
      <w:r w:rsidR="001375D9" w:rsidRPr="001F71E4">
        <w:rPr>
          <w:b/>
          <w:lang w:val="en-GB"/>
        </w:rPr>
        <w:t>l</w:t>
      </w:r>
      <w:r w:rsidRPr="001F71E4">
        <w:rPr>
          <w:b/>
          <w:lang w:val="en-GB"/>
        </w:rPr>
        <w:t xml:space="preserve"> Figure 5</w:t>
      </w:r>
      <w:r w:rsidRPr="00187F3C">
        <w:rPr>
          <w:bCs/>
          <w:lang w:val="en-GB"/>
        </w:rPr>
        <w:t xml:space="preserve"> </w:t>
      </w:r>
      <w:r w:rsidRPr="00133A82">
        <w:rPr>
          <w:lang w:val="en-GB"/>
        </w:rPr>
        <w:t>Extrapolated RFS MCM for SoC</w:t>
      </w:r>
      <w:r w:rsidR="002E1D08" w:rsidRPr="00E04A68">
        <w:rPr>
          <w:lang w:val="en-GB"/>
        </w:rPr>
        <w:t>.</w:t>
      </w:r>
      <w:r w:rsidR="002E1D08" w:rsidRPr="00187F3C">
        <w:rPr>
          <w:lang w:val="en-GB"/>
        </w:rPr>
        <w:t xml:space="preserve"> </w:t>
      </w:r>
    </w:p>
    <w:p w14:paraId="312DBF5F" w14:textId="0DE8BE81" w:rsidR="005C5436" w:rsidRDefault="006A33FD" w:rsidP="00F3106D">
      <w:pPr>
        <w:pStyle w:val="Didascalia"/>
        <w:keepNext/>
        <w:spacing w:after="0" w:line="360" w:lineRule="auto"/>
        <w:rPr>
          <w:sz w:val="22"/>
          <w:lang w:val="en-GB"/>
        </w:rPr>
      </w:pPr>
      <w:r>
        <w:rPr>
          <w:noProof/>
          <w:sz w:val="22"/>
          <w:lang w:val="en-GB"/>
          <w14:ligatures w14:val="standardContextual"/>
        </w:rPr>
        <w:drawing>
          <wp:inline distT="0" distB="0" distL="0" distR="0" wp14:anchorId="34E11575" wp14:editId="542955CB">
            <wp:extent cx="5151566" cy="3188484"/>
            <wp:effectExtent l="0" t="0" r="0" b="0"/>
            <wp:docPr id="1853919254"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3919254" name="Immagine 1853919254"/>
                    <pic:cNvPicPr/>
                  </pic:nvPicPr>
                  <pic:blipFill>
                    <a:blip r:embed="rId12">
                      <a:extLst>
                        <a:ext uri="{28A0092B-C50C-407E-A947-70E740481C1C}">
                          <a14:useLocalDpi xmlns:a14="http://schemas.microsoft.com/office/drawing/2010/main" val="0"/>
                        </a:ext>
                      </a:extLst>
                    </a:blip>
                    <a:stretch>
                      <a:fillRect/>
                    </a:stretch>
                  </pic:blipFill>
                  <pic:spPr>
                    <a:xfrm>
                      <a:off x="0" y="0"/>
                      <a:ext cx="5151566" cy="3188484"/>
                    </a:xfrm>
                    <a:prstGeom prst="rect">
                      <a:avLst/>
                    </a:prstGeom>
                  </pic:spPr>
                </pic:pic>
              </a:graphicData>
            </a:graphic>
          </wp:inline>
        </w:drawing>
      </w:r>
    </w:p>
    <w:p w14:paraId="2AEFDAD6" w14:textId="77777777" w:rsidR="000434F4" w:rsidRPr="000434F4" w:rsidRDefault="000434F4" w:rsidP="000434F4">
      <w:pPr>
        <w:rPr>
          <w:lang w:val="en-GB"/>
        </w:rPr>
      </w:pPr>
    </w:p>
    <w:bookmarkEnd w:id="1"/>
    <w:bookmarkEnd w:id="2"/>
    <w:bookmarkEnd w:id="3"/>
    <w:p w14:paraId="67E05F29" w14:textId="42727F1C" w:rsidR="00866A9A" w:rsidRPr="002E1D08" w:rsidRDefault="00866A9A">
      <w:pPr>
        <w:spacing w:after="160" w:line="259" w:lineRule="auto"/>
        <w:rPr>
          <w:lang w:val="en-GB"/>
        </w:rPr>
      </w:pPr>
      <w:r w:rsidRPr="002E1D08">
        <w:rPr>
          <w:lang w:val="en-GB"/>
        </w:rPr>
        <w:br w:type="page"/>
      </w:r>
    </w:p>
    <w:p w14:paraId="1EA5708A" w14:textId="7E409252" w:rsidR="000A18E0" w:rsidRPr="00557AD1" w:rsidRDefault="000A18E0" w:rsidP="002E1D08">
      <w:pPr>
        <w:spacing w:after="240" w:line="360" w:lineRule="auto"/>
        <w:jc w:val="both"/>
        <w:rPr>
          <w:rFonts w:cs="Arial"/>
          <w:sz w:val="16"/>
          <w:szCs w:val="18"/>
          <w:lang w:val="en-GB"/>
        </w:rPr>
      </w:pPr>
    </w:p>
    <w:sectPr w:rsidR="000A18E0" w:rsidRPr="00557AD1" w:rsidSect="00133A82">
      <w:pgSz w:w="12240" w:h="15840" w:code="1"/>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1804AB" w14:textId="77777777" w:rsidR="005B1AB5" w:rsidRDefault="005B1AB5" w:rsidP="00CC5396">
      <w:r>
        <w:separator/>
      </w:r>
    </w:p>
  </w:endnote>
  <w:endnote w:type="continuationSeparator" w:id="0">
    <w:p w14:paraId="713087B9" w14:textId="77777777" w:rsidR="005B1AB5" w:rsidRDefault="005B1AB5" w:rsidP="00CC53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arlett">
    <w:panose1 w:val="00000000000000000000"/>
    <w:charset w:val="02"/>
    <w:family w:val="auto"/>
    <w:pitch w:val="variable"/>
    <w:sig w:usb0="00000000" w:usb1="10000000" w:usb2="00000000" w:usb3="00000000" w:csb0="80000000"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D2E8F4" w14:textId="77777777" w:rsidR="005B1AB5" w:rsidRDefault="005B1AB5" w:rsidP="00CC5396">
      <w:r>
        <w:separator/>
      </w:r>
    </w:p>
  </w:footnote>
  <w:footnote w:type="continuationSeparator" w:id="0">
    <w:p w14:paraId="4CF10761" w14:textId="77777777" w:rsidR="005B1AB5" w:rsidRDefault="005B1AB5" w:rsidP="00CC53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C187F"/>
    <w:multiLevelType w:val="hybridMultilevel"/>
    <w:tmpl w:val="78CC87E0"/>
    <w:lvl w:ilvl="0" w:tplc="4258A116">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E173795"/>
    <w:multiLevelType w:val="hybridMultilevel"/>
    <w:tmpl w:val="112E722C"/>
    <w:lvl w:ilvl="0" w:tplc="059A30D6">
      <w:start w:val="1"/>
      <w:numFmt w:val="bullet"/>
      <w:lvlText w:val=""/>
      <w:lvlJc w:val="left"/>
      <w:pPr>
        <w:ind w:left="720" w:hanging="360"/>
      </w:pPr>
      <w:rPr>
        <w:rFonts w:ascii="Symbol" w:eastAsiaTheme="minorHAnsi" w:hAnsi="Symbol"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4CC167A"/>
    <w:multiLevelType w:val="hybridMultilevel"/>
    <w:tmpl w:val="C3D8DB58"/>
    <w:lvl w:ilvl="0" w:tplc="07E68146">
      <w:numFmt w:val="bullet"/>
      <w:lvlText w:val="-"/>
      <w:lvlJc w:val="left"/>
      <w:pPr>
        <w:ind w:left="720" w:hanging="360"/>
      </w:pPr>
      <w:rPr>
        <w:rFonts w:ascii="Century Gothic" w:eastAsiaTheme="minorHAnsi" w:hAnsi="Century Gothic"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6380FBD"/>
    <w:multiLevelType w:val="hybridMultilevel"/>
    <w:tmpl w:val="CDCEFD0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17C51B01"/>
    <w:multiLevelType w:val="hybridMultilevel"/>
    <w:tmpl w:val="4544BE7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2485411C"/>
    <w:multiLevelType w:val="hybridMultilevel"/>
    <w:tmpl w:val="647683A0"/>
    <w:lvl w:ilvl="0" w:tplc="B0AC2666">
      <w:numFmt w:val="bullet"/>
      <w:lvlText w:val="-"/>
      <w:lvlJc w:val="left"/>
      <w:pPr>
        <w:ind w:left="720" w:hanging="360"/>
      </w:pPr>
      <w:rPr>
        <w:rFonts w:ascii="Century Gothic" w:eastAsiaTheme="minorHAnsi" w:hAnsi="Century Gothic"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25573C8C"/>
    <w:multiLevelType w:val="hybridMultilevel"/>
    <w:tmpl w:val="1CB805BE"/>
    <w:lvl w:ilvl="0" w:tplc="FF24D40A">
      <w:start w:val="1"/>
      <w:numFmt w:val="bullet"/>
      <w:lvlText w:val=""/>
      <w:lvlJc w:val="left"/>
      <w:pPr>
        <w:ind w:left="720" w:hanging="360"/>
      </w:pPr>
      <w:rPr>
        <w:rFonts w:ascii="Symbol" w:eastAsiaTheme="minorHAnsi" w:hAnsi="Symbol"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2D583D99"/>
    <w:multiLevelType w:val="hybridMultilevel"/>
    <w:tmpl w:val="E31E7664"/>
    <w:lvl w:ilvl="0" w:tplc="D89097F4">
      <w:numFmt w:val="bullet"/>
      <w:lvlText w:val="-"/>
      <w:lvlJc w:val="left"/>
      <w:pPr>
        <w:ind w:left="720" w:hanging="360"/>
      </w:pPr>
      <w:rPr>
        <w:rFonts w:ascii="Century Gothic" w:eastAsiaTheme="minorHAnsi" w:hAnsi="Century Gothic"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37DE744D"/>
    <w:multiLevelType w:val="hybridMultilevel"/>
    <w:tmpl w:val="FA48396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3A8F3758"/>
    <w:multiLevelType w:val="hybridMultilevel"/>
    <w:tmpl w:val="78CC87E0"/>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AC26093"/>
    <w:multiLevelType w:val="multilevel"/>
    <w:tmpl w:val="748CAF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D884ABE"/>
    <w:multiLevelType w:val="hybridMultilevel"/>
    <w:tmpl w:val="234ED6B8"/>
    <w:lvl w:ilvl="0" w:tplc="F40C390C">
      <w:start w:val="1"/>
      <w:numFmt w:val="decimal"/>
      <w:lvlText w:val="%1)"/>
      <w:lvlJc w:val="left"/>
      <w:pPr>
        <w:ind w:left="1080" w:hanging="360"/>
      </w:pPr>
    </w:lvl>
    <w:lvl w:ilvl="1" w:tplc="10E44434">
      <w:start w:val="1"/>
      <w:numFmt w:val="decimal"/>
      <w:lvlText w:val="%2)"/>
      <w:lvlJc w:val="left"/>
      <w:pPr>
        <w:ind w:left="1080" w:hanging="360"/>
      </w:pPr>
    </w:lvl>
    <w:lvl w:ilvl="2" w:tplc="EB86F502">
      <w:start w:val="1"/>
      <w:numFmt w:val="decimal"/>
      <w:lvlText w:val="%3)"/>
      <w:lvlJc w:val="left"/>
      <w:pPr>
        <w:ind w:left="1080" w:hanging="360"/>
      </w:pPr>
    </w:lvl>
    <w:lvl w:ilvl="3" w:tplc="E1AACE22">
      <w:start w:val="1"/>
      <w:numFmt w:val="decimal"/>
      <w:lvlText w:val="%4)"/>
      <w:lvlJc w:val="left"/>
      <w:pPr>
        <w:ind w:left="1080" w:hanging="360"/>
      </w:pPr>
    </w:lvl>
    <w:lvl w:ilvl="4" w:tplc="70CCA0B8">
      <w:start w:val="1"/>
      <w:numFmt w:val="decimal"/>
      <w:lvlText w:val="%5)"/>
      <w:lvlJc w:val="left"/>
      <w:pPr>
        <w:ind w:left="1080" w:hanging="360"/>
      </w:pPr>
    </w:lvl>
    <w:lvl w:ilvl="5" w:tplc="246CCECE">
      <w:start w:val="1"/>
      <w:numFmt w:val="decimal"/>
      <w:lvlText w:val="%6)"/>
      <w:lvlJc w:val="left"/>
      <w:pPr>
        <w:ind w:left="1080" w:hanging="360"/>
      </w:pPr>
    </w:lvl>
    <w:lvl w:ilvl="6" w:tplc="32E26312">
      <w:start w:val="1"/>
      <w:numFmt w:val="decimal"/>
      <w:lvlText w:val="%7)"/>
      <w:lvlJc w:val="left"/>
      <w:pPr>
        <w:ind w:left="1080" w:hanging="360"/>
      </w:pPr>
    </w:lvl>
    <w:lvl w:ilvl="7" w:tplc="33768924">
      <w:start w:val="1"/>
      <w:numFmt w:val="decimal"/>
      <w:lvlText w:val="%8)"/>
      <w:lvlJc w:val="left"/>
      <w:pPr>
        <w:ind w:left="1080" w:hanging="360"/>
      </w:pPr>
    </w:lvl>
    <w:lvl w:ilvl="8" w:tplc="D3760130">
      <w:start w:val="1"/>
      <w:numFmt w:val="decimal"/>
      <w:lvlText w:val="%9)"/>
      <w:lvlJc w:val="left"/>
      <w:pPr>
        <w:ind w:left="1080" w:hanging="360"/>
      </w:pPr>
    </w:lvl>
  </w:abstractNum>
  <w:abstractNum w:abstractNumId="12" w15:restartNumberingAfterBreak="0">
    <w:nsid w:val="3E601CDE"/>
    <w:multiLevelType w:val="hybridMultilevel"/>
    <w:tmpl w:val="BAD646A8"/>
    <w:lvl w:ilvl="0" w:tplc="697C4238">
      <w:numFmt w:val="bullet"/>
      <w:lvlText w:val="-"/>
      <w:lvlJc w:val="left"/>
      <w:pPr>
        <w:ind w:left="1440" w:hanging="360"/>
      </w:pPr>
      <w:rPr>
        <w:rFonts w:ascii="Century Gothic" w:eastAsiaTheme="minorHAnsi" w:hAnsi="Century Gothic" w:cs="Aria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3" w15:restartNumberingAfterBreak="0">
    <w:nsid w:val="403739E8"/>
    <w:multiLevelType w:val="hybridMultilevel"/>
    <w:tmpl w:val="62A4C9D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445251B5"/>
    <w:multiLevelType w:val="hybridMultilevel"/>
    <w:tmpl w:val="898EA0EC"/>
    <w:lvl w:ilvl="0" w:tplc="66D093D0">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44826BC9"/>
    <w:multiLevelType w:val="hybridMultilevel"/>
    <w:tmpl w:val="7D0221C4"/>
    <w:lvl w:ilvl="0" w:tplc="0C80C484">
      <w:numFmt w:val="bullet"/>
      <w:lvlText w:val="-"/>
      <w:lvlJc w:val="left"/>
      <w:pPr>
        <w:ind w:left="1080" w:hanging="360"/>
      </w:pPr>
      <w:rPr>
        <w:rFonts w:ascii="Century Gothic" w:eastAsiaTheme="minorHAnsi" w:hAnsi="Century Gothic" w:cs="Aria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6" w15:restartNumberingAfterBreak="0">
    <w:nsid w:val="460B5F31"/>
    <w:multiLevelType w:val="hybridMultilevel"/>
    <w:tmpl w:val="2D1AACE2"/>
    <w:lvl w:ilvl="0" w:tplc="14C64B40">
      <w:numFmt w:val="bullet"/>
      <w:lvlText w:val="-"/>
      <w:lvlJc w:val="left"/>
      <w:pPr>
        <w:ind w:left="1080" w:hanging="360"/>
      </w:pPr>
      <w:rPr>
        <w:rFonts w:ascii="Century Gothic" w:eastAsiaTheme="minorHAnsi" w:hAnsi="Century Gothic" w:cs="Aria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7" w15:restartNumberingAfterBreak="0">
    <w:nsid w:val="57396F58"/>
    <w:multiLevelType w:val="hybridMultilevel"/>
    <w:tmpl w:val="7C6CB31E"/>
    <w:lvl w:ilvl="0" w:tplc="C51657E6">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6BB24CF8"/>
    <w:multiLevelType w:val="hybridMultilevel"/>
    <w:tmpl w:val="699CE312"/>
    <w:lvl w:ilvl="0" w:tplc="66D093D0">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744C562A"/>
    <w:multiLevelType w:val="hybridMultilevel"/>
    <w:tmpl w:val="96F6F938"/>
    <w:lvl w:ilvl="0" w:tplc="6F2C76BE">
      <w:start w:val="1"/>
      <w:numFmt w:val="bullet"/>
      <w:lvlText w:val=""/>
      <w:lvlJc w:val="left"/>
      <w:pPr>
        <w:ind w:left="1080" w:hanging="360"/>
      </w:pPr>
      <w:rPr>
        <w:rFonts w:ascii="Symbol" w:hAnsi="Symbol"/>
      </w:rPr>
    </w:lvl>
    <w:lvl w:ilvl="1" w:tplc="DEDE90DA">
      <w:start w:val="1"/>
      <w:numFmt w:val="bullet"/>
      <w:lvlText w:val=""/>
      <w:lvlJc w:val="left"/>
      <w:pPr>
        <w:ind w:left="1080" w:hanging="360"/>
      </w:pPr>
      <w:rPr>
        <w:rFonts w:ascii="Symbol" w:hAnsi="Symbol"/>
      </w:rPr>
    </w:lvl>
    <w:lvl w:ilvl="2" w:tplc="87C2827A">
      <w:start w:val="1"/>
      <w:numFmt w:val="bullet"/>
      <w:lvlText w:val=""/>
      <w:lvlJc w:val="left"/>
      <w:pPr>
        <w:ind w:left="1080" w:hanging="360"/>
      </w:pPr>
      <w:rPr>
        <w:rFonts w:ascii="Symbol" w:hAnsi="Symbol"/>
      </w:rPr>
    </w:lvl>
    <w:lvl w:ilvl="3" w:tplc="EF787F68">
      <w:start w:val="1"/>
      <w:numFmt w:val="bullet"/>
      <w:lvlText w:val=""/>
      <w:lvlJc w:val="left"/>
      <w:pPr>
        <w:ind w:left="1080" w:hanging="360"/>
      </w:pPr>
      <w:rPr>
        <w:rFonts w:ascii="Symbol" w:hAnsi="Symbol"/>
      </w:rPr>
    </w:lvl>
    <w:lvl w:ilvl="4" w:tplc="3AC87FDC">
      <w:start w:val="1"/>
      <w:numFmt w:val="bullet"/>
      <w:lvlText w:val=""/>
      <w:lvlJc w:val="left"/>
      <w:pPr>
        <w:ind w:left="1080" w:hanging="360"/>
      </w:pPr>
      <w:rPr>
        <w:rFonts w:ascii="Symbol" w:hAnsi="Symbol"/>
      </w:rPr>
    </w:lvl>
    <w:lvl w:ilvl="5" w:tplc="A926B7A2">
      <w:start w:val="1"/>
      <w:numFmt w:val="bullet"/>
      <w:lvlText w:val=""/>
      <w:lvlJc w:val="left"/>
      <w:pPr>
        <w:ind w:left="1080" w:hanging="360"/>
      </w:pPr>
      <w:rPr>
        <w:rFonts w:ascii="Symbol" w:hAnsi="Symbol"/>
      </w:rPr>
    </w:lvl>
    <w:lvl w:ilvl="6" w:tplc="305234C4">
      <w:start w:val="1"/>
      <w:numFmt w:val="bullet"/>
      <w:lvlText w:val=""/>
      <w:lvlJc w:val="left"/>
      <w:pPr>
        <w:ind w:left="1080" w:hanging="360"/>
      </w:pPr>
      <w:rPr>
        <w:rFonts w:ascii="Symbol" w:hAnsi="Symbol"/>
      </w:rPr>
    </w:lvl>
    <w:lvl w:ilvl="7" w:tplc="A036DFDA">
      <w:start w:val="1"/>
      <w:numFmt w:val="bullet"/>
      <w:lvlText w:val=""/>
      <w:lvlJc w:val="left"/>
      <w:pPr>
        <w:ind w:left="1080" w:hanging="360"/>
      </w:pPr>
      <w:rPr>
        <w:rFonts w:ascii="Symbol" w:hAnsi="Symbol"/>
      </w:rPr>
    </w:lvl>
    <w:lvl w:ilvl="8" w:tplc="7158D2E8">
      <w:start w:val="1"/>
      <w:numFmt w:val="bullet"/>
      <w:lvlText w:val=""/>
      <w:lvlJc w:val="left"/>
      <w:pPr>
        <w:ind w:left="1080" w:hanging="360"/>
      </w:pPr>
      <w:rPr>
        <w:rFonts w:ascii="Symbol" w:hAnsi="Symbol"/>
      </w:rPr>
    </w:lvl>
  </w:abstractNum>
  <w:abstractNum w:abstractNumId="20" w15:restartNumberingAfterBreak="0">
    <w:nsid w:val="7A0A29BC"/>
    <w:multiLevelType w:val="hybridMultilevel"/>
    <w:tmpl w:val="0EF8A44C"/>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B927332"/>
    <w:multiLevelType w:val="hybridMultilevel"/>
    <w:tmpl w:val="0EF8A44C"/>
    <w:lvl w:ilvl="0" w:tplc="66D093D0">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792288689">
    <w:abstractNumId w:val="3"/>
  </w:num>
  <w:num w:numId="2" w16cid:durableId="1251231551">
    <w:abstractNumId w:val="10"/>
  </w:num>
  <w:num w:numId="3" w16cid:durableId="1766806504">
    <w:abstractNumId w:val="0"/>
  </w:num>
  <w:num w:numId="4" w16cid:durableId="255409447">
    <w:abstractNumId w:val="21"/>
  </w:num>
  <w:num w:numId="5" w16cid:durableId="2057731876">
    <w:abstractNumId w:val="9"/>
  </w:num>
  <w:num w:numId="6" w16cid:durableId="1016611565">
    <w:abstractNumId w:val="8"/>
  </w:num>
  <w:num w:numId="7" w16cid:durableId="1109395724">
    <w:abstractNumId w:val="20"/>
  </w:num>
  <w:num w:numId="8" w16cid:durableId="582375948">
    <w:abstractNumId w:val="18"/>
  </w:num>
  <w:num w:numId="9" w16cid:durableId="1604412694">
    <w:abstractNumId w:val="14"/>
  </w:num>
  <w:num w:numId="10" w16cid:durableId="1707020961">
    <w:abstractNumId w:val="17"/>
  </w:num>
  <w:num w:numId="11" w16cid:durableId="1610504168">
    <w:abstractNumId w:val="4"/>
  </w:num>
  <w:num w:numId="12" w16cid:durableId="1180512045">
    <w:abstractNumId w:val="1"/>
  </w:num>
  <w:num w:numId="13" w16cid:durableId="968239750">
    <w:abstractNumId w:val="6"/>
  </w:num>
  <w:num w:numId="14" w16cid:durableId="1720546117">
    <w:abstractNumId w:val="7"/>
  </w:num>
  <w:num w:numId="15" w16cid:durableId="1469933861">
    <w:abstractNumId w:val="2"/>
  </w:num>
  <w:num w:numId="16" w16cid:durableId="1032418501">
    <w:abstractNumId w:val="15"/>
  </w:num>
  <w:num w:numId="17" w16cid:durableId="5064122">
    <w:abstractNumId w:val="12"/>
  </w:num>
  <w:num w:numId="18" w16cid:durableId="527331614">
    <w:abstractNumId w:val="5"/>
  </w:num>
  <w:num w:numId="19" w16cid:durableId="1023478841">
    <w:abstractNumId w:val="16"/>
  </w:num>
  <w:num w:numId="20" w16cid:durableId="236550430">
    <w:abstractNumId w:val="13"/>
  </w:num>
  <w:num w:numId="21" w16cid:durableId="1434548230">
    <w:abstractNumId w:val="19"/>
  </w:num>
  <w:num w:numId="22" w16cid:durableId="209204569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30CC"/>
    <w:rsid w:val="00001447"/>
    <w:rsid w:val="00004F38"/>
    <w:rsid w:val="00005144"/>
    <w:rsid w:val="00023A0D"/>
    <w:rsid w:val="00023E42"/>
    <w:rsid w:val="00037F4D"/>
    <w:rsid w:val="000434F4"/>
    <w:rsid w:val="000442AC"/>
    <w:rsid w:val="00051A85"/>
    <w:rsid w:val="00051D87"/>
    <w:rsid w:val="00052679"/>
    <w:rsid w:val="000571E6"/>
    <w:rsid w:val="000635C7"/>
    <w:rsid w:val="00066D2A"/>
    <w:rsid w:val="00073A65"/>
    <w:rsid w:val="00096A3C"/>
    <w:rsid w:val="000A18E0"/>
    <w:rsid w:val="000A3187"/>
    <w:rsid w:val="000A420D"/>
    <w:rsid w:val="000A56DC"/>
    <w:rsid w:val="000B2529"/>
    <w:rsid w:val="000B4C8C"/>
    <w:rsid w:val="000B6107"/>
    <w:rsid w:val="000C12E1"/>
    <w:rsid w:val="000D0794"/>
    <w:rsid w:val="000D3292"/>
    <w:rsid w:val="000E184C"/>
    <w:rsid w:val="000F697B"/>
    <w:rsid w:val="000F6D80"/>
    <w:rsid w:val="0010045F"/>
    <w:rsid w:val="001007F0"/>
    <w:rsid w:val="00101995"/>
    <w:rsid w:val="00102B2D"/>
    <w:rsid w:val="0011005C"/>
    <w:rsid w:val="00120D8A"/>
    <w:rsid w:val="00121A47"/>
    <w:rsid w:val="00125EAC"/>
    <w:rsid w:val="00125F0A"/>
    <w:rsid w:val="001318CB"/>
    <w:rsid w:val="00133A82"/>
    <w:rsid w:val="0013622A"/>
    <w:rsid w:val="001363A6"/>
    <w:rsid w:val="00136D31"/>
    <w:rsid w:val="001375D9"/>
    <w:rsid w:val="00140830"/>
    <w:rsid w:val="001456FC"/>
    <w:rsid w:val="0014726E"/>
    <w:rsid w:val="0015197A"/>
    <w:rsid w:val="00157340"/>
    <w:rsid w:val="00162D8D"/>
    <w:rsid w:val="00170827"/>
    <w:rsid w:val="00187F3C"/>
    <w:rsid w:val="00191E83"/>
    <w:rsid w:val="00195435"/>
    <w:rsid w:val="001A2E4B"/>
    <w:rsid w:val="001A7017"/>
    <w:rsid w:val="001B514D"/>
    <w:rsid w:val="001B65B6"/>
    <w:rsid w:val="001B77D7"/>
    <w:rsid w:val="001C17EA"/>
    <w:rsid w:val="001C22A8"/>
    <w:rsid w:val="001C7D6C"/>
    <w:rsid w:val="001D190C"/>
    <w:rsid w:val="001D23D2"/>
    <w:rsid w:val="001D326B"/>
    <w:rsid w:val="001D38A2"/>
    <w:rsid w:val="001E1044"/>
    <w:rsid w:val="001E15E3"/>
    <w:rsid w:val="001F1881"/>
    <w:rsid w:val="001F1D87"/>
    <w:rsid w:val="001F3BBA"/>
    <w:rsid w:val="001F4DF0"/>
    <w:rsid w:val="001F565A"/>
    <w:rsid w:val="001F71E4"/>
    <w:rsid w:val="00206955"/>
    <w:rsid w:val="002102D3"/>
    <w:rsid w:val="002108F7"/>
    <w:rsid w:val="00210B33"/>
    <w:rsid w:val="00215B73"/>
    <w:rsid w:val="0022064B"/>
    <w:rsid w:val="00220A89"/>
    <w:rsid w:val="002222B4"/>
    <w:rsid w:val="00223541"/>
    <w:rsid w:val="00224B7B"/>
    <w:rsid w:val="00227A59"/>
    <w:rsid w:val="002308F0"/>
    <w:rsid w:val="00242BD1"/>
    <w:rsid w:val="00246CD7"/>
    <w:rsid w:val="00247F9E"/>
    <w:rsid w:val="00262E2B"/>
    <w:rsid w:val="00272111"/>
    <w:rsid w:val="002802FE"/>
    <w:rsid w:val="00284941"/>
    <w:rsid w:val="002963EB"/>
    <w:rsid w:val="002968E4"/>
    <w:rsid w:val="002A45A4"/>
    <w:rsid w:val="002C0668"/>
    <w:rsid w:val="002C1892"/>
    <w:rsid w:val="002C327F"/>
    <w:rsid w:val="002C35F1"/>
    <w:rsid w:val="002C6BB6"/>
    <w:rsid w:val="002D106C"/>
    <w:rsid w:val="002D5281"/>
    <w:rsid w:val="002D5D2B"/>
    <w:rsid w:val="002E0B21"/>
    <w:rsid w:val="002E1D08"/>
    <w:rsid w:val="002E3220"/>
    <w:rsid w:val="002F0B5E"/>
    <w:rsid w:val="002F6056"/>
    <w:rsid w:val="00313222"/>
    <w:rsid w:val="003256D5"/>
    <w:rsid w:val="003357DA"/>
    <w:rsid w:val="00336324"/>
    <w:rsid w:val="003446DB"/>
    <w:rsid w:val="00346234"/>
    <w:rsid w:val="003518FA"/>
    <w:rsid w:val="003523BD"/>
    <w:rsid w:val="00360AB6"/>
    <w:rsid w:val="00364DDA"/>
    <w:rsid w:val="003709A8"/>
    <w:rsid w:val="0037348B"/>
    <w:rsid w:val="00375157"/>
    <w:rsid w:val="0037659C"/>
    <w:rsid w:val="003767CB"/>
    <w:rsid w:val="0038363A"/>
    <w:rsid w:val="003A1E0E"/>
    <w:rsid w:val="003A435A"/>
    <w:rsid w:val="003A5333"/>
    <w:rsid w:val="003B4674"/>
    <w:rsid w:val="003B7827"/>
    <w:rsid w:val="003C038D"/>
    <w:rsid w:val="003C5866"/>
    <w:rsid w:val="003C6F36"/>
    <w:rsid w:val="003E025E"/>
    <w:rsid w:val="003E0E60"/>
    <w:rsid w:val="003E143C"/>
    <w:rsid w:val="003E1D76"/>
    <w:rsid w:val="003E3B1E"/>
    <w:rsid w:val="0040422E"/>
    <w:rsid w:val="004048F2"/>
    <w:rsid w:val="0041231E"/>
    <w:rsid w:val="00412B81"/>
    <w:rsid w:val="004154E6"/>
    <w:rsid w:val="0042462A"/>
    <w:rsid w:val="0042599F"/>
    <w:rsid w:val="00432336"/>
    <w:rsid w:val="00433CE9"/>
    <w:rsid w:val="004347AF"/>
    <w:rsid w:val="00435CE8"/>
    <w:rsid w:val="00441DBC"/>
    <w:rsid w:val="00442FCE"/>
    <w:rsid w:val="00452A07"/>
    <w:rsid w:val="004574C5"/>
    <w:rsid w:val="004616A6"/>
    <w:rsid w:val="00461914"/>
    <w:rsid w:val="00466E7C"/>
    <w:rsid w:val="0047201A"/>
    <w:rsid w:val="004766EE"/>
    <w:rsid w:val="00480A27"/>
    <w:rsid w:val="004856C7"/>
    <w:rsid w:val="004925C2"/>
    <w:rsid w:val="00492C41"/>
    <w:rsid w:val="00495A53"/>
    <w:rsid w:val="004A37CB"/>
    <w:rsid w:val="004A6EEB"/>
    <w:rsid w:val="004B21CF"/>
    <w:rsid w:val="004B36B5"/>
    <w:rsid w:val="004B6D35"/>
    <w:rsid w:val="004C2DD7"/>
    <w:rsid w:val="004E2237"/>
    <w:rsid w:val="004E2636"/>
    <w:rsid w:val="004E4643"/>
    <w:rsid w:val="004E67D6"/>
    <w:rsid w:val="004F1002"/>
    <w:rsid w:val="0050284F"/>
    <w:rsid w:val="00505AAB"/>
    <w:rsid w:val="00507419"/>
    <w:rsid w:val="005109C8"/>
    <w:rsid w:val="005164E9"/>
    <w:rsid w:val="00530C40"/>
    <w:rsid w:val="00533198"/>
    <w:rsid w:val="005374FD"/>
    <w:rsid w:val="00540291"/>
    <w:rsid w:val="00541073"/>
    <w:rsid w:val="00541516"/>
    <w:rsid w:val="005518F6"/>
    <w:rsid w:val="00552AC9"/>
    <w:rsid w:val="005540DD"/>
    <w:rsid w:val="0055518D"/>
    <w:rsid w:val="00555F78"/>
    <w:rsid w:val="00557AD1"/>
    <w:rsid w:val="0056581E"/>
    <w:rsid w:val="005755C8"/>
    <w:rsid w:val="00580B96"/>
    <w:rsid w:val="00581DA1"/>
    <w:rsid w:val="00587946"/>
    <w:rsid w:val="00594AB2"/>
    <w:rsid w:val="00597404"/>
    <w:rsid w:val="005A0B34"/>
    <w:rsid w:val="005A71D2"/>
    <w:rsid w:val="005B13E2"/>
    <w:rsid w:val="005B1AB5"/>
    <w:rsid w:val="005C0000"/>
    <w:rsid w:val="005C4EDF"/>
    <w:rsid w:val="005C5436"/>
    <w:rsid w:val="005D2BDF"/>
    <w:rsid w:val="005D6051"/>
    <w:rsid w:val="005D72D8"/>
    <w:rsid w:val="005E705B"/>
    <w:rsid w:val="005F5E53"/>
    <w:rsid w:val="0060223A"/>
    <w:rsid w:val="00616CC0"/>
    <w:rsid w:val="00616FB5"/>
    <w:rsid w:val="006230CC"/>
    <w:rsid w:val="00623AA1"/>
    <w:rsid w:val="00627280"/>
    <w:rsid w:val="00633947"/>
    <w:rsid w:val="00634907"/>
    <w:rsid w:val="00635B09"/>
    <w:rsid w:val="00635F86"/>
    <w:rsid w:val="00646D12"/>
    <w:rsid w:val="00647860"/>
    <w:rsid w:val="00650C57"/>
    <w:rsid w:val="00651BCC"/>
    <w:rsid w:val="006532F6"/>
    <w:rsid w:val="00657890"/>
    <w:rsid w:val="006607AF"/>
    <w:rsid w:val="00662D1E"/>
    <w:rsid w:val="00664A28"/>
    <w:rsid w:val="0067277A"/>
    <w:rsid w:val="006731E9"/>
    <w:rsid w:val="00677A81"/>
    <w:rsid w:val="00682115"/>
    <w:rsid w:val="00690679"/>
    <w:rsid w:val="006910BF"/>
    <w:rsid w:val="0069321B"/>
    <w:rsid w:val="00693314"/>
    <w:rsid w:val="006A33FD"/>
    <w:rsid w:val="006A394A"/>
    <w:rsid w:val="006A5DB6"/>
    <w:rsid w:val="006B333A"/>
    <w:rsid w:val="006B3CCC"/>
    <w:rsid w:val="006C33E4"/>
    <w:rsid w:val="006D17EA"/>
    <w:rsid w:val="006D68E8"/>
    <w:rsid w:val="006D7AB4"/>
    <w:rsid w:val="006E1E94"/>
    <w:rsid w:val="006E2A4E"/>
    <w:rsid w:val="006E37CC"/>
    <w:rsid w:val="006F088C"/>
    <w:rsid w:val="006F6A12"/>
    <w:rsid w:val="007041A4"/>
    <w:rsid w:val="007062A3"/>
    <w:rsid w:val="0070773E"/>
    <w:rsid w:val="00710E57"/>
    <w:rsid w:val="007112BE"/>
    <w:rsid w:val="00711D38"/>
    <w:rsid w:val="00733172"/>
    <w:rsid w:val="00733C21"/>
    <w:rsid w:val="00741161"/>
    <w:rsid w:val="007411D4"/>
    <w:rsid w:val="00744011"/>
    <w:rsid w:val="00744145"/>
    <w:rsid w:val="00753AB2"/>
    <w:rsid w:val="007575C4"/>
    <w:rsid w:val="00771CEA"/>
    <w:rsid w:val="00774BBF"/>
    <w:rsid w:val="00781A35"/>
    <w:rsid w:val="007842E3"/>
    <w:rsid w:val="0079450D"/>
    <w:rsid w:val="00795BDC"/>
    <w:rsid w:val="007A60EF"/>
    <w:rsid w:val="007A6A84"/>
    <w:rsid w:val="007B4741"/>
    <w:rsid w:val="007B4A2A"/>
    <w:rsid w:val="007C33CC"/>
    <w:rsid w:val="007C5F7A"/>
    <w:rsid w:val="007D4C88"/>
    <w:rsid w:val="007E423A"/>
    <w:rsid w:val="007E45D6"/>
    <w:rsid w:val="007E6BD0"/>
    <w:rsid w:val="007E7606"/>
    <w:rsid w:val="007E7A69"/>
    <w:rsid w:val="00801CE0"/>
    <w:rsid w:val="008040A6"/>
    <w:rsid w:val="00805216"/>
    <w:rsid w:val="00805F3E"/>
    <w:rsid w:val="00806F81"/>
    <w:rsid w:val="00811425"/>
    <w:rsid w:val="00811E7B"/>
    <w:rsid w:val="0081512D"/>
    <w:rsid w:val="00815D3B"/>
    <w:rsid w:val="00820AED"/>
    <w:rsid w:val="008259B5"/>
    <w:rsid w:val="00831443"/>
    <w:rsid w:val="00833382"/>
    <w:rsid w:val="008408F4"/>
    <w:rsid w:val="00843045"/>
    <w:rsid w:val="00843C92"/>
    <w:rsid w:val="0084718F"/>
    <w:rsid w:val="008563C3"/>
    <w:rsid w:val="008606F3"/>
    <w:rsid w:val="00864F47"/>
    <w:rsid w:val="00866A9A"/>
    <w:rsid w:val="008726F0"/>
    <w:rsid w:val="008849A6"/>
    <w:rsid w:val="008849BF"/>
    <w:rsid w:val="008856E5"/>
    <w:rsid w:val="00893A62"/>
    <w:rsid w:val="008A6290"/>
    <w:rsid w:val="008A67D3"/>
    <w:rsid w:val="008B2E29"/>
    <w:rsid w:val="008B3069"/>
    <w:rsid w:val="008B3DFF"/>
    <w:rsid w:val="008C7915"/>
    <w:rsid w:val="008E0899"/>
    <w:rsid w:val="008E32BA"/>
    <w:rsid w:val="008F0737"/>
    <w:rsid w:val="008F1316"/>
    <w:rsid w:val="008F31DF"/>
    <w:rsid w:val="009104EE"/>
    <w:rsid w:val="00910AFE"/>
    <w:rsid w:val="00916227"/>
    <w:rsid w:val="009226A7"/>
    <w:rsid w:val="00922856"/>
    <w:rsid w:val="00922A9A"/>
    <w:rsid w:val="00927842"/>
    <w:rsid w:val="00927F03"/>
    <w:rsid w:val="009319C2"/>
    <w:rsid w:val="009347AF"/>
    <w:rsid w:val="009428A2"/>
    <w:rsid w:val="009428A6"/>
    <w:rsid w:val="009470DE"/>
    <w:rsid w:val="00953560"/>
    <w:rsid w:val="009570F6"/>
    <w:rsid w:val="0096020C"/>
    <w:rsid w:val="0096289D"/>
    <w:rsid w:val="00962CCF"/>
    <w:rsid w:val="00963397"/>
    <w:rsid w:val="0097536E"/>
    <w:rsid w:val="00995E70"/>
    <w:rsid w:val="009972E3"/>
    <w:rsid w:val="009A079D"/>
    <w:rsid w:val="009A2520"/>
    <w:rsid w:val="009A289F"/>
    <w:rsid w:val="009B70F7"/>
    <w:rsid w:val="009D38C0"/>
    <w:rsid w:val="009E1F3F"/>
    <w:rsid w:val="009E293B"/>
    <w:rsid w:val="009E3634"/>
    <w:rsid w:val="009E5F6C"/>
    <w:rsid w:val="009F3941"/>
    <w:rsid w:val="009F3F92"/>
    <w:rsid w:val="00A00CA3"/>
    <w:rsid w:val="00A01C3E"/>
    <w:rsid w:val="00A02C48"/>
    <w:rsid w:val="00A02F0C"/>
    <w:rsid w:val="00A13FC3"/>
    <w:rsid w:val="00A1573E"/>
    <w:rsid w:val="00A16614"/>
    <w:rsid w:val="00A37FA9"/>
    <w:rsid w:val="00A401F5"/>
    <w:rsid w:val="00A5116C"/>
    <w:rsid w:val="00A61152"/>
    <w:rsid w:val="00A6233F"/>
    <w:rsid w:val="00A62A93"/>
    <w:rsid w:val="00A70E91"/>
    <w:rsid w:val="00A7264D"/>
    <w:rsid w:val="00A7468F"/>
    <w:rsid w:val="00A747AB"/>
    <w:rsid w:val="00A77FC0"/>
    <w:rsid w:val="00A85AAD"/>
    <w:rsid w:val="00A93E92"/>
    <w:rsid w:val="00AA1261"/>
    <w:rsid w:val="00AA695A"/>
    <w:rsid w:val="00AB2980"/>
    <w:rsid w:val="00AC28DF"/>
    <w:rsid w:val="00AC5522"/>
    <w:rsid w:val="00AD2192"/>
    <w:rsid w:val="00AD34E7"/>
    <w:rsid w:val="00AD7864"/>
    <w:rsid w:val="00AE0363"/>
    <w:rsid w:val="00AE1E32"/>
    <w:rsid w:val="00AE3E06"/>
    <w:rsid w:val="00AE5282"/>
    <w:rsid w:val="00AE6DD5"/>
    <w:rsid w:val="00B01298"/>
    <w:rsid w:val="00B01FD4"/>
    <w:rsid w:val="00B04082"/>
    <w:rsid w:val="00B11008"/>
    <w:rsid w:val="00B1153C"/>
    <w:rsid w:val="00B21375"/>
    <w:rsid w:val="00B22C94"/>
    <w:rsid w:val="00B23DFB"/>
    <w:rsid w:val="00B3550A"/>
    <w:rsid w:val="00B40452"/>
    <w:rsid w:val="00B50FE2"/>
    <w:rsid w:val="00B671D5"/>
    <w:rsid w:val="00B731CA"/>
    <w:rsid w:val="00B7541B"/>
    <w:rsid w:val="00B7786A"/>
    <w:rsid w:val="00B97B00"/>
    <w:rsid w:val="00BA3499"/>
    <w:rsid w:val="00BA5D3D"/>
    <w:rsid w:val="00BB0292"/>
    <w:rsid w:val="00BB0EA4"/>
    <w:rsid w:val="00BB13F0"/>
    <w:rsid w:val="00BB20A9"/>
    <w:rsid w:val="00BB4495"/>
    <w:rsid w:val="00BC2D97"/>
    <w:rsid w:val="00BC46F2"/>
    <w:rsid w:val="00BC5F9D"/>
    <w:rsid w:val="00BC7259"/>
    <w:rsid w:val="00BD2621"/>
    <w:rsid w:val="00BD6EF2"/>
    <w:rsid w:val="00BE1BB9"/>
    <w:rsid w:val="00BE69D6"/>
    <w:rsid w:val="00C01993"/>
    <w:rsid w:val="00C066F7"/>
    <w:rsid w:val="00C1249F"/>
    <w:rsid w:val="00C15D27"/>
    <w:rsid w:val="00C2069B"/>
    <w:rsid w:val="00C26152"/>
    <w:rsid w:val="00C2643D"/>
    <w:rsid w:val="00C30C71"/>
    <w:rsid w:val="00C31D31"/>
    <w:rsid w:val="00C378BD"/>
    <w:rsid w:val="00C42F97"/>
    <w:rsid w:val="00C464E6"/>
    <w:rsid w:val="00C470EF"/>
    <w:rsid w:val="00C62A5E"/>
    <w:rsid w:val="00C64880"/>
    <w:rsid w:val="00C71D22"/>
    <w:rsid w:val="00C72258"/>
    <w:rsid w:val="00C73CAC"/>
    <w:rsid w:val="00C75E43"/>
    <w:rsid w:val="00C76771"/>
    <w:rsid w:val="00C83AC6"/>
    <w:rsid w:val="00C934F5"/>
    <w:rsid w:val="00CA1A76"/>
    <w:rsid w:val="00CA1A97"/>
    <w:rsid w:val="00CA39D8"/>
    <w:rsid w:val="00CB4D7F"/>
    <w:rsid w:val="00CB76FB"/>
    <w:rsid w:val="00CC2DD9"/>
    <w:rsid w:val="00CC3E84"/>
    <w:rsid w:val="00CC5396"/>
    <w:rsid w:val="00CC5BBD"/>
    <w:rsid w:val="00CC605E"/>
    <w:rsid w:val="00CD4E04"/>
    <w:rsid w:val="00CE1772"/>
    <w:rsid w:val="00CE7BAD"/>
    <w:rsid w:val="00D126EE"/>
    <w:rsid w:val="00D1621A"/>
    <w:rsid w:val="00D21E52"/>
    <w:rsid w:val="00D31A54"/>
    <w:rsid w:val="00D427B9"/>
    <w:rsid w:val="00D475C5"/>
    <w:rsid w:val="00D50E70"/>
    <w:rsid w:val="00D515AC"/>
    <w:rsid w:val="00D53167"/>
    <w:rsid w:val="00D547DD"/>
    <w:rsid w:val="00D573CA"/>
    <w:rsid w:val="00D61B87"/>
    <w:rsid w:val="00D66745"/>
    <w:rsid w:val="00D73BCB"/>
    <w:rsid w:val="00D83E19"/>
    <w:rsid w:val="00D84348"/>
    <w:rsid w:val="00D845A5"/>
    <w:rsid w:val="00D94C4F"/>
    <w:rsid w:val="00DB393C"/>
    <w:rsid w:val="00DC0012"/>
    <w:rsid w:val="00DC218A"/>
    <w:rsid w:val="00DD4F83"/>
    <w:rsid w:val="00DD5656"/>
    <w:rsid w:val="00DD5809"/>
    <w:rsid w:val="00DF2C15"/>
    <w:rsid w:val="00DF3393"/>
    <w:rsid w:val="00DF48C4"/>
    <w:rsid w:val="00DF67EC"/>
    <w:rsid w:val="00DF6BDD"/>
    <w:rsid w:val="00E04A68"/>
    <w:rsid w:val="00E10EDC"/>
    <w:rsid w:val="00E13E15"/>
    <w:rsid w:val="00E15938"/>
    <w:rsid w:val="00E1775E"/>
    <w:rsid w:val="00E17783"/>
    <w:rsid w:val="00E21252"/>
    <w:rsid w:val="00E24C4B"/>
    <w:rsid w:val="00E26B22"/>
    <w:rsid w:val="00E26D10"/>
    <w:rsid w:val="00E3253A"/>
    <w:rsid w:val="00E4699B"/>
    <w:rsid w:val="00E50613"/>
    <w:rsid w:val="00E52F9B"/>
    <w:rsid w:val="00E53586"/>
    <w:rsid w:val="00E65EC1"/>
    <w:rsid w:val="00E74C63"/>
    <w:rsid w:val="00E75FD7"/>
    <w:rsid w:val="00E80405"/>
    <w:rsid w:val="00E82746"/>
    <w:rsid w:val="00E83D9B"/>
    <w:rsid w:val="00E90CA7"/>
    <w:rsid w:val="00E92D21"/>
    <w:rsid w:val="00E9778B"/>
    <w:rsid w:val="00EA0CB8"/>
    <w:rsid w:val="00EA1E83"/>
    <w:rsid w:val="00EC5AA3"/>
    <w:rsid w:val="00EC726F"/>
    <w:rsid w:val="00ED05D8"/>
    <w:rsid w:val="00ED39F9"/>
    <w:rsid w:val="00ED5E15"/>
    <w:rsid w:val="00EE1011"/>
    <w:rsid w:val="00EE6E24"/>
    <w:rsid w:val="00EE70C1"/>
    <w:rsid w:val="00EF3000"/>
    <w:rsid w:val="00EF49BD"/>
    <w:rsid w:val="00EF70BB"/>
    <w:rsid w:val="00F050A2"/>
    <w:rsid w:val="00F1615E"/>
    <w:rsid w:val="00F233F6"/>
    <w:rsid w:val="00F3106D"/>
    <w:rsid w:val="00F34474"/>
    <w:rsid w:val="00F37BFE"/>
    <w:rsid w:val="00F47A09"/>
    <w:rsid w:val="00F510A8"/>
    <w:rsid w:val="00F54028"/>
    <w:rsid w:val="00F54466"/>
    <w:rsid w:val="00F62CE8"/>
    <w:rsid w:val="00F67FAE"/>
    <w:rsid w:val="00F709E3"/>
    <w:rsid w:val="00F729F7"/>
    <w:rsid w:val="00F74D06"/>
    <w:rsid w:val="00F77823"/>
    <w:rsid w:val="00F80D3B"/>
    <w:rsid w:val="00F819C2"/>
    <w:rsid w:val="00F83CDF"/>
    <w:rsid w:val="00F85FC7"/>
    <w:rsid w:val="00FB7A03"/>
    <w:rsid w:val="00FC19BF"/>
    <w:rsid w:val="00FD1830"/>
    <w:rsid w:val="00FE0BE5"/>
    <w:rsid w:val="00FE12B7"/>
    <w:rsid w:val="00FE163B"/>
    <w:rsid w:val="00FE24D0"/>
    <w:rsid w:val="00FE4AB0"/>
    <w:rsid w:val="00FE6D24"/>
    <w:rsid w:val="06C9B3BC"/>
    <w:rsid w:val="0D72D348"/>
    <w:rsid w:val="5262420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2BB995"/>
  <w15:chartTrackingRefBased/>
  <w15:docId w15:val="{05B746D2-5B58-40A4-8C0B-9152600865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1F71E4"/>
    <w:pPr>
      <w:spacing w:after="0" w:line="480" w:lineRule="auto"/>
    </w:pPr>
    <w:rPr>
      <w:rFonts w:ascii="Arial" w:hAnsi="Arial" w:cs="Calibri"/>
      <w:sz w:val="20"/>
    </w:rPr>
  </w:style>
  <w:style w:type="paragraph" w:styleId="Titolo1">
    <w:name w:val="heading 1"/>
    <w:basedOn w:val="Normale"/>
    <w:next w:val="Normale"/>
    <w:link w:val="Titolo1Carattere"/>
    <w:uiPriority w:val="9"/>
    <w:qFormat/>
    <w:rsid w:val="00102B2D"/>
    <w:pPr>
      <w:keepNext/>
      <w:keepLines/>
      <w:spacing w:before="360" w:after="80"/>
      <w:outlineLvl w:val="0"/>
    </w:pPr>
    <w:rPr>
      <w:rFonts w:eastAsiaTheme="majorEastAsia" w:cstheme="majorBidi"/>
      <w:b/>
      <w:color w:val="000000" w:themeColor="text1"/>
      <w:sz w:val="32"/>
      <w:szCs w:val="40"/>
    </w:rPr>
  </w:style>
  <w:style w:type="paragraph" w:styleId="Titolo2">
    <w:name w:val="heading 2"/>
    <w:basedOn w:val="Normale"/>
    <w:next w:val="Normale"/>
    <w:link w:val="Titolo2Carattere"/>
    <w:uiPriority w:val="9"/>
    <w:unhideWhenUsed/>
    <w:qFormat/>
    <w:rsid w:val="00210B33"/>
    <w:pPr>
      <w:keepNext/>
      <w:keepLines/>
      <w:spacing w:before="160" w:after="80"/>
      <w:outlineLvl w:val="1"/>
    </w:pPr>
    <w:rPr>
      <w:rFonts w:eastAsiaTheme="majorEastAsia" w:cstheme="majorBidi"/>
      <w:color w:val="2F5496" w:themeColor="accent1" w:themeShade="BF"/>
      <w:sz w:val="32"/>
      <w:szCs w:val="32"/>
    </w:rPr>
  </w:style>
  <w:style w:type="paragraph" w:styleId="Titolo3">
    <w:name w:val="heading 3"/>
    <w:basedOn w:val="Normale"/>
    <w:next w:val="Normale"/>
    <w:link w:val="Titolo3Carattere"/>
    <w:uiPriority w:val="9"/>
    <w:unhideWhenUsed/>
    <w:qFormat/>
    <w:rsid w:val="00FB7A03"/>
    <w:pPr>
      <w:keepNext/>
      <w:keepLines/>
      <w:spacing w:before="160" w:after="80"/>
      <w:outlineLvl w:val="2"/>
    </w:pPr>
    <w:rPr>
      <w:rFonts w:eastAsiaTheme="majorEastAsia" w:cstheme="majorBidi"/>
      <w:color w:val="2F5496" w:themeColor="accent1" w:themeShade="BF"/>
      <w:sz w:val="28"/>
      <w:szCs w:val="28"/>
    </w:rPr>
  </w:style>
  <w:style w:type="paragraph" w:styleId="Titolo4">
    <w:name w:val="heading 4"/>
    <w:basedOn w:val="Normale"/>
    <w:next w:val="Normale"/>
    <w:link w:val="Titolo4Carattere"/>
    <w:uiPriority w:val="9"/>
    <w:semiHidden/>
    <w:unhideWhenUsed/>
    <w:qFormat/>
    <w:rsid w:val="006230CC"/>
    <w:pPr>
      <w:keepNext/>
      <w:keepLines/>
      <w:spacing w:before="80" w:after="40"/>
      <w:outlineLvl w:val="3"/>
    </w:pPr>
    <w:rPr>
      <w:rFonts w:eastAsiaTheme="majorEastAsia"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6230CC"/>
    <w:pPr>
      <w:keepNext/>
      <w:keepLines/>
      <w:spacing w:before="80" w:after="40"/>
      <w:outlineLvl w:val="4"/>
    </w:pPr>
    <w:rPr>
      <w:rFonts w:eastAsiaTheme="majorEastAsia" w:cstheme="majorBidi"/>
      <w:color w:val="2F5496" w:themeColor="accent1" w:themeShade="BF"/>
    </w:rPr>
  </w:style>
  <w:style w:type="paragraph" w:styleId="Titolo6">
    <w:name w:val="heading 6"/>
    <w:basedOn w:val="Normale"/>
    <w:next w:val="Normale"/>
    <w:link w:val="Titolo6Carattere"/>
    <w:uiPriority w:val="9"/>
    <w:semiHidden/>
    <w:unhideWhenUsed/>
    <w:qFormat/>
    <w:rsid w:val="006230CC"/>
    <w:pPr>
      <w:keepNext/>
      <w:keepLines/>
      <w:spacing w:before="4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6230CC"/>
    <w:pPr>
      <w:keepNext/>
      <w:keepLines/>
      <w:spacing w:before="4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6230CC"/>
    <w:pPr>
      <w:keepNext/>
      <w:keepLines/>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6230CC"/>
    <w:pPr>
      <w:keepNext/>
      <w:keepLines/>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102B2D"/>
    <w:rPr>
      <w:rFonts w:ascii="Arial" w:eastAsiaTheme="majorEastAsia" w:hAnsi="Arial" w:cstheme="majorBidi"/>
      <w:b/>
      <w:color w:val="000000" w:themeColor="text1"/>
      <w:sz w:val="32"/>
      <w:szCs w:val="40"/>
    </w:rPr>
  </w:style>
  <w:style w:type="character" w:customStyle="1" w:styleId="Titolo2Carattere">
    <w:name w:val="Titolo 2 Carattere"/>
    <w:basedOn w:val="Carpredefinitoparagrafo"/>
    <w:link w:val="Titolo2"/>
    <w:uiPriority w:val="9"/>
    <w:rsid w:val="00210B33"/>
    <w:rPr>
      <w:rFonts w:ascii="Arial" w:eastAsiaTheme="majorEastAsia" w:hAnsi="Arial" w:cstheme="majorBidi"/>
      <w:color w:val="2F5496" w:themeColor="accent1" w:themeShade="BF"/>
      <w:sz w:val="32"/>
      <w:szCs w:val="32"/>
    </w:rPr>
  </w:style>
  <w:style w:type="character" w:customStyle="1" w:styleId="Titolo3Carattere">
    <w:name w:val="Titolo 3 Carattere"/>
    <w:basedOn w:val="Carpredefinitoparagrafo"/>
    <w:link w:val="Titolo3"/>
    <w:uiPriority w:val="9"/>
    <w:rsid w:val="00FB7A03"/>
    <w:rPr>
      <w:rFonts w:ascii="Arial" w:eastAsiaTheme="majorEastAsia" w:hAnsi="Arial" w:cstheme="majorBidi"/>
      <w:color w:val="2F5496" w:themeColor="accent1" w:themeShade="BF"/>
      <w:sz w:val="28"/>
      <w:szCs w:val="28"/>
    </w:rPr>
  </w:style>
  <w:style w:type="character" w:customStyle="1" w:styleId="Titolo4Carattere">
    <w:name w:val="Titolo 4 Carattere"/>
    <w:basedOn w:val="Carpredefinitoparagrafo"/>
    <w:link w:val="Titolo4"/>
    <w:uiPriority w:val="9"/>
    <w:semiHidden/>
    <w:rsid w:val="006230CC"/>
    <w:rPr>
      <w:rFonts w:eastAsiaTheme="majorEastAsia" w:cstheme="majorBidi"/>
      <w:i/>
      <w:iCs/>
      <w:color w:val="2F5496" w:themeColor="accent1" w:themeShade="BF"/>
    </w:rPr>
  </w:style>
  <w:style w:type="character" w:customStyle="1" w:styleId="Titolo5Carattere">
    <w:name w:val="Titolo 5 Carattere"/>
    <w:basedOn w:val="Carpredefinitoparagrafo"/>
    <w:link w:val="Titolo5"/>
    <w:uiPriority w:val="9"/>
    <w:semiHidden/>
    <w:rsid w:val="006230CC"/>
    <w:rPr>
      <w:rFonts w:eastAsiaTheme="majorEastAsia" w:cstheme="majorBidi"/>
      <w:color w:val="2F5496" w:themeColor="accent1" w:themeShade="BF"/>
    </w:rPr>
  </w:style>
  <w:style w:type="character" w:customStyle="1" w:styleId="Titolo6Carattere">
    <w:name w:val="Titolo 6 Carattere"/>
    <w:basedOn w:val="Carpredefinitoparagrafo"/>
    <w:link w:val="Titolo6"/>
    <w:uiPriority w:val="9"/>
    <w:semiHidden/>
    <w:rsid w:val="006230CC"/>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6230CC"/>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6230CC"/>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6230CC"/>
    <w:rPr>
      <w:rFonts w:eastAsiaTheme="majorEastAsia" w:cstheme="majorBidi"/>
      <w:color w:val="272727" w:themeColor="text1" w:themeTint="D8"/>
    </w:rPr>
  </w:style>
  <w:style w:type="paragraph" w:styleId="Titolo">
    <w:name w:val="Title"/>
    <w:basedOn w:val="Normale"/>
    <w:next w:val="Normale"/>
    <w:link w:val="TitoloCarattere"/>
    <w:uiPriority w:val="10"/>
    <w:qFormat/>
    <w:rsid w:val="006230CC"/>
    <w:pPr>
      <w:spacing w:after="80"/>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6230CC"/>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6230CC"/>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6230CC"/>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6230CC"/>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6230CC"/>
    <w:rPr>
      <w:i/>
      <w:iCs/>
      <w:color w:val="404040" w:themeColor="text1" w:themeTint="BF"/>
    </w:rPr>
  </w:style>
  <w:style w:type="paragraph" w:styleId="Paragrafoelenco">
    <w:name w:val="List Paragraph"/>
    <w:basedOn w:val="Normale"/>
    <w:uiPriority w:val="34"/>
    <w:qFormat/>
    <w:rsid w:val="006230CC"/>
    <w:pPr>
      <w:ind w:left="720"/>
      <w:contextualSpacing/>
    </w:pPr>
  </w:style>
  <w:style w:type="character" w:styleId="Enfasiintensa">
    <w:name w:val="Intense Emphasis"/>
    <w:basedOn w:val="Carpredefinitoparagrafo"/>
    <w:uiPriority w:val="21"/>
    <w:qFormat/>
    <w:rsid w:val="006230CC"/>
    <w:rPr>
      <w:i/>
      <w:iCs/>
      <w:color w:val="2F5496" w:themeColor="accent1" w:themeShade="BF"/>
    </w:rPr>
  </w:style>
  <w:style w:type="paragraph" w:styleId="Citazioneintensa">
    <w:name w:val="Intense Quote"/>
    <w:basedOn w:val="Normale"/>
    <w:next w:val="Normale"/>
    <w:link w:val="CitazioneintensaCarattere"/>
    <w:uiPriority w:val="30"/>
    <w:qFormat/>
    <w:rsid w:val="006230C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zioneintensaCarattere">
    <w:name w:val="Citazione intensa Carattere"/>
    <w:basedOn w:val="Carpredefinitoparagrafo"/>
    <w:link w:val="Citazioneintensa"/>
    <w:uiPriority w:val="30"/>
    <w:rsid w:val="006230CC"/>
    <w:rPr>
      <w:i/>
      <w:iCs/>
      <w:color w:val="2F5496" w:themeColor="accent1" w:themeShade="BF"/>
    </w:rPr>
  </w:style>
  <w:style w:type="character" w:styleId="Riferimentointenso">
    <w:name w:val="Intense Reference"/>
    <w:basedOn w:val="Carpredefinitoparagrafo"/>
    <w:uiPriority w:val="32"/>
    <w:qFormat/>
    <w:rsid w:val="006230CC"/>
    <w:rPr>
      <w:b/>
      <w:bCs/>
      <w:smallCaps/>
      <w:color w:val="2F5496" w:themeColor="accent1" w:themeShade="BF"/>
      <w:spacing w:val="5"/>
    </w:rPr>
  </w:style>
  <w:style w:type="character" w:styleId="Rimandocommento">
    <w:name w:val="annotation reference"/>
    <w:basedOn w:val="Carpredefinitoparagrafo"/>
    <w:uiPriority w:val="99"/>
    <w:unhideWhenUsed/>
    <w:rsid w:val="005C5436"/>
    <w:rPr>
      <w:sz w:val="16"/>
      <w:szCs w:val="16"/>
    </w:rPr>
  </w:style>
  <w:style w:type="character" w:styleId="Collegamentoipertestuale">
    <w:name w:val="Hyperlink"/>
    <w:basedOn w:val="Carpredefinitoparagrafo"/>
    <w:uiPriority w:val="99"/>
    <w:unhideWhenUsed/>
    <w:rsid w:val="005C5436"/>
    <w:rPr>
      <w:color w:val="0563C1" w:themeColor="hyperlink"/>
      <w:u w:val="single"/>
    </w:rPr>
  </w:style>
  <w:style w:type="table" w:customStyle="1" w:styleId="TableGrid2">
    <w:name w:val="Table Grid2"/>
    <w:basedOn w:val="Tabellanormale"/>
    <w:next w:val="Grigliatabella"/>
    <w:uiPriority w:val="59"/>
    <w:rsid w:val="005C5436"/>
    <w:pPr>
      <w:spacing w:after="200" w:line="276" w:lineRule="auto"/>
    </w:pPr>
    <w:rPr>
      <w:rFonts w:ascii="Calibri" w:eastAsia="Calibri" w:hAnsi="Calibri"/>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f0">
    <w:name w:val="pf0"/>
    <w:basedOn w:val="Normale"/>
    <w:rsid w:val="005C5436"/>
    <w:pPr>
      <w:spacing w:before="100" w:beforeAutospacing="1" w:after="100" w:afterAutospacing="1"/>
    </w:pPr>
    <w:rPr>
      <w:rFonts w:ascii="Times New Roman" w:eastAsia="Times New Roman" w:hAnsi="Times New Roman" w:cs="Times New Roman"/>
      <w:kern w:val="0"/>
      <w:sz w:val="24"/>
      <w:szCs w:val="24"/>
      <w:lang w:eastAsia="it-IT"/>
      <w14:ligatures w14:val="none"/>
    </w:rPr>
  </w:style>
  <w:style w:type="character" w:customStyle="1" w:styleId="cf01">
    <w:name w:val="cf01"/>
    <w:basedOn w:val="Carpredefinitoparagrafo"/>
    <w:rsid w:val="005C5436"/>
    <w:rPr>
      <w:rFonts w:ascii="Segoe UI" w:hAnsi="Segoe UI" w:cs="Segoe UI" w:hint="default"/>
      <w:sz w:val="18"/>
      <w:szCs w:val="18"/>
    </w:rPr>
  </w:style>
  <w:style w:type="table" w:styleId="Grigliatabella">
    <w:name w:val="Table Grid"/>
    <w:aliases w:val="Dossier table,Summary Table,RTI AMCP Table"/>
    <w:basedOn w:val="Tabellanormale"/>
    <w:uiPriority w:val="39"/>
    <w:rsid w:val="005C54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eroriga">
    <w:name w:val="line number"/>
    <w:basedOn w:val="Carpredefinitoparagrafo"/>
    <w:uiPriority w:val="99"/>
    <w:semiHidden/>
    <w:unhideWhenUsed/>
    <w:rsid w:val="005C5436"/>
  </w:style>
  <w:style w:type="character" w:styleId="Testosegnaposto">
    <w:name w:val="Placeholder Text"/>
    <w:basedOn w:val="Carpredefinitoparagrafo"/>
    <w:uiPriority w:val="99"/>
    <w:semiHidden/>
    <w:rsid w:val="005C5436"/>
    <w:rPr>
      <w:color w:val="666666"/>
    </w:rPr>
  </w:style>
  <w:style w:type="character" w:styleId="Collegamentovisitato">
    <w:name w:val="FollowedHyperlink"/>
    <w:basedOn w:val="Carpredefinitoparagrafo"/>
    <w:uiPriority w:val="99"/>
    <w:semiHidden/>
    <w:unhideWhenUsed/>
    <w:rsid w:val="005C5436"/>
    <w:rPr>
      <w:color w:val="954F72" w:themeColor="followedHyperlink"/>
      <w:u w:val="single"/>
    </w:rPr>
  </w:style>
  <w:style w:type="paragraph" w:styleId="Testonotaapidipagina">
    <w:name w:val="footnote text"/>
    <w:basedOn w:val="Normale"/>
    <w:link w:val="TestonotaapidipaginaCarattere"/>
    <w:uiPriority w:val="99"/>
    <w:unhideWhenUsed/>
    <w:rsid w:val="005C5436"/>
    <w:pPr>
      <w:contextualSpacing/>
      <w:jc w:val="both"/>
    </w:pPr>
    <w:rPr>
      <w:rFonts w:ascii="Cambria" w:hAnsi="Cambria" w:cstheme="minorBidi"/>
      <w:kern w:val="0"/>
      <w:szCs w:val="20"/>
      <w14:ligatures w14:val="none"/>
    </w:rPr>
  </w:style>
  <w:style w:type="character" w:customStyle="1" w:styleId="TestonotaapidipaginaCarattere">
    <w:name w:val="Testo nota a piè di pagina Carattere"/>
    <w:basedOn w:val="Carpredefinitoparagrafo"/>
    <w:link w:val="Testonotaapidipagina"/>
    <w:uiPriority w:val="99"/>
    <w:rsid w:val="005C5436"/>
    <w:rPr>
      <w:rFonts w:ascii="Cambria" w:hAnsi="Cambria"/>
      <w:kern w:val="0"/>
      <w:sz w:val="20"/>
      <w:szCs w:val="20"/>
      <w14:ligatures w14:val="none"/>
    </w:rPr>
  </w:style>
  <w:style w:type="character" w:styleId="Rimandonotaapidipagina">
    <w:name w:val="footnote reference"/>
    <w:basedOn w:val="Carpredefinitoparagrafo"/>
    <w:uiPriority w:val="99"/>
    <w:unhideWhenUsed/>
    <w:rsid w:val="005C5436"/>
    <w:rPr>
      <w:vertAlign w:val="superscript"/>
    </w:rPr>
  </w:style>
  <w:style w:type="paragraph" w:styleId="Didascalia">
    <w:name w:val="caption"/>
    <w:basedOn w:val="Normale"/>
    <w:next w:val="Normale"/>
    <w:uiPriority w:val="35"/>
    <w:unhideWhenUsed/>
    <w:qFormat/>
    <w:rsid w:val="005C5436"/>
    <w:pPr>
      <w:spacing w:after="240"/>
      <w:contextualSpacing/>
      <w:jc w:val="both"/>
    </w:pPr>
    <w:rPr>
      <w:rFonts w:cs="Arial"/>
      <w:b/>
      <w:iCs/>
      <w:color w:val="2F5496" w:themeColor="accent1" w:themeShade="BF"/>
      <w:spacing w:val="6"/>
      <w:kern w:val="0"/>
      <w:sz w:val="18"/>
      <w14:ligatures w14:val="none"/>
    </w:rPr>
  </w:style>
  <w:style w:type="table" w:customStyle="1" w:styleId="StileTabAdRes">
    <w:name w:val="Stile Tab AdRes"/>
    <w:basedOn w:val="Tabellanormale"/>
    <w:uiPriority w:val="99"/>
    <w:rsid w:val="005C5436"/>
    <w:pPr>
      <w:spacing w:after="0" w:line="240" w:lineRule="auto"/>
      <w:jc w:val="center"/>
    </w:pPr>
    <w:rPr>
      <w:rFonts w:ascii="Cambria" w:eastAsia="Times New Roman" w:hAnsi="Cambria" w:cs="Times New Roman"/>
      <w:kern w:val="0"/>
      <w:sz w:val="20"/>
      <w14:ligatures w14:val="none"/>
    </w:rPr>
    <w:tblPr>
      <w:tblStyleRowBandSize w:val="1"/>
      <w:tblBorders>
        <w:insideH w:val="single" w:sz="4" w:space="0" w:color="2F5496" w:themeColor="accent1" w:themeShade="BF"/>
      </w:tblBorders>
    </w:tblPr>
    <w:tcPr>
      <w:shd w:val="clear" w:color="auto" w:fill="FFFFFF" w:themeFill="background1"/>
      <w:vAlign w:val="center"/>
    </w:tcPr>
    <w:tblStylePr w:type="firstRow">
      <w:pPr>
        <w:jc w:val="center"/>
      </w:pPr>
      <w:rPr>
        <w:rFonts w:ascii="Marlett" w:hAnsi="Marlett"/>
        <w:b/>
        <w:sz w:val="20"/>
      </w:rPr>
      <w:tblPr/>
      <w:tcPr>
        <w:shd w:val="clear" w:color="auto" w:fill="2F5496" w:themeFill="accent1" w:themeFillShade="BF"/>
        <w:vAlign w:val="top"/>
      </w:tcPr>
    </w:tblStylePr>
    <w:tblStylePr w:type="lastRow">
      <w:rPr>
        <w:rFonts w:ascii="Marlett" w:hAnsi="Marlett"/>
        <w:sz w:val="20"/>
      </w:rPr>
      <w:tblPr/>
      <w:tcPr>
        <w:tcBorders>
          <w:bottom w:val="single" w:sz="12" w:space="0" w:color="2F5496" w:themeColor="accent1" w:themeShade="BF"/>
        </w:tcBorders>
        <w:shd w:val="clear" w:color="auto" w:fill="FFFFFF" w:themeFill="background1"/>
      </w:tcPr>
    </w:tblStylePr>
    <w:tblStylePr w:type="firstCol">
      <w:pPr>
        <w:jc w:val="left"/>
      </w:pPr>
    </w:tblStylePr>
    <w:tblStylePr w:type="band2Horz">
      <w:tblPr/>
      <w:tcPr>
        <w:shd w:val="clear" w:color="auto" w:fill="F2F2F2" w:themeFill="background1" w:themeFillShade="F2"/>
      </w:tcPr>
    </w:tblStylePr>
    <w:tblStylePr w:type="nwCell">
      <w:pPr>
        <w:jc w:val="center"/>
      </w:pPr>
    </w:tblStylePr>
  </w:style>
  <w:style w:type="paragraph" w:styleId="Testocommento">
    <w:name w:val="annotation text"/>
    <w:basedOn w:val="Normale"/>
    <w:link w:val="TestocommentoCarattere"/>
    <w:uiPriority w:val="99"/>
    <w:unhideWhenUsed/>
    <w:rsid w:val="005C5436"/>
    <w:rPr>
      <w:szCs w:val="20"/>
    </w:rPr>
  </w:style>
  <w:style w:type="character" w:customStyle="1" w:styleId="TestocommentoCarattere">
    <w:name w:val="Testo commento Carattere"/>
    <w:basedOn w:val="Carpredefinitoparagrafo"/>
    <w:link w:val="Testocommento"/>
    <w:uiPriority w:val="99"/>
    <w:rsid w:val="005C5436"/>
    <w:rPr>
      <w:rFonts w:ascii="Calibri" w:hAnsi="Calibri" w:cs="Calibri"/>
      <w:sz w:val="20"/>
      <w:szCs w:val="20"/>
    </w:rPr>
  </w:style>
  <w:style w:type="paragraph" w:styleId="Soggettocommento">
    <w:name w:val="annotation subject"/>
    <w:basedOn w:val="Testocommento"/>
    <w:next w:val="Testocommento"/>
    <w:link w:val="SoggettocommentoCarattere"/>
    <w:uiPriority w:val="99"/>
    <w:semiHidden/>
    <w:unhideWhenUsed/>
    <w:rsid w:val="005C5436"/>
    <w:rPr>
      <w:b/>
      <w:bCs/>
    </w:rPr>
  </w:style>
  <w:style w:type="character" w:customStyle="1" w:styleId="SoggettocommentoCarattere">
    <w:name w:val="Soggetto commento Carattere"/>
    <w:basedOn w:val="TestocommentoCarattere"/>
    <w:link w:val="Soggettocommento"/>
    <w:uiPriority w:val="99"/>
    <w:semiHidden/>
    <w:rsid w:val="005C5436"/>
    <w:rPr>
      <w:rFonts w:ascii="Calibri" w:hAnsi="Calibri" w:cs="Calibri"/>
      <w:b/>
      <w:bCs/>
      <w:sz w:val="20"/>
      <w:szCs w:val="20"/>
    </w:rPr>
  </w:style>
  <w:style w:type="character" w:styleId="Menzionenonrisolta">
    <w:name w:val="Unresolved Mention"/>
    <w:basedOn w:val="Carpredefinitoparagrafo"/>
    <w:uiPriority w:val="99"/>
    <w:semiHidden/>
    <w:unhideWhenUsed/>
    <w:rsid w:val="005C5436"/>
    <w:rPr>
      <w:color w:val="605E5C"/>
      <w:shd w:val="clear" w:color="auto" w:fill="E1DFDD"/>
    </w:rPr>
  </w:style>
  <w:style w:type="paragraph" w:styleId="Revisione">
    <w:name w:val="Revision"/>
    <w:hidden/>
    <w:uiPriority w:val="99"/>
    <w:semiHidden/>
    <w:rsid w:val="005C5436"/>
    <w:pPr>
      <w:spacing w:after="0" w:line="240" w:lineRule="auto"/>
    </w:pPr>
    <w:rPr>
      <w:rFonts w:ascii="Calibri" w:hAnsi="Calibri" w:cs="Calibri"/>
    </w:rPr>
  </w:style>
  <w:style w:type="paragraph" w:styleId="Bibliografia">
    <w:name w:val="Bibliography"/>
    <w:basedOn w:val="Normale"/>
    <w:next w:val="Normale"/>
    <w:uiPriority w:val="37"/>
    <w:unhideWhenUsed/>
    <w:rsid w:val="005C5436"/>
    <w:pPr>
      <w:tabs>
        <w:tab w:val="left" w:pos="384"/>
      </w:tabs>
      <w:spacing w:after="240"/>
      <w:ind w:left="384" w:hanging="384"/>
    </w:pPr>
  </w:style>
  <w:style w:type="paragraph" w:styleId="PreformattatoHTML">
    <w:name w:val="HTML Preformatted"/>
    <w:basedOn w:val="Normale"/>
    <w:link w:val="PreformattatoHTMLCarattere"/>
    <w:uiPriority w:val="99"/>
    <w:semiHidden/>
    <w:unhideWhenUsed/>
    <w:rsid w:val="005C5436"/>
    <w:rPr>
      <w:rFonts w:ascii="Consolas" w:hAnsi="Consolas"/>
      <w:szCs w:val="20"/>
    </w:rPr>
  </w:style>
  <w:style w:type="character" w:customStyle="1" w:styleId="PreformattatoHTMLCarattere">
    <w:name w:val="Preformattato HTML Carattere"/>
    <w:basedOn w:val="Carpredefinitoparagrafo"/>
    <w:link w:val="PreformattatoHTML"/>
    <w:uiPriority w:val="99"/>
    <w:semiHidden/>
    <w:rsid w:val="005C5436"/>
    <w:rPr>
      <w:rFonts w:ascii="Consolas" w:hAnsi="Consolas" w:cs="Calibri"/>
      <w:sz w:val="20"/>
      <w:szCs w:val="20"/>
    </w:rPr>
  </w:style>
  <w:style w:type="paragraph" w:customStyle="1" w:styleId="TableParagraph">
    <w:name w:val="Table Paragraph"/>
    <w:basedOn w:val="Normale"/>
    <w:uiPriority w:val="1"/>
    <w:qFormat/>
    <w:rsid w:val="005C5436"/>
    <w:pPr>
      <w:widowControl w:val="0"/>
      <w:autoSpaceDE w:val="0"/>
      <w:autoSpaceDN w:val="0"/>
      <w:spacing w:before="60"/>
      <w:jc w:val="both"/>
    </w:pPr>
    <w:rPr>
      <w:rFonts w:eastAsia="Calibri"/>
      <w:kern w:val="0"/>
      <w:lang w:eastAsia="it-IT" w:bidi="it-IT"/>
      <w14:ligatures w14:val="none"/>
    </w:rPr>
  </w:style>
  <w:style w:type="table" w:customStyle="1" w:styleId="TableGrid1">
    <w:name w:val="Table Grid1"/>
    <w:basedOn w:val="Tabellanormale"/>
    <w:next w:val="Grigliatabella"/>
    <w:uiPriority w:val="59"/>
    <w:unhideWhenUsed/>
    <w:rsid w:val="005C543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ellanormale"/>
    <w:next w:val="Grigliatabella"/>
    <w:uiPriority w:val="59"/>
    <w:unhideWhenUsed/>
    <w:rsid w:val="005C543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unhideWhenUsed/>
    <w:rsid w:val="005C5436"/>
    <w:pPr>
      <w:tabs>
        <w:tab w:val="center" w:pos="4819"/>
        <w:tab w:val="right" w:pos="9638"/>
      </w:tabs>
    </w:pPr>
  </w:style>
  <w:style w:type="character" w:customStyle="1" w:styleId="IntestazioneCarattere">
    <w:name w:val="Intestazione Carattere"/>
    <w:basedOn w:val="Carpredefinitoparagrafo"/>
    <w:link w:val="Intestazione"/>
    <w:uiPriority w:val="99"/>
    <w:rsid w:val="005C5436"/>
    <w:rPr>
      <w:rFonts w:ascii="Calibri" w:hAnsi="Calibri" w:cs="Calibri"/>
    </w:rPr>
  </w:style>
  <w:style w:type="paragraph" w:styleId="Pidipagina">
    <w:name w:val="footer"/>
    <w:basedOn w:val="Normale"/>
    <w:link w:val="PidipaginaCarattere"/>
    <w:uiPriority w:val="99"/>
    <w:unhideWhenUsed/>
    <w:rsid w:val="005C5436"/>
    <w:pPr>
      <w:tabs>
        <w:tab w:val="center" w:pos="4819"/>
        <w:tab w:val="right" w:pos="9638"/>
      </w:tabs>
    </w:pPr>
  </w:style>
  <w:style w:type="character" w:customStyle="1" w:styleId="PidipaginaCarattere">
    <w:name w:val="Piè di pagina Carattere"/>
    <w:basedOn w:val="Carpredefinitoparagrafo"/>
    <w:link w:val="Pidipagina"/>
    <w:uiPriority w:val="99"/>
    <w:rsid w:val="005C5436"/>
    <w:rPr>
      <w:rFonts w:ascii="Calibri" w:hAnsi="Calibri" w:cs="Calibri"/>
    </w:rPr>
  </w:style>
  <w:style w:type="paragraph" w:styleId="Nessunaspaziatura">
    <w:name w:val="No Spacing"/>
    <w:link w:val="NessunaspaziaturaCarattere"/>
    <w:uiPriority w:val="1"/>
    <w:qFormat/>
    <w:rsid w:val="000A3187"/>
    <w:pPr>
      <w:spacing w:after="0" w:line="240" w:lineRule="auto"/>
    </w:pPr>
    <w:rPr>
      <w:rFonts w:eastAsiaTheme="minorEastAsia"/>
      <w:kern w:val="0"/>
      <w:lang w:eastAsia="it-IT"/>
      <w14:ligatures w14:val="none"/>
    </w:rPr>
  </w:style>
  <w:style w:type="character" w:customStyle="1" w:styleId="NessunaspaziaturaCarattere">
    <w:name w:val="Nessuna spaziatura Carattere"/>
    <w:basedOn w:val="Carpredefinitoparagrafo"/>
    <w:link w:val="Nessunaspaziatura"/>
    <w:uiPriority w:val="1"/>
    <w:rsid w:val="000A3187"/>
    <w:rPr>
      <w:rFonts w:eastAsiaTheme="minorEastAsia"/>
      <w:kern w:val="0"/>
      <w:lang w:eastAsia="it-I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749494">
      <w:bodyDiv w:val="1"/>
      <w:marLeft w:val="0"/>
      <w:marRight w:val="0"/>
      <w:marTop w:val="0"/>
      <w:marBottom w:val="0"/>
      <w:divBdr>
        <w:top w:val="none" w:sz="0" w:space="0" w:color="auto"/>
        <w:left w:val="none" w:sz="0" w:space="0" w:color="auto"/>
        <w:bottom w:val="none" w:sz="0" w:space="0" w:color="auto"/>
        <w:right w:val="none" w:sz="0" w:space="0" w:color="auto"/>
      </w:divBdr>
    </w:div>
    <w:div w:id="373429399">
      <w:bodyDiv w:val="1"/>
      <w:marLeft w:val="0"/>
      <w:marRight w:val="0"/>
      <w:marTop w:val="0"/>
      <w:marBottom w:val="0"/>
      <w:divBdr>
        <w:top w:val="none" w:sz="0" w:space="0" w:color="auto"/>
        <w:left w:val="none" w:sz="0" w:space="0" w:color="auto"/>
        <w:bottom w:val="none" w:sz="0" w:space="0" w:color="auto"/>
        <w:right w:val="none" w:sz="0" w:space="0" w:color="auto"/>
      </w:divBdr>
    </w:div>
    <w:div w:id="545873226">
      <w:bodyDiv w:val="1"/>
      <w:marLeft w:val="0"/>
      <w:marRight w:val="0"/>
      <w:marTop w:val="0"/>
      <w:marBottom w:val="0"/>
      <w:divBdr>
        <w:top w:val="none" w:sz="0" w:space="0" w:color="auto"/>
        <w:left w:val="none" w:sz="0" w:space="0" w:color="auto"/>
        <w:bottom w:val="none" w:sz="0" w:space="0" w:color="auto"/>
        <w:right w:val="none" w:sz="0" w:space="0" w:color="auto"/>
      </w:divBdr>
    </w:div>
    <w:div w:id="553397088">
      <w:bodyDiv w:val="1"/>
      <w:marLeft w:val="0"/>
      <w:marRight w:val="0"/>
      <w:marTop w:val="0"/>
      <w:marBottom w:val="0"/>
      <w:divBdr>
        <w:top w:val="none" w:sz="0" w:space="0" w:color="auto"/>
        <w:left w:val="none" w:sz="0" w:space="0" w:color="auto"/>
        <w:bottom w:val="none" w:sz="0" w:space="0" w:color="auto"/>
        <w:right w:val="none" w:sz="0" w:space="0" w:color="auto"/>
      </w:divBdr>
    </w:div>
    <w:div w:id="560599983">
      <w:bodyDiv w:val="1"/>
      <w:marLeft w:val="0"/>
      <w:marRight w:val="0"/>
      <w:marTop w:val="0"/>
      <w:marBottom w:val="0"/>
      <w:divBdr>
        <w:top w:val="none" w:sz="0" w:space="0" w:color="auto"/>
        <w:left w:val="none" w:sz="0" w:space="0" w:color="auto"/>
        <w:bottom w:val="none" w:sz="0" w:space="0" w:color="auto"/>
        <w:right w:val="none" w:sz="0" w:space="0" w:color="auto"/>
      </w:divBdr>
    </w:div>
    <w:div w:id="640158136">
      <w:bodyDiv w:val="1"/>
      <w:marLeft w:val="0"/>
      <w:marRight w:val="0"/>
      <w:marTop w:val="0"/>
      <w:marBottom w:val="0"/>
      <w:divBdr>
        <w:top w:val="none" w:sz="0" w:space="0" w:color="auto"/>
        <w:left w:val="none" w:sz="0" w:space="0" w:color="auto"/>
        <w:bottom w:val="none" w:sz="0" w:space="0" w:color="auto"/>
        <w:right w:val="none" w:sz="0" w:space="0" w:color="auto"/>
      </w:divBdr>
    </w:div>
    <w:div w:id="661471657">
      <w:bodyDiv w:val="1"/>
      <w:marLeft w:val="0"/>
      <w:marRight w:val="0"/>
      <w:marTop w:val="0"/>
      <w:marBottom w:val="0"/>
      <w:divBdr>
        <w:top w:val="none" w:sz="0" w:space="0" w:color="auto"/>
        <w:left w:val="none" w:sz="0" w:space="0" w:color="auto"/>
        <w:bottom w:val="none" w:sz="0" w:space="0" w:color="auto"/>
        <w:right w:val="none" w:sz="0" w:space="0" w:color="auto"/>
      </w:divBdr>
    </w:div>
    <w:div w:id="822280637">
      <w:bodyDiv w:val="1"/>
      <w:marLeft w:val="0"/>
      <w:marRight w:val="0"/>
      <w:marTop w:val="0"/>
      <w:marBottom w:val="0"/>
      <w:divBdr>
        <w:top w:val="none" w:sz="0" w:space="0" w:color="auto"/>
        <w:left w:val="none" w:sz="0" w:space="0" w:color="auto"/>
        <w:bottom w:val="none" w:sz="0" w:space="0" w:color="auto"/>
        <w:right w:val="none" w:sz="0" w:space="0" w:color="auto"/>
      </w:divBdr>
    </w:div>
    <w:div w:id="850486707">
      <w:bodyDiv w:val="1"/>
      <w:marLeft w:val="0"/>
      <w:marRight w:val="0"/>
      <w:marTop w:val="0"/>
      <w:marBottom w:val="0"/>
      <w:divBdr>
        <w:top w:val="none" w:sz="0" w:space="0" w:color="auto"/>
        <w:left w:val="none" w:sz="0" w:space="0" w:color="auto"/>
        <w:bottom w:val="none" w:sz="0" w:space="0" w:color="auto"/>
        <w:right w:val="none" w:sz="0" w:space="0" w:color="auto"/>
      </w:divBdr>
    </w:div>
    <w:div w:id="1102070143">
      <w:bodyDiv w:val="1"/>
      <w:marLeft w:val="0"/>
      <w:marRight w:val="0"/>
      <w:marTop w:val="0"/>
      <w:marBottom w:val="0"/>
      <w:divBdr>
        <w:top w:val="none" w:sz="0" w:space="0" w:color="auto"/>
        <w:left w:val="none" w:sz="0" w:space="0" w:color="auto"/>
        <w:bottom w:val="none" w:sz="0" w:space="0" w:color="auto"/>
        <w:right w:val="none" w:sz="0" w:space="0" w:color="auto"/>
      </w:divBdr>
    </w:div>
    <w:div w:id="1111781382">
      <w:bodyDiv w:val="1"/>
      <w:marLeft w:val="0"/>
      <w:marRight w:val="0"/>
      <w:marTop w:val="0"/>
      <w:marBottom w:val="0"/>
      <w:divBdr>
        <w:top w:val="none" w:sz="0" w:space="0" w:color="auto"/>
        <w:left w:val="none" w:sz="0" w:space="0" w:color="auto"/>
        <w:bottom w:val="none" w:sz="0" w:space="0" w:color="auto"/>
        <w:right w:val="none" w:sz="0" w:space="0" w:color="auto"/>
      </w:divBdr>
    </w:div>
    <w:div w:id="1129545665">
      <w:bodyDiv w:val="1"/>
      <w:marLeft w:val="0"/>
      <w:marRight w:val="0"/>
      <w:marTop w:val="0"/>
      <w:marBottom w:val="0"/>
      <w:divBdr>
        <w:top w:val="none" w:sz="0" w:space="0" w:color="auto"/>
        <w:left w:val="none" w:sz="0" w:space="0" w:color="auto"/>
        <w:bottom w:val="none" w:sz="0" w:space="0" w:color="auto"/>
        <w:right w:val="none" w:sz="0" w:space="0" w:color="auto"/>
      </w:divBdr>
    </w:div>
    <w:div w:id="1239558873">
      <w:bodyDiv w:val="1"/>
      <w:marLeft w:val="0"/>
      <w:marRight w:val="0"/>
      <w:marTop w:val="0"/>
      <w:marBottom w:val="0"/>
      <w:divBdr>
        <w:top w:val="none" w:sz="0" w:space="0" w:color="auto"/>
        <w:left w:val="none" w:sz="0" w:space="0" w:color="auto"/>
        <w:bottom w:val="none" w:sz="0" w:space="0" w:color="auto"/>
        <w:right w:val="none" w:sz="0" w:space="0" w:color="auto"/>
      </w:divBdr>
    </w:div>
    <w:div w:id="1250890210">
      <w:bodyDiv w:val="1"/>
      <w:marLeft w:val="0"/>
      <w:marRight w:val="0"/>
      <w:marTop w:val="0"/>
      <w:marBottom w:val="0"/>
      <w:divBdr>
        <w:top w:val="none" w:sz="0" w:space="0" w:color="auto"/>
        <w:left w:val="none" w:sz="0" w:space="0" w:color="auto"/>
        <w:bottom w:val="none" w:sz="0" w:space="0" w:color="auto"/>
        <w:right w:val="none" w:sz="0" w:space="0" w:color="auto"/>
      </w:divBdr>
    </w:div>
    <w:div w:id="1338920160">
      <w:bodyDiv w:val="1"/>
      <w:marLeft w:val="0"/>
      <w:marRight w:val="0"/>
      <w:marTop w:val="0"/>
      <w:marBottom w:val="0"/>
      <w:divBdr>
        <w:top w:val="none" w:sz="0" w:space="0" w:color="auto"/>
        <w:left w:val="none" w:sz="0" w:space="0" w:color="auto"/>
        <w:bottom w:val="none" w:sz="0" w:space="0" w:color="auto"/>
        <w:right w:val="none" w:sz="0" w:space="0" w:color="auto"/>
      </w:divBdr>
    </w:div>
    <w:div w:id="1565792714">
      <w:bodyDiv w:val="1"/>
      <w:marLeft w:val="0"/>
      <w:marRight w:val="0"/>
      <w:marTop w:val="0"/>
      <w:marBottom w:val="0"/>
      <w:divBdr>
        <w:top w:val="none" w:sz="0" w:space="0" w:color="auto"/>
        <w:left w:val="none" w:sz="0" w:space="0" w:color="auto"/>
        <w:bottom w:val="none" w:sz="0" w:space="0" w:color="auto"/>
        <w:right w:val="none" w:sz="0" w:space="0" w:color="auto"/>
      </w:divBdr>
    </w:div>
    <w:div w:id="1852065647">
      <w:bodyDiv w:val="1"/>
      <w:marLeft w:val="0"/>
      <w:marRight w:val="0"/>
      <w:marTop w:val="0"/>
      <w:marBottom w:val="0"/>
      <w:divBdr>
        <w:top w:val="none" w:sz="0" w:space="0" w:color="auto"/>
        <w:left w:val="none" w:sz="0" w:space="0" w:color="auto"/>
        <w:bottom w:val="none" w:sz="0" w:space="0" w:color="auto"/>
        <w:right w:val="none" w:sz="0" w:space="0" w:color="auto"/>
      </w:divBdr>
    </w:div>
    <w:div w:id="1909919549">
      <w:bodyDiv w:val="1"/>
      <w:marLeft w:val="0"/>
      <w:marRight w:val="0"/>
      <w:marTop w:val="0"/>
      <w:marBottom w:val="0"/>
      <w:divBdr>
        <w:top w:val="none" w:sz="0" w:space="0" w:color="auto"/>
        <w:left w:val="none" w:sz="0" w:space="0" w:color="auto"/>
        <w:bottom w:val="none" w:sz="0" w:space="0" w:color="auto"/>
        <w:right w:val="none" w:sz="0" w:space="0" w:color="auto"/>
      </w:divBdr>
    </w:div>
    <w:div w:id="2021616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Rus1</b:Tag>
    <b:SourceType>Book</b:SourceType>
    <b:Guid>{61BC97BE-B979-47C9-BDE9-6376BB6623EE}</b:Guid>
    <b:Author>
      <b:Author>
        <b:Corporate>Russo P, Zanuzzi M, Carletto A, Sammarco A, Romano F, Manca A. Role of Economic Evaluations on Pricing of Medicines Reimbursed by the Italian National Health Service. Pharmacoeconomics. 2023 Jan;41(1):107-117. doi: 10.1007/s40273-022-01215-w. Epub 2022 No</b:Corporate>
      </b:Author>
    </b:Author>
    <b:RefOrder>1</b:RefOrder>
  </b:Source>
</b:Sources>
</file>

<file path=customXml/itemProps1.xml><?xml version="1.0" encoding="utf-8"?>
<ds:datastoreItem xmlns:ds="http://schemas.openxmlformats.org/officeDocument/2006/customXml" ds:itemID="{CD52D413-6690-4E2A-96BE-C31AA2AB12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19</Pages>
  <Words>2395</Words>
  <Characters>13654</Characters>
  <Application>Microsoft Office Word</Application>
  <DocSecurity>0</DocSecurity>
  <Lines>113</Lines>
  <Paragraphs>32</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16017</CharactersWithSpaces>
  <SharedDoc>false</SharedDoc>
  <HLinks>
    <vt:vector size="18" baseType="variant">
      <vt:variant>
        <vt:i4>5963781</vt:i4>
      </vt:variant>
      <vt:variant>
        <vt:i4>6</vt:i4>
      </vt:variant>
      <vt:variant>
        <vt:i4>0</vt:i4>
      </vt:variant>
      <vt:variant>
        <vt:i4>5</vt:i4>
      </vt:variant>
      <vt:variant>
        <vt:lpwstr>https://ashpublications.org/blood/pages/authors-guides-checklists</vt:lpwstr>
      </vt:variant>
      <vt:variant>
        <vt:lpwstr/>
      </vt:variant>
      <vt:variant>
        <vt:i4>2555948</vt:i4>
      </vt:variant>
      <vt:variant>
        <vt:i4>3</vt:i4>
      </vt:variant>
      <vt:variant>
        <vt:i4>0</vt:i4>
      </vt:variant>
      <vt:variant>
        <vt:i4>5</vt:i4>
      </vt:variant>
      <vt:variant>
        <vt:lpwstr>https://ashpublications.org/blood/pages/title-page</vt:lpwstr>
      </vt:variant>
      <vt:variant>
        <vt:lpwstr/>
      </vt:variant>
      <vt:variant>
        <vt:i4>1769577</vt:i4>
      </vt:variant>
      <vt:variant>
        <vt:i4>0</vt:i4>
      </vt:variant>
      <vt:variant>
        <vt:i4>0</vt:i4>
      </vt:variant>
      <vt:variant>
        <vt:i4>5</vt:i4>
      </vt:variant>
      <vt:variant>
        <vt:lpwstr>https://ashpublications.org/journals/pages/editorial_policies</vt:lpwstr>
      </vt:variant>
      <vt:variant>
        <vt:lpwstr>data</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Linet Odonde</dc:creator>
  <cp:keywords/>
  <dc:description/>
  <cp:lastModifiedBy>Gianni Ghetti</cp:lastModifiedBy>
  <cp:revision>3</cp:revision>
  <dcterms:created xsi:type="dcterms:W3CDTF">2026-04-07T15:05:00Z</dcterms:created>
  <dcterms:modified xsi:type="dcterms:W3CDTF">2026-04-10T14:13:00Z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a85c98d0-4d43-471f-9f2a-19e9ddc11a61</vt:lpwstr>
  </property>
  <property fmtid="{D5CDD505-2E9C-101B-9397-08002B2CF9AE}" pid="3" name="ZOTERO_PREF_1">
    <vt:lpwstr>&lt;data data-version="3" zotero-version="7.0.24"&gt;&lt;session id="OJvQTMJG"/&gt;&lt;style id="http://www.zotero.org/styles/american-medical-association" hasBibliography="1" bibliographyStyleHasBeenSet="1"/&gt;&lt;prefs&gt;&lt;pref name="fieldType" value="Field"/&gt;&lt;pref name="auto</vt:lpwstr>
  </property>
  <property fmtid="{D5CDD505-2E9C-101B-9397-08002B2CF9AE}" pid="4" name="ZOTERO_PREF_2">
    <vt:lpwstr>maticJournalAbbreviations" value="true"/&gt;&lt;/prefs&gt;&lt;/data&gt;</vt:lpwstr>
  </property>
  <property fmtid="{D5CDD505-2E9C-101B-9397-08002B2CF9AE}" pid="5" name="MSIP_Label_65e75503-0edf-4274-9f8b-1f267fd68475_Enabled">
    <vt:lpwstr>true</vt:lpwstr>
  </property>
  <property fmtid="{D5CDD505-2E9C-101B-9397-08002B2CF9AE}" pid="6" name="MSIP_Label_65e75503-0edf-4274-9f8b-1f267fd68475_SetDate">
    <vt:lpwstr>2025-07-22T12:47:58Z</vt:lpwstr>
  </property>
  <property fmtid="{D5CDD505-2E9C-101B-9397-08002B2CF9AE}" pid="7" name="MSIP_Label_65e75503-0edf-4274-9f8b-1f267fd68475_Method">
    <vt:lpwstr>Privileged</vt:lpwstr>
  </property>
  <property fmtid="{D5CDD505-2E9C-101B-9397-08002B2CF9AE}" pid="8" name="MSIP_Label_65e75503-0edf-4274-9f8b-1f267fd68475_Name">
    <vt:lpwstr>Non-Amgen (no marking)</vt:lpwstr>
  </property>
  <property fmtid="{D5CDD505-2E9C-101B-9397-08002B2CF9AE}" pid="9" name="MSIP_Label_65e75503-0edf-4274-9f8b-1f267fd68475_SiteId">
    <vt:lpwstr>4b4266a6-1368-41af-ad5a-59eb634f7ad8</vt:lpwstr>
  </property>
  <property fmtid="{D5CDD505-2E9C-101B-9397-08002B2CF9AE}" pid="10" name="MSIP_Label_65e75503-0edf-4274-9f8b-1f267fd68475_ActionId">
    <vt:lpwstr>1355a38a-c898-4d08-a617-dca5946b3059</vt:lpwstr>
  </property>
  <property fmtid="{D5CDD505-2E9C-101B-9397-08002B2CF9AE}" pid="11" name="MSIP_Label_65e75503-0edf-4274-9f8b-1f267fd68475_ContentBits">
    <vt:lpwstr>0</vt:lpwstr>
  </property>
  <property fmtid="{D5CDD505-2E9C-101B-9397-08002B2CF9AE}" pid="12" name="MSIP_Label_65e75503-0edf-4274-9f8b-1f267fd68475_Tag">
    <vt:lpwstr>10, 0, 1, 1</vt:lpwstr>
  </property>
</Properties>
</file>